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17E" w:rsidRPr="0028217E" w:rsidRDefault="0028217E">
      <w:pPr>
        <w:pStyle w:val="Frslagsrubrik"/>
        <w:shd w:val="clear" w:color="000000" w:fill="auto"/>
      </w:pPr>
      <w:r w:rsidRPr="0028217E">
        <w:t>Förslag till riksdagsbeslut</w:t>
      </w:r>
    </w:p>
    <w:p w:rsidR="0028217E" w:rsidRPr="0028217E" w:rsidRDefault="0028217E">
      <w:pPr>
        <w:pStyle w:val="Hemstlatt"/>
        <w:shd w:val="clear" w:color="000000" w:fill="auto"/>
      </w:pPr>
      <w:r w:rsidRPr="0028217E">
        <w:t>Riksdagen tillkännager för regeringen som sin mening vad som anförs i motionen om att grundavdrag för pensionärer ska höjas utöver regeringens förslag.</w:t>
      </w:r>
    </w:p>
    <w:p w:rsidR="0028217E" w:rsidRPr="0028217E" w:rsidRDefault="0028217E">
      <w:pPr>
        <w:pStyle w:val="Rubrik1"/>
        <w:shd w:val="clear" w:color="000000" w:fill="auto"/>
      </w:pPr>
      <w:bookmarkStart w:id="0" w:name="_Toc242549969"/>
      <w:bookmarkStart w:id="1" w:name="_Toc245694195"/>
      <w:r w:rsidRPr="0028217E">
        <w:t>Minska klyftan mellan löntagare och pensionärer</w:t>
      </w:r>
      <w:bookmarkEnd w:id="0"/>
      <w:bookmarkEnd w:id="1"/>
    </w:p>
    <w:p w:rsidR="0028217E" w:rsidRPr="0028217E" w:rsidRDefault="0028217E">
      <w:pPr>
        <w:shd w:val="clear" w:color="000000" w:fill="auto"/>
      </w:pPr>
      <w:r w:rsidRPr="0028217E">
        <w:t>Vid lika inkomster betalar i dag pensionärer mer i skatt än personer som arb</w:t>
      </w:r>
      <w:r w:rsidRPr="0028217E">
        <w:t>e</w:t>
      </w:r>
      <w:r w:rsidRPr="0028217E">
        <w:t>tar. Denna klyfta mellan löntagare och pensionärer har helt skapats av den borgerliga regeringen. Pensionen är oftast lägre än den tidigare lönen före pensioneringen. Trots detta beskattas pensionsinkomsten högre än motsv</w:t>
      </w:r>
      <w:r w:rsidRPr="0028217E">
        <w:t>a</w:t>
      </w:r>
      <w:r w:rsidRPr="0028217E">
        <w:t>rande förvärvsinkomst. Regeringen säger att det ska löna sig att arbeta. Det håller vi socialdemokrater med om. Men vi menar också att det ska löna sig att ha arbetat. Pension är uppskjuten lön. Rätt ska vara rätt, därför ska pension och lön beskattas lika.</w:t>
      </w:r>
    </w:p>
    <w:p w:rsidR="0028217E" w:rsidRPr="0028217E" w:rsidRDefault="0028217E">
      <w:pPr>
        <w:pStyle w:val="Normaltindrag"/>
        <w:shd w:val="clear" w:color="000000" w:fill="auto"/>
      </w:pPr>
      <w:r w:rsidRPr="0028217E">
        <w:t>Den borgerliga regeringen har t</w:t>
      </w:r>
      <w:r w:rsidRPr="0028217E">
        <w:t xml:space="preserve">idigare föreslagit en skattesänkning för pensionärerna i budgetpropositionen för 2010. I proposition 2009/10:29 </w:t>
      </w:r>
      <w:r w:rsidRPr="0028217E">
        <w:rPr>
          <w:i/>
        </w:rPr>
        <w:t>Ytte</w:t>
      </w:r>
      <w:r w:rsidRPr="0028217E">
        <w:rPr>
          <w:i/>
        </w:rPr>
        <w:t>r</w:t>
      </w:r>
      <w:r w:rsidRPr="0028217E">
        <w:rPr>
          <w:i/>
        </w:rPr>
        <w:t>ligare sänkt skatt för pensionärer</w:t>
      </w:r>
      <w:r w:rsidRPr="0028217E">
        <w:t xml:space="preserve"> särredovisas regeringens förslag. Samtidigt föreslår regeringen en ytterligare skattesänkning för löntagarna i proposition 2009/10:42 </w:t>
      </w:r>
      <w:r w:rsidRPr="0028217E">
        <w:rPr>
          <w:i/>
        </w:rPr>
        <w:t>Ett ytterligare förstärkt jobbskatteavdrag</w:t>
      </w:r>
      <w:r w:rsidRPr="0028217E">
        <w:t xml:space="preserve"> som är större än skatt</w:t>
      </w:r>
      <w:r w:rsidRPr="0028217E">
        <w:t>e</w:t>
      </w:r>
      <w:r w:rsidRPr="0028217E">
        <w:t xml:space="preserve">sänkningen för pensionärer. Det betyder att resultatet av budgetpropositionen och de två särpropositionerna blir att klyftan i beskattning mellan löntagare och </w:t>
      </w:r>
      <w:r w:rsidRPr="0028217E">
        <w:t>pensionärer utvidgas ytterligare vid årsskiftet.</w:t>
      </w:r>
    </w:p>
    <w:p w:rsidR="0028217E" w:rsidRPr="0028217E" w:rsidRDefault="0028217E">
      <w:pPr>
        <w:pStyle w:val="Normaltindrag"/>
        <w:shd w:val="clear" w:color="000000" w:fill="auto"/>
      </w:pPr>
      <w:r w:rsidRPr="0028217E">
        <w:t xml:space="preserve">Vi socialdemokrater säger nej till detta. Vi vill steg för steg minska klyftan mellan löntagarna och pensionärer. I vår budgetmotion för 2010, motion 2009/10:Fi260 </w:t>
      </w:r>
      <w:r w:rsidRPr="0028217E">
        <w:rPr>
          <w:i/>
        </w:rPr>
        <w:t>Jobben först</w:t>
      </w:r>
      <w:r w:rsidRPr="0028217E">
        <w:t xml:space="preserve"> av Mona Sahlin m.fl. (s), samt genom denna </w:t>
      </w:r>
      <w:r w:rsidRPr="0028217E">
        <w:lastRenderedPageBreak/>
        <w:t>motion föreslår vi socialdemokrater att skatten för pensionärer ska sänkas, mest för pensionärerna med medelinkomster. Förslaget innebär att klyftan i beskattning mellan löntagare och pensionärer halveras för pensionärer med låga inkomster och medelinkomster.</w:t>
      </w:r>
    </w:p>
    <w:p w:rsidR="0028217E" w:rsidRPr="0028217E" w:rsidRDefault="0028217E">
      <w:pPr>
        <w:pStyle w:val="Normaltindrag"/>
        <w:shd w:val="clear" w:color="000000" w:fill="auto"/>
      </w:pPr>
      <w:r w:rsidRPr="0028217E">
        <w:t>Grundavdraget för pensionärer höjs (jämfört med regeringens modell) su</w:t>
      </w:r>
      <w:r w:rsidRPr="0028217E">
        <w:t>c</w:t>
      </w:r>
      <w:r w:rsidRPr="0028217E">
        <w:t>cessivt upp till inkomster om 133 000 kr och är sedan konstant, som högst fram till och med inkomster om 168 000 kr. Därefter trappas vårt förslag till grundavdrag av, för att bli identiskt med regeringens förslag vid inkomster över 388 000 kr.</w:t>
      </w:r>
    </w:p>
    <w:p w:rsidR="0028217E" w:rsidRPr="0028217E" w:rsidRDefault="0028217E">
      <w:pPr>
        <w:pStyle w:val="Normaltindrag"/>
        <w:shd w:val="clear" w:color="000000" w:fill="auto"/>
      </w:pPr>
      <w:r w:rsidRPr="0028217E">
        <w:t>Vi socialdemokrater accepterar inte skillnaden i beskattning mellan pe</w:t>
      </w:r>
      <w:r w:rsidRPr="0028217E">
        <w:t>n</w:t>
      </w:r>
      <w:r w:rsidRPr="0028217E">
        <w:t>sionärer och löntagare. Detta är ett första steg mot att återupprätta rättvisan i skattesystemet. Vi vill sänka skatten för breda pensionärsgrupper. Alla pe</w:t>
      </w:r>
      <w:r w:rsidRPr="0028217E">
        <w:t>n</w:t>
      </w:r>
      <w:r w:rsidRPr="0028217E">
        <w:t>sionärer med en inkomst upp till ca 30 000 kr i månaden får en större skatt</w:t>
      </w:r>
      <w:r w:rsidRPr="0028217E">
        <w:t>e</w:t>
      </w:r>
      <w:r w:rsidRPr="0028217E">
        <w:t>sänkning med Socialdemokraternas förslag än med regeringens förslag.</w:t>
      </w:r>
    </w:p>
    <w:p w:rsidR="0028217E" w:rsidRPr="0028217E" w:rsidRDefault="0028217E">
      <w:pPr>
        <w:pStyle w:val="Normaltindrag"/>
        <w:shd w:val="clear" w:color="000000" w:fill="auto"/>
        <w:rPr>
          <w:b/>
        </w:rPr>
      </w:pPr>
      <w:r w:rsidRPr="0028217E">
        <w:t>Totalt kostar det förslag vi socialdemokrater lägger fram 3,1 miljarder kr</w:t>
      </w:r>
      <w:r w:rsidRPr="0028217E">
        <w:t>o</w:t>
      </w:r>
      <w:r w:rsidRPr="0028217E">
        <w:t xml:space="preserve">nor mer än regeringens förslag. Samtidigt som skatten sänks för pensionärer avvisar vi det utvidgade förvärvsavdraget i proposition 2009/10:42 </w:t>
      </w:r>
      <w:r w:rsidRPr="0028217E">
        <w:rPr>
          <w:i/>
        </w:rPr>
        <w:t>Ett ytterl</w:t>
      </w:r>
      <w:r w:rsidRPr="0028217E">
        <w:rPr>
          <w:i/>
        </w:rPr>
        <w:t>i</w:t>
      </w:r>
      <w:r w:rsidRPr="0028217E">
        <w:rPr>
          <w:i/>
        </w:rPr>
        <w:t>gare förstärkt jobbskatteavdrag</w:t>
      </w:r>
      <w:r w:rsidRPr="0028217E">
        <w:t>. Tillsammans innebär dessa två förslag en minskad klyfta mellan pensionärer och löntagare. Av tabellen från vår bu</w:t>
      </w:r>
      <w:r w:rsidRPr="0028217E">
        <w:t>d</w:t>
      </w:r>
      <w:r w:rsidRPr="0028217E">
        <w:t>getmotion för 2010 framgår att vår politik skulle halvera eller nära halvera skillnaden mellan den skatt som en löntagare betalar och den skatt som en pensionär med genomsnittspension betalar.</w:t>
      </w:r>
    </w:p>
    <w:tbl>
      <w:tblPr>
        <w:tblStyle w:val="Enkeltabell1"/>
        <w:tblW w:w="6565" w:type="dxa"/>
        <w:tblLayout w:type="fixed"/>
        <w:tblLook w:val="01E0" w:firstRow="1" w:lastRow="1" w:firstColumn="1" w:lastColumn="1" w:noHBand="0" w:noVBand="0"/>
      </w:tblPr>
      <w:tblGrid>
        <w:gridCol w:w="1013"/>
        <w:gridCol w:w="1271"/>
        <w:gridCol w:w="1616"/>
        <w:gridCol w:w="2665"/>
      </w:tblGrid>
      <w:tr w:rsidR="00000000" w:rsidRPr="0028217E">
        <w:trPr>
          <w:cnfStyle w:val="100000000000" w:firstRow="1" w:lastRow="0" w:firstColumn="0" w:lastColumn="0" w:oddVBand="0" w:evenVBand="0" w:oddHBand="0" w:evenHBand="0" w:firstRowFirstColumn="0" w:firstRowLastColumn="0" w:lastRowFirstColumn="0" w:lastRowLastColumn="0"/>
        </w:trPr>
        <w:tc>
          <w:tcPr>
            <w:tcW w:w="6565" w:type="dxa"/>
            <w:gridSpan w:val="4"/>
            <w:tcBorders>
              <w:top w:val="nil"/>
              <w:bottom w:val="single" w:sz="4" w:space="0" w:color="auto"/>
            </w:tcBorders>
          </w:tcPr>
          <w:p w:rsidR="0028217E" w:rsidRPr="0028217E" w:rsidRDefault="0028217E">
            <w:pPr>
              <w:shd w:val="clear" w:color="000000" w:fill="auto"/>
              <w:rPr>
                <w:b/>
                <w:sz w:val="16"/>
                <w:szCs w:val="16"/>
              </w:rPr>
            </w:pPr>
            <w:r w:rsidRPr="0028217E">
              <w:rPr>
                <w:b/>
                <w:sz w:val="16"/>
                <w:szCs w:val="16"/>
              </w:rPr>
              <w:t>Klyftan i beskattningen mellan pensionärer och löntagare  2010</w:t>
            </w:r>
          </w:p>
        </w:tc>
      </w:tr>
      <w:tr w:rsidR="00000000" w:rsidRPr="0028217E">
        <w:tc>
          <w:tcPr>
            <w:tcW w:w="1013" w:type="dxa"/>
            <w:tcBorders>
              <w:top w:val="single" w:sz="4" w:space="0" w:color="auto"/>
              <w:bottom w:val="single" w:sz="4" w:space="0" w:color="auto"/>
            </w:tcBorders>
          </w:tcPr>
          <w:p w:rsidR="0028217E" w:rsidRPr="0028217E" w:rsidRDefault="0028217E">
            <w:pPr>
              <w:keepNext/>
              <w:shd w:val="clear" w:color="000000" w:fill="auto"/>
              <w:spacing w:before="60" w:line="200" w:lineRule="exact"/>
              <w:jc w:val="left"/>
              <w:rPr>
                <w:b/>
                <w:sz w:val="16"/>
                <w:szCs w:val="16"/>
              </w:rPr>
            </w:pPr>
            <w:r w:rsidRPr="0028217E">
              <w:rPr>
                <w:b/>
                <w:sz w:val="16"/>
                <w:szCs w:val="16"/>
              </w:rPr>
              <w:t>Månadsi</w:t>
            </w:r>
            <w:r w:rsidRPr="0028217E">
              <w:rPr>
                <w:b/>
                <w:sz w:val="16"/>
                <w:szCs w:val="16"/>
              </w:rPr>
              <w:t>n</w:t>
            </w:r>
            <w:r w:rsidRPr="0028217E">
              <w:rPr>
                <w:b/>
                <w:sz w:val="16"/>
                <w:szCs w:val="16"/>
              </w:rPr>
              <w:t>komst</w:t>
            </w:r>
          </w:p>
        </w:tc>
        <w:tc>
          <w:tcPr>
            <w:tcW w:w="1271" w:type="dxa"/>
            <w:tcBorders>
              <w:top w:val="single" w:sz="4" w:space="0" w:color="auto"/>
              <w:bottom w:val="single" w:sz="4" w:space="0" w:color="auto"/>
            </w:tcBorders>
          </w:tcPr>
          <w:p w:rsidR="0028217E" w:rsidRPr="0028217E" w:rsidRDefault="0028217E">
            <w:pPr>
              <w:keepNext/>
              <w:shd w:val="clear" w:color="000000" w:fill="auto"/>
              <w:spacing w:before="60" w:line="200" w:lineRule="exact"/>
              <w:jc w:val="right"/>
              <w:rPr>
                <w:b/>
                <w:bCs/>
                <w:sz w:val="16"/>
                <w:szCs w:val="16"/>
              </w:rPr>
            </w:pPr>
            <w:r w:rsidRPr="0028217E">
              <w:rPr>
                <w:b/>
                <w:bCs/>
                <w:sz w:val="16"/>
                <w:szCs w:val="16"/>
              </w:rPr>
              <w:t xml:space="preserve">Skatteklyfta 2010 med regeringen </w:t>
            </w:r>
          </w:p>
        </w:tc>
        <w:tc>
          <w:tcPr>
            <w:tcW w:w="1616" w:type="dxa"/>
            <w:tcBorders>
              <w:top w:val="single" w:sz="4" w:space="0" w:color="auto"/>
              <w:bottom w:val="single" w:sz="4" w:space="0" w:color="auto"/>
            </w:tcBorders>
          </w:tcPr>
          <w:p w:rsidR="0028217E" w:rsidRPr="0028217E" w:rsidRDefault="0028217E">
            <w:pPr>
              <w:keepNext/>
              <w:shd w:val="clear" w:color="000000" w:fill="auto"/>
              <w:spacing w:before="60" w:line="200" w:lineRule="exact"/>
              <w:jc w:val="right"/>
              <w:rPr>
                <w:b/>
                <w:bCs/>
                <w:sz w:val="16"/>
                <w:szCs w:val="16"/>
              </w:rPr>
            </w:pPr>
            <w:r w:rsidRPr="0028217E">
              <w:rPr>
                <w:b/>
                <w:bCs/>
                <w:sz w:val="16"/>
                <w:szCs w:val="16"/>
              </w:rPr>
              <w:t>Kvarstående klyfta 2010 med Sociald</w:t>
            </w:r>
            <w:r w:rsidRPr="0028217E">
              <w:rPr>
                <w:b/>
                <w:bCs/>
                <w:sz w:val="16"/>
                <w:szCs w:val="16"/>
              </w:rPr>
              <w:t>e</w:t>
            </w:r>
            <w:r w:rsidRPr="0028217E">
              <w:rPr>
                <w:b/>
                <w:bCs/>
                <w:sz w:val="16"/>
                <w:szCs w:val="16"/>
              </w:rPr>
              <w:t>mokraterna</w:t>
            </w:r>
          </w:p>
        </w:tc>
        <w:tc>
          <w:tcPr>
            <w:tcW w:w="2665" w:type="dxa"/>
            <w:tcBorders>
              <w:top w:val="single" w:sz="4" w:space="0" w:color="auto"/>
              <w:bottom w:val="single" w:sz="4" w:space="0" w:color="auto"/>
            </w:tcBorders>
          </w:tcPr>
          <w:p w:rsidR="0028217E" w:rsidRPr="0028217E" w:rsidRDefault="0028217E">
            <w:pPr>
              <w:keepNext/>
              <w:shd w:val="clear" w:color="000000" w:fill="auto"/>
              <w:spacing w:before="60" w:line="200" w:lineRule="exact"/>
              <w:jc w:val="right"/>
              <w:rPr>
                <w:b/>
                <w:iCs/>
                <w:sz w:val="16"/>
                <w:szCs w:val="16"/>
              </w:rPr>
            </w:pPr>
            <w:r w:rsidRPr="0028217E">
              <w:rPr>
                <w:b/>
                <w:iCs/>
                <w:sz w:val="16"/>
                <w:szCs w:val="16"/>
              </w:rPr>
              <w:t xml:space="preserve">Klyftan med (s) </w:t>
            </w:r>
            <w:r w:rsidRPr="0028217E">
              <w:rPr>
                <w:b/>
                <w:iCs/>
                <w:sz w:val="16"/>
                <w:szCs w:val="16"/>
              </w:rPr>
              <w:br/>
              <w:t>jämfört med regeringen</w:t>
            </w:r>
          </w:p>
        </w:tc>
      </w:tr>
      <w:tr w:rsidR="00000000" w:rsidRPr="0028217E">
        <w:trPr>
          <w:trHeight w:val="239"/>
        </w:trPr>
        <w:tc>
          <w:tcPr>
            <w:tcW w:w="1013" w:type="dxa"/>
            <w:tcBorders>
              <w:top w:val="single" w:sz="4" w:space="0" w:color="auto"/>
            </w:tcBorders>
          </w:tcPr>
          <w:p w:rsidR="0028217E" w:rsidRPr="0028217E" w:rsidRDefault="0028217E">
            <w:pPr>
              <w:keepNext/>
              <w:shd w:val="clear" w:color="000000" w:fill="auto"/>
              <w:spacing w:before="60" w:line="200" w:lineRule="exact"/>
              <w:jc w:val="left"/>
              <w:rPr>
                <w:sz w:val="16"/>
                <w:szCs w:val="16"/>
              </w:rPr>
            </w:pPr>
            <w:r w:rsidRPr="0028217E">
              <w:rPr>
                <w:sz w:val="16"/>
                <w:szCs w:val="16"/>
              </w:rPr>
              <w:t>7 667</w:t>
            </w:r>
          </w:p>
        </w:tc>
        <w:tc>
          <w:tcPr>
            <w:tcW w:w="1271" w:type="dxa"/>
            <w:tcBorders>
              <w:top w:val="single" w:sz="4" w:space="0" w:color="auto"/>
            </w:tcBorders>
          </w:tcPr>
          <w:p w:rsidR="0028217E" w:rsidRPr="0028217E" w:rsidRDefault="0028217E">
            <w:pPr>
              <w:keepNext/>
              <w:shd w:val="clear" w:color="000000" w:fill="auto"/>
              <w:spacing w:before="60" w:line="200" w:lineRule="exact"/>
              <w:jc w:val="right"/>
              <w:rPr>
                <w:bCs/>
                <w:sz w:val="16"/>
                <w:szCs w:val="16"/>
              </w:rPr>
            </w:pPr>
            <w:r w:rsidRPr="0028217E">
              <w:rPr>
                <w:bCs/>
                <w:sz w:val="16"/>
                <w:szCs w:val="16"/>
              </w:rPr>
              <w:t>400</w:t>
            </w:r>
          </w:p>
        </w:tc>
        <w:tc>
          <w:tcPr>
            <w:tcW w:w="1616" w:type="dxa"/>
            <w:tcBorders>
              <w:top w:val="single" w:sz="4" w:space="0" w:color="auto"/>
            </w:tcBorders>
          </w:tcPr>
          <w:p w:rsidR="0028217E" w:rsidRPr="0028217E" w:rsidRDefault="0028217E">
            <w:pPr>
              <w:keepNext/>
              <w:shd w:val="clear" w:color="000000" w:fill="auto"/>
              <w:spacing w:before="60" w:line="200" w:lineRule="exact"/>
              <w:jc w:val="right"/>
              <w:rPr>
                <w:bCs/>
                <w:sz w:val="16"/>
                <w:szCs w:val="16"/>
              </w:rPr>
            </w:pPr>
            <w:r w:rsidRPr="0028217E">
              <w:rPr>
                <w:bCs/>
                <w:sz w:val="16"/>
                <w:szCs w:val="16"/>
              </w:rPr>
              <w:t>172</w:t>
            </w:r>
          </w:p>
        </w:tc>
        <w:tc>
          <w:tcPr>
            <w:tcW w:w="2665" w:type="dxa"/>
            <w:tcBorders>
              <w:top w:val="single" w:sz="4" w:space="0" w:color="auto"/>
            </w:tcBorders>
            <w:noWrap/>
          </w:tcPr>
          <w:p w:rsidR="0028217E" w:rsidRPr="0028217E" w:rsidRDefault="0028217E">
            <w:pPr>
              <w:keepNext/>
              <w:shd w:val="clear" w:color="000000" w:fill="auto"/>
              <w:spacing w:before="60" w:line="200" w:lineRule="exact"/>
              <w:jc w:val="right"/>
              <w:rPr>
                <w:i/>
                <w:iCs/>
                <w:sz w:val="16"/>
                <w:szCs w:val="16"/>
              </w:rPr>
            </w:pPr>
            <w:r w:rsidRPr="0028217E">
              <w:rPr>
                <w:i/>
                <w:iCs/>
                <w:sz w:val="16"/>
                <w:szCs w:val="16"/>
              </w:rPr>
              <w:t>Mer än halverad</w:t>
            </w:r>
          </w:p>
        </w:tc>
      </w:tr>
      <w:tr w:rsidR="00000000" w:rsidRPr="0028217E">
        <w:trPr>
          <w:trHeight w:val="239"/>
        </w:trPr>
        <w:tc>
          <w:tcPr>
            <w:tcW w:w="1013" w:type="dxa"/>
          </w:tcPr>
          <w:p w:rsidR="0028217E" w:rsidRPr="0028217E" w:rsidRDefault="0028217E">
            <w:pPr>
              <w:keepNext/>
              <w:shd w:val="clear" w:color="000000" w:fill="auto"/>
              <w:spacing w:before="60" w:line="200" w:lineRule="exact"/>
              <w:jc w:val="left"/>
              <w:rPr>
                <w:sz w:val="16"/>
                <w:szCs w:val="16"/>
              </w:rPr>
            </w:pPr>
            <w:r w:rsidRPr="0028217E">
              <w:rPr>
                <w:sz w:val="16"/>
                <w:szCs w:val="16"/>
              </w:rPr>
              <w:t>10 000</w:t>
            </w:r>
          </w:p>
        </w:tc>
        <w:tc>
          <w:tcPr>
            <w:tcW w:w="1271" w:type="dxa"/>
          </w:tcPr>
          <w:p w:rsidR="0028217E" w:rsidRPr="0028217E" w:rsidRDefault="0028217E">
            <w:pPr>
              <w:keepNext/>
              <w:shd w:val="clear" w:color="000000" w:fill="auto"/>
              <w:spacing w:before="60" w:line="200" w:lineRule="exact"/>
              <w:jc w:val="right"/>
              <w:rPr>
                <w:bCs/>
                <w:sz w:val="16"/>
                <w:szCs w:val="16"/>
              </w:rPr>
            </w:pPr>
            <w:r w:rsidRPr="0028217E">
              <w:rPr>
                <w:bCs/>
                <w:sz w:val="16"/>
                <w:szCs w:val="16"/>
              </w:rPr>
              <w:t>599</w:t>
            </w:r>
          </w:p>
        </w:tc>
        <w:tc>
          <w:tcPr>
            <w:tcW w:w="1616" w:type="dxa"/>
          </w:tcPr>
          <w:p w:rsidR="0028217E" w:rsidRPr="0028217E" w:rsidRDefault="0028217E">
            <w:pPr>
              <w:keepNext/>
              <w:shd w:val="clear" w:color="000000" w:fill="auto"/>
              <w:spacing w:before="60" w:line="200" w:lineRule="exact"/>
              <w:jc w:val="right"/>
              <w:rPr>
                <w:bCs/>
                <w:sz w:val="16"/>
                <w:szCs w:val="16"/>
              </w:rPr>
            </w:pPr>
            <w:r w:rsidRPr="0028217E">
              <w:rPr>
                <w:bCs/>
                <w:sz w:val="16"/>
                <w:szCs w:val="16"/>
              </w:rPr>
              <w:t>289</w:t>
            </w:r>
          </w:p>
        </w:tc>
        <w:tc>
          <w:tcPr>
            <w:tcW w:w="2665" w:type="dxa"/>
            <w:noWrap/>
          </w:tcPr>
          <w:p w:rsidR="0028217E" w:rsidRPr="0028217E" w:rsidRDefault="0028217E">
            <w:pPr>
              <w:keepNext/>
              <w:shd w:val="clear" w:color="000000" w:fill="auto"/>
              <w:spacing w:before="60" w:line="200" w:lineRule="exact"/>
              <w:jc w:val="right"/>
              <w:rPr>
                <w:i/>
                <w:iCs/>
                <w:sz w:val="16"/>
                <w:szCs w:val="16"/>
              </w:rPr>
            </w:pPr>
            <w:r w:rsidRPr="0028217E">
              <w:rPr>
                <w:i/>
                <w:iCs/>
                <w:sz w:val="16"/>
                <w:szCs w:val="16"/>
              </w:rPr>
              <w:t>Halverad</w:t>
            </w:r>
          </w:p>
        </w:tc>
      </w:tr>
      <w:tr w:rsidR="00000000" w:rsidRPr="0028217E">
        <w:trPr>
          <w:trHeight w:val="239"/>
        </w:trPr>
        <w:tc>
          <w:tcPr>
            <w:tcW w:w="1013" w:type="dxa"/>
          </w:tcPr>
          <w:p w:rsidR="0028217E" w:rsidRPr="0028217E" w:rsidRDefault="0028217E">
            <w:pPr>
              <w:keepNext/>
              <w:shd w:val="clear" w:color="000000" w:fill="auto"/>
              <w:spacing w:before="60" w:line="200" w:lineRule="exact"/>
              <w:jc w:val="left"/>
              <w:rPr>
                <w:sz w:val="16"/>
                <w:szCs w:val="16"/>
              </w:rPr>
            </w:pPr>
            <w:r w:rsidRPr="0028217E">
              <w:rPr>
                <w:sz w:val="16"/>
                <w:szCs w:val="16"/>
              </w:rPr>
              <w:t>11 000</w:t>
            </w:r>
          </w:p>
        </w:tc>
        <w:tc>
          <w:tcPr>
            <w:tcW w:w="1271" w:type="dxa"/>
          </w:tcPr>
          <w:p w:rsidR="0028217E" w:rsidRPr="0028217E" w:rsidRDefault="0028217E">
            <w:pPr>
              <w:keepNext/>
              <w:shd w:val="clear" w:color="000000" w:fill="auto"/>
              <w:spacing w:before="60" w:line="200" w:lineRule="exact"/>
              <w:jc w:val="right"/>
              <w:rPr>
                <w:bCs/>
                <w:sz w:val="16"/>
                <w:szCs w:val="16"/>
              </w:rPr>
            </w:pPr>
            <w:r w:rsidRPr="0028217E">
              <w:rPr>
                <w:bCs/>
                <w:sz w:val="16"/>
                <w:szCs w:val="16"/>
              </w:rPr>
              <w:t>629</w:t>
            </w:r>
          </w:p>
        </w:tc>
        <w:tc>
          <w:tcPr>
            <w:tcW w:w="1616" w:type="dxa"/>
          </w:tcPr>
          <w:p w:rsidR="0028217E" w:rsidRPr="0028217E" w:rsidRDefault="0028217E">
            <w:pPr>
              <w:keepNext/>
              <w:shd w:val="clear" w:color="000000" w:fill="auto"/>
              <w:spacing w:before="60" w:line="200" w:lineRule="exact"/>
              <w:jc w:val="right"/>
              <w:rPr>
                <w:bCs/>
                <w:sz w:val="16"/>
                <w:szCs w:val="16"/>
              </w:rPr>
            </w:pPr>
            <w:r w:rsidRPr="0028217E">
              <w:rPr>
                <w:bCs/>
                <w:sz w:val="16"/>
                <w:szCs w:val="16"/>
              </w:rPr>
              <w:t>291</w:t>
            </w:r>
          </w:p>
        </w:tc>
        <w:tc>
          <w:tcPr>
            <w:tcW w:w="2665" w:type="dxa"/>
            <w:noWrap/>
          </w:tcPr>
          <w:p w:rsidR="0028217E" w:rsidRPr="0028217E" w:rsidRDefault="0028217E">
            <w:pPr>
              <w:keepNext/>
              <w:shd w:val="clear" w:color="000000" w:fill="auto"/>
              <w:spacing w:before="60" w:line="200" w:lineRule="exact"/>
              <w:jc w:val="right"/>
              <w:rPr>
                <w:i/>
                <w:iCs/>
                <w:sz w:val="16"/>
                <w:szCs w:val="16"/>
              </w:rPr>
            </w:pPr>
            <w:r w:rsidRPr="0028217E">
              <w:rPr>
                <w:i/>
                <w:iCs/>
                <w:sz w:val="16"/>
                <w:szCs w:val="16"/>
              </w:rPr>
              <w:t>Halverad</w:t>
            </w:r>
          </w:p>
        </w:tc>
      </w:tr>
      <w:tr w:rsidR="00000000" w:rsidRPr="0028217E">
        <w:trPr>
          <w:trHeight w:val="239"/>
        </w:trPr>
        <w:tc>
          <w:tcPr>
            <w:tcW w:w="1013" w:type="dxa"/>
          </w:tcPr>
          <w:p w:rsidR="0028217E" w:rsidRPr="0028217E" w:rsidRDefault="0028217E">
            <w:pPr>
              <w:keepNext/>
              <w:shd w:val="clear" w:color="000000" w:fill="auto"/>
              <w:spacing w:before="60" w:line="200" w:lineRule="exact"/>
              <w:jc w:val="left"/>
              <w:rPr>
                <w:sz w:val="16"/>
                <w:szCs w:val="16"/>
              </w:rPr>
            </w:pPr>
            <w:r w:rsidRPr="0028217E">
              <w:rPr>
                <w:sz w:val="16"/>
                <w:szCs w:val="16"/>
              </w:rPr>
              <w:t>12 000</w:t>
            </w:r>
          </w:p>
        </w:tc>
        <w:tc>
          <w:tcPr>
            <w:tcW w:w="1271" w:type="dxa"/>
          </w:tcPr>
          <w:p w:rsidR="0028217E" w:rsidRPr="0028217E" w:rsidRDefault="0028217E">
            <w:pPr>
              <w:keepNext/>
              <w:shd w:val="clear" w:color="000000" w:fill="auto"/>
              <w:spacing w:before="60" w:line="200" w:lineRule="exact"/>
              <w:jc w:val="right"/>
              <w:rPr>
                <w:bCs/>
                <w:sz w:val="16"/>
                <w:szCs w:val="16"/>
              </w:rPr>
            </w:pPr>
            <w:r w:rsidRPr="0028217E">
              <w:rPr>
                <w:bCs/>
                <w:sz w:val="16"/>
                <w:szCs w:val="16"/>
              </w:rPr>
              <w:t>659</w:t>
            </w:r>
          </w:p>
        </w:tc>
        <w:tc>
          <w:tcPr>
            <w:tcW w:w="1616" w:type="dxa"/>
          </w:tcPr>
          <w:p w:rsidR="0028217E" w:rsidRPr="0028217E" w:rsidRDefault="0028217E">
            <w:pPr>
              <w:keepNext/>
              <w:shd w:val="clear" w:color="000000" w:fill="auto"/>
              <w:spacing w:before="60" w:line="200" w:lineRule="exact"/>
              <w:jc w:val="right"/>
              <w:rPr>
                <w:bCs/>
                <w:sz w:val="16"/>
                <w:szCs w:val="16"/>
              </w:rPr>
            </w:pPr>
            <w:r w:rsidRPr="0028217E">
              <w:rPr>
                <w:bCs/>
                <w:sz w:val="16"/>
                <w:szCs w:val="16"/>
              </w:rPr>
              <w:t>311</w:t>
            </w:r>
          </w:p>
        </w:tc>
        <w:tc>
          <w:tcPr>
            <w:tcW w:w="2665" w:type="dxa"/>
            <w:noWrap/>
          </w:tcPr>
          <w:p w:rsidR="0028217E" w:rsidRPr="0028217E" w:rsidRDefault="0028217E">
            <w:pPr>
              <w:keepNext/>
              <w:shd w:val="clear" w:color="000000" w:fill="auto"/>
              <w:spacing w:before="60" w:line="200" w:lineRule="exact"/>
              <w:jc w:val="right"/>
              <w:rPr>
                <w:i/>
                <w:iCs/>
                <w:sz w:val="16"/>
                <w:szCs w:val="16"/>
              </w:rPr>
            </w:pPr>
            <w:r w:rsidRPr="0028217E">
              <w:rPr>
                <w:i/>
                <w:iCs/>
                <w:sz w:val="16"/>
                <w:szCs w:val="16"/>
              </w:rPr>
              <w:t>Halverad</w:t>
            </w:r>
          </w:p>
        </w:tc>
      </w:tr>
      <w:tr w:rsidR="00000000" w:rsidRPr="0028217E">
        <w:trPr>
          <w:trHeight w:val="239"/>
        </w:trPr>
        <w:tc>
          <w:tcPr>
            <w:tcW w:w="1013" w:type="dxa"/>
          </w:tcPr>
          <w:p w:rsidR="0028217E" w:rsidRPr="0028217E" w:rsidRDefault="0028217E">
            <w:pPr>
              <w:keepNext/>
              <w:shd w:val="clear" w:color="000000" w:fill="auto"/>
              <w:spacing w:before="60" w:line="200" w:lineRule="exact"/>
              <w:jc w:val="left"/>
              <w:rPr>
                <w:sz w:val="16"/>
                <w:szCs w:val="16"/>
              </w:rPr>
            </w:pPr>
            <w:r w:rsidRPr="0028217E">
              <w:rPr>
                <w:sz w:val="16"/>
                <w:szCs w:val="16"/>
              </w:rPr>
              <w:t>13 000</w:t>
            </w:r>
          </w:p>
        </w:tc>
        <w:tc>
          <w:tcPr>
            <w:tcW w:w="1271" w:type="dxa"/>
          </w:tcPr>
          <w:p w:rsidR="0028217E" w:rsidRPr="0028217E" w:rsidRDefault="0028217E">
            <w:pPr>
              <w:keepNext/>
              <w:shd w:val="clear" w:color="000000" w:fill="auto"/>
              <w:spacing w:before="60" w:line="200" w:lineRule="exact"/>
              <w:jc w:val="right"/>
              <w:rPr>
                <w:bCs/>
                <w:sz w:val="16"/>
                <w:szCs w:val="16"/>
              </w:rPr>
            </w:pPr>
            <w:r w:rsidRPr="0028217E">
              <w:rPr>
                <w:bCs/>
                <w:sz w:val="16"/>
                <w:szCs w:val="16"/>
              </w:rPr>
              <w:t>688</w:t>
            </w:r>
          </w:p>
        </w:tc>
        <w:tc>
          <w:tcPr>
            <w:tcW w:w="1616" w:type="dxa"/>
          </w:tcPr>
          <w:p w:rsidR="0028217E" w:rsidRPr="0028217E" w:rsidRDefault="0028217E">
            <w:pPr>
              <w:keepNext/>
              <w:shd w:val="clear" w:color="000000" w:fill="auto"/>
              <w:spacing w:before="60" w:line="200" w:lineRule="exact"/>
              <w:jc w:val="right"/>
              <w:rPr>
                <w:bCs/>
                <w:sz w:val="16"/>
                <w:szCs w:val="16"/>
              </w:rPr>
            </w:pPr>
            <w:r w:rsidRPr="0028217E">
              <w:rPr>
                <w:bCs/>
                <w:sz w:val="16"/>
                <w:szCs w:val="16"/>
              </w:rPr>
              <w:t>332</w:t>
            </w:r>
          </w:p>
        </w:tc>
        <w:tc>
          <w:tcPr>
            <w:tcW w:w="2665" w:type="dxa"/>
            <w:noWrap/>
          </w:tcPr>
          <w:p w:rsidR="0028217E" w:rsidRPr="0028217E" w:rsidRDefault="0028217E">
            <w:pPr>
              <w:keepNext/>
              <w:shd w:val="clear" w:color="000000" w:fill="auto"/>
              <w:spacing w:before="60" w:line="200" w:lineRule="exact"/>
              <w:jc w:val="right"/>
              <w:rPr>
                <w:i/>
                <w:iCs/>
                <w:sz w:val="16"/>
                <w:szCs w:val="16"/>
              </w:rPr>
            </w:pPr>
            <w:r w:rsidRPr="0028217E">
              <w:rPr>
                <w:i/>
                <w:iCs/>
                <w:sz w:val="16"/>
                <w:szCs w:val="16"/>
              </w:rPr>
              <w:t>Halverad</w:t>
            </w:r>
          </w:p>
        </w:tc>
      </w:tr>
      <w:tr w:rsidR="00000000" w:rsidRPr="0028217E">
        <w:trPr>
          <w:trHeight w:val="239"/>
        </w:trPr>
        <w:tc>
          <w:tcPr>
            <w:tcW w:w="1013" w:type="dxa"/>
          </w:tcPr>
          <w:p w:rsidR="0028217E" w:rsidRPr="0028217E" w:rsidRDefault="0028217E">
            <w:pPr>
              <w:keepNext/>
              <w:shd w:val="clear" w:color="000000" w:fill="auto"/>
              <w:spacing w:before="60" w:line="200" w:lineRule="exact"/>
              <w:jc w:val="left"/>
              <w:rPr>
                <w:sz w:val="16"/>
                <w:szCs w:val="16"/>
              </w:rPr>
            </w:pPr>
            <w:r w:rsidRPr="0028217E">
              <w:rPr>
                <w:sz w:val="16"/>
                <w:szCs w:val="16"/>
              </w:rPr>
              <w:t>14 000</w:t>
            </w:r>
          </w:p>
        </w:tc>
        <w:tc>
          <w:tcPr>
            <w:tcW w:w="1271" w:type="dxa"/>
          </w:tcPr>
          <w:p w:rsidR="0028217E" w:rsidRPr="0028217E" w:rsidRDefault="0028217E">
            <w:pPr>
              <w:keepNext/>
              <w:shd w:val="clear" w:color="000000" w:fill="auto"/>
              <w:spacing w:before="60" w:line="200" w:lineRule="exact"/>
              <w:jc w:val="right"/>
              <w:rPr>
                <w:bCs/>
                <w:sz w:val="16"/>
                <w:szCs w:val="16"/>
              </w:rPr>
            </w:pPr>
            <w:r w:rsidRPr="0028217E">
              <w:rPr>
                <w:bCs/>
                <w:sz w:val="16"/>
                <w:szCs w:val="16"/>
              </w:rPr>
              <w:t>726</w:t>
            </w:r>
          </w:p>
        </w:tc>
        <w:tc>
          <w:tcPr>
            <w:tcW w:w="1616" w:type="dxa"/>
          </w:tcPr>
          <w:p w:rsidR="0028217E" w:rsidRPr="0028217E" w:rsidRDefault="0028217E">
            <w:pPr>
              <w:keepNext/>
              <w:shd w:val="clear" w:color="000000" w:fill="auto"/>
              <w:spacing w:before="60" w:line="200" w:lineRule="exact"/>
              <w:jc w:val="right"/>
              <w:rPr>
                <w:bCs/>
                <w:sz w:val="16"/>
                <w:szCs w:val="16"/>
              </w:rPr>
            </w:pPr>
            <w:r w:rsidRPr="0028217E">
              <w:rPr>
                <w:bCs/>
                <w:sz w:val="16"/>
                <w:szCs w:val="16"/>
              </w:rPr>
              <w:t>373</w:t>
            </w:r>
          </w:p>
        </w:tc>
        <w:tc>
          <w:tcPr>
            <w:tcW w:w="2665" w:type="dxa"/>
            <w:noWrap/>
          </w:tcPr>
          <w:p w:rsidR="0028217E" w:rsidRPr="0028217E" w:rsidRDefault="0028217E">
            <w:pPr>
              <w:keepNext/>
              <w:shd w:val="clear" w:color="000000" w:fill="auto"/>
              <w:spacing w:before="60" w:line="200" w:lineRule="exact"/>
              <w:jc w:val="right"/>
              <w:rPr>
                <w:i/>
                <w:iCs/>
                <w:sz w:val="16"/>
                <w:szCs w:val="16"/>
              </w:rPr>
            </w:pPr>
            <w:r w:rsidRPr="0028217E">
              <w:rPr>
                <w:i/>
                <w:iCs/>
                <w:sz w:val="16"/>
                <w:szCs w:val="16"/>
              </w:rPr>
              <w:t>Halverad</w:t>
            </w:r>
          </w:p>
        </w:tc>
      </w:tr>
      <w:tr w:rsidR="00000000" w:rsidRPr="0028217E">
        <w:trPr>
          <w:trHeight w:val="239"/>
        </w:trPr>
        <w:tc>
          <w:tcPr>
            <w:tcW w:w="1013" w:type="dxa"/>
          </w:tcPr>
          <w:p w:rsidR="0028217E" w:rsidRPr="0028217E" w:rsidRDefault="0028217E">
            <w:pPr>
              <w:keepNext/>
              <w:shd w:val="clear" w:color="000000" w:fill="auto"/>
              <w:spacing w:before="60" w:line="200" w:lineRule="exact"/>
              <w:jc w:val="left"/>
              <w:rPr>
                <w:sz w:val="16"/>
                <w:szCs w:val="16"/>
              </w:rPr>
            </w:pPr>
            <w:r w:rsidRPr="0028217E">
              <w:rPr>
                <w:sz w:val="16"/>
                <w:szCs w:val="16"/>
              </w:rPr>
              <w:t>15 000</w:t>
            </w:r>
          </w:p>
        </w:tc>
        <w:tc>
          <w:tcPr>
            <w:tcW w:w="1271" w:type="dxa"/>
          </w:tcPr>
          <w:p w:rsidR="0028217E" w:rsidRPr="0028217E" w:rsidRDefault="0028217E">
            <w:pPr>
              <w:keepNext/>
              <w:shd w:val="clear" w:color="000000" w:fill="auto"/>
              <w:spacing w:before="60" w:line="200" w:lineRule="exact"/>
              <w:jc w:val="right"/>
              <w:rPr>
                <w:bCs/>
                <w:sz w:val="16"/>
                <w:szCs w:val="16"/>
              </w:rPr>
            </w:pPr>
            <w:r w:rsidRPr="0028217E">
              <w:rPr>
                <w:bCs/>
                <w:sz w:val="16"/>
                <w:szCs w:val="16"/>
              </w:rPr>
              <w:t>785</w:t>
            </w:r>
          </w:p>
        </w:tc>
        <w:tc>
          <w:tcPr>
            <w:tcW w:w="1616" w:type="dxa"/>
          </w:tcPr>
          <w:p w:rsidR="0028217E" w:rsidRPr="0028217E" w:rsidRDefault="0028217E">
            <w:pPr>
              <w:keepNext/>
              <w:shd w:val="clear" w:color="000000" w:fill="auto"/>
              <w:spacing w:before="60" w:line="200" w:lineRule="exact"/>
              <w:jc w:val="right"/>
              <w:rPr>
                <w:bCs/>
                <w:sz w:val="16"/>
                <w:szCs w:val="16"/>
              </w:rPr>
            </w:pPr>
            <w:r w:rsidRPr="0028217E">
              <w:rPr>
                <w:bCs/>
                <w:sz w:val="16"/>
                <w:szCs w:val="16"/>
              </w:rPr>
              <w:t>433</w:t>
            </w:r>
          </w:p>
        </w:tc>
        <w:tc>
          <w:tcPr>
            <w:tcW w:w="2665" w:type="dxa"/>
            <w:noWrap/>
          </w:tcPr>
          <w:p w:rsidR="0028217E" w:rsidRPr="0028217E" w:rsidRDefault="0028217E">
            <w:pPr>
              <w:keepNext/>
              <w:shd w:val="clear" w:color="000000" w:fill="auto"/>
              <w:spacing w:before="60" w:line="200" w:lineRule="exact"/>
              <w:jc w:val="right"/>
              <w:rPr>
                <w:i/>
                <w:iCs/>
                <w:sz w:val="16"/>
                <w:szCs w:val="16"/>
              </w:rPr>
            </w:pPr>
            <w:r w:rsidRPr="0028217E">
              <w:rPr>
                <w:i/>
                <w:iCs/>
                <w:sz w:val="16"/>
                <w:szCs w:val="16"/>
              </w:rPr>
              <w:t>Nära halverad</w:t>
            </w:r>
          </w:p>
        </w:tc>
      </w:tr>
      <w:tr w:rsidR="00000000" w:rsidRPr="0028217E">
        <w:trPr>
          <w:trHeight w:val="239"/>
        </w:trPr>
        <w:tc>
          <w:tcPr>
            <w:tcW w:w="1013" w:type="dxa"/>
          </w:tcPr>
          <w:p w:rsidR="0028217E" w:rsidRPr="0028217E" w:rsidRDefault="0028217E">
            <w:pPr>
              <w:keepNext/>
              <w:shd w:val="clear" w:color="000000" w:fill="auto"/>
              <w:spacing w:before="60" w:line="200" w:lineRule="exact"/>
              <w:jc w:val="left"/>
              <w:rPr>
                <w:sz w:val="16"/>
                <w:szCs w:val="16"/>
              </w:rPr>
            </w:pPr>
            <w:r w:rsidRPr="0028217E">
              <w:rPr>
                <w:sz w:val="16"/>
                <w:szCs w:val="16"/>
              </w:rPr>
              <w:t>16 000</w:t>
            </w:r>
          </w:p>
        </w:tc>
        <w:tc>
          <w:tcPr>
            <w:tcW w:w="1271" w:type="dxa"/>
          </w:tcPr>
          <w:p w:rsidR="0028217E" w:rsidRPr="0028217E" w:rsidRDefault="0028217E">
            <w:pPr>
              <w:keepNext/>
              <w:shd w:val="clear" w:color="000000" w:fill="auto"/>
              <w:spacing w:before="60" w:line="200" w:lineRule="exact"/>
              <w:jc w:val="right"/>
              <w:rPr>
                <w:bCs/>
                <w:sz w:val="16"/>
                <w:szCs w:val="16"/>
              </w:rPr>
            </w:pPr>
            <w:r w:rsidRPr="0028217E">
              <w:rPr>
                <w:bCs/>
                <w:sz w:val="16"/>
                <w:szCs w:val="16"/>
              </w:rPr>
              <w:t>844</w:t>
            </w:r>
          </w:p>
        </w:tc>
        <w:tc>
          <w:tcPr>
            <w:tcW w:w="1616" w:type="dxa"/>
          </w:tcPr>
          <w:p w:rsidR="0028217E" w:rsidRPr="0028217E" w:rsidRDefault="0028217E">
            <w:pPr>
              <w:keepNext/>
              <w:shd w:val="clear" w:color="000000" w:fill="auto"/>
              <w:spacing w:before="60" w:line="200" w:lineRule="exact"/>
              <w:jc w:val="right"/>
              <w:rPr>
                <w:bCs/>
                <w:sz w:val="16"/>
                <w:szCs w:val="16"/>
              </w:rPr>
            </w:pPr>
            <w:r w:rsidRPr="0028217E">
              <w:rPr>
                <w:bCs/>
                <w:sz w:val="16"/>
                <w:szCs w:val="16"/>
              </w:rPr>
              <w:t>493</w:t>
            </w:r>
          </w:p>
        </w:tc>
        <w:tc>
          <w:tcPr>
            <w:tcW w:w="2665" w:type="dxa"/>
            <w:noWrap/>
          </w:tcPr>
          <w:p w:rsidR="0028217E" w:rsidRPr="0028217E" w:rsidRDefault="0028217E">
            <w:pPr>
              <w:keepNext/>
              <w:shd w:val="clear" w:color="000000" w:fill="auto"/>
              <w:spacing w:before="60" w:line="200" w:lineRule="exact"/>
              <w:jc w:val="right"/>
              <w:rPr>
                <w:i/>
                <w:iCs/>
                <w:sz w:val="16"/>
                <w:szCs w:val="16"/>
              </w:rPr>
            </w:pPr>
            <w:r w:rsidRPr="0028217E">
              <w:rPr>
                <w:i/>
                <w:iCs/>
                <w:sz w:val="16"/>
                <w:szCs w:val="16"/>
              </w:rPr>
              <w:t>Nära halverad</w:t>
            </w:r>
          </w:p>
        </w:tc>
      </w:tr>
      <w:tr w:rsidR="00000000" w:rsidRPr="0028217E">
        <w:trPr>
          <w:trHeight w:val="239"/>
        </w:trPr>
        <w:tc>
          <w:tcPr>
            <w:tcW w:w="1013" w:type="dxa"/>
          </w:tcPr>
          <w:p w:rsidR="0028217E" w:rsidRPr="0028217E" w:rsidRDefault="0028217E">
            <w:pPr>
              <w:keepNext/>
              <w:shd w:val="clear" w:color="000000" w:fill="auto"/>
              <w:spacing w:before="60" w:line="200" w:lineRule="exact"/>
              <w:jc w:val="left"/>
              <w:rPr>
                <w:sz w:val="16"/>
                <w:szCs w:val="16"/>
              </w:rPr>
            </w:pPr>
            <w:r w:rsidRPr="0028217E">
              <w:rPr>
                <w:sz w:val="16"/>
                <w:szCs w:val="16"/>
              </w:rPr>
              <w:t>18 000</w:t>
            </w:r>
          </w:p>
        </w:tc>
        <w:tc>
          <w:tcPr>
            <w:tcW w:w="1271" w:type="dxa"/>
          </w:tcPr>
          <w:p w:rsidR="0028217E" w:rsidRPr="0028217E" w:rsidRDefault="0028217E">
            <w:pPr>
              <w:keepNext/>
              <w:shd w:val="clear" w:color="000000" w:fill="auto"/>
              <w:spacing w:before="60" w:line="200" w:lineRule="exact"/>
              <w:jc w:val="right"/>
              <w:rPr>
                <w:bCs/>
                <w:sz w:val="16"/>
                <w:szCs w:val="16"/>
              </w:rPr>
            </w:pPr>
            <w:r w:rsidRPr="0028217E">
              <w:rPr>
                <w:bCs/>
                <w:sz w:val="16"/>
                <w:szCs w:val="16"/>
              </w:rPr>
              <w:t>964</w:t>
            </w:r>
          </w:p>
        </w:tc>
        <w:tc>
          <w:tcPr>
            <w:tcW w:w="1616" w:type="dxa"/>
          </w:tcPr>
          <w:p w:rsidR="0028217E" w:rsidRPr="0028217E" w:rsidRDefault="0028217E">
            <w:pPr>
              <w:keepNext/>
              <w:shd w:val="clear" w:color="000000" w:fill="auto"/>
              <w:spacing w:before="60" w:line="200" w:lineRule="exact"/>
              <w:jc w:val="right"/>
              <w:rPr>
                <w:bCs/>
                <w:sz w:val="16"/>
                <w:szCs w:val="16"/>
              </w:rPr>
            </w:pPr>
            <w:r w:rsidRPr="0028217E">
              <w:rPr>
                <w:bCs/>
                <w:sz w:val="16"/>
                <w:szCs w:val="16"/>
              </w:rPr>
              <w:t>616</w:t>
            </w:r>
          </w:p>
        </w:tc>
        <w:tc>
          <w:tcPr>
            <w:tcW w:w="2665" w:type="dxa"/>
            <w:noWrap/>
          </w:tcPr>
          <w:p w:rsidR="0028217E" w:rsidRPr="0028217E" w:rsidRDefault="0028217E">
            <w:pPr>
              <w:keepNext/>
              <w:shd w:val="clear" w:color="000000" w:fill="auto"/>
              <w:spacing w:before="60" w:line="200" w:lineRule="exact"/>
              <w:jc w:val="right"/>
              <w:rPr>
                <w:i/>
                <w:iCs/>
                <w:sz w:val="16"/>
                <w:szCs w:val="16"/>
              </w:rPr>
            </w:pPr>
            <w:r w:rsidRPr="0028217E">
              <w:rPr>
                <w:i/>
                <w:iCs/>
                <w:sz w:val="16"/>
                <w:szCs w:val="16"/>
              </w:rPr>
              <w:t>Minskad med 1/3</w:t>
            </w:r>
          </w:p>
        </w:tc>
      </w:tr>
      <w:tr w:rsidR="00000000" w:rsidRPr="0028217E">
        <w:trPr>
          <w:cnfStyle w:val="010000000000" w:firstRow="0" w:lastRow="1" w:firstColumn="0" w:lastColumn="0" w:oddVBand="0" w:evenVBand="0" w:oddHBand="0" w:evenHBand="0" w:firstRowFirstColumn="0" w:firstRowLastColumn="0" w:lastRowFirstColumn="0" w:lastRowLastColumn="0"/>
          <w:trHeight w:val="253"/>
        </w:trPr>
        <w:tc>
          <w:tcPr>
            <w:tcW w:w="1013" w:type="dxa"/>
          </w:tcPr>
          <w:p w:rsidR="0028217E" w:rsidRPr="0028217E" w:rsidRDefault="0028217E">
            <w:pPr>
              <w:keepNext/>
              <w:shd w:val="clear" w:color="000000" w:fill="auto"/>
              <w:spacing w:before="60" w:line="200" w:lineRule="exact"/>
              <w:jc w:val="left"/>
              <w:rPr>
                <w:sz w:val="16"/>
                <w:szCs w:val="16"/>
              </w:rPr>
            </w:pPr>
            <w:r w:rsidRPr="0028217E">
              <w:rPr>
                <w:sz w:val="16"/>
                <w:szCs w:val="16"/>
              </w:rPr>
              <w:t>20 000</w:t>
            </w:r>
          </w:p>
        </w:tc>
        <w:tc>
          <w:tcPr>
            <w:tcW w:w="1271" w:type="dxa"/>
          </w:tcPr>
          <w:p w:rsidR="0028217E" w:rsidRPr="0028217E" w:rsidRDefault="0028217E">
            <w:pPr>
              <w:keepNext/>
              <w:shd w:val="clear" w:color="000000" w:fill="auto"/>
              <w:spacing w:before="60" w:line="200" w:lineRule="exact"/>
              <w:jc w:val="right"/>
              <w:rPr>
                <w:bCs/>
                <w:sz w:val="16"/>
                <w:szCs w:val="16"/>
              </w:rPr>
            </w:pPr>
            <w:r w:rsidRPr="0028217E">
              <w:rPr>
                <w:bCs/>
                <w:sz w:val="16"/>
                <w:szCs w:val="16"/>
              </w:rPr>
              <w:t>1 085</w:t>
            </w:r>
          </w:p>
        </w:tc>
        <w:tc>
          <w:tcPr>
            <w:tcW w:w="1616" w:type="dxa"/>
          </w:tcPr>
          <w:p w:rsidR="0028217E" w:rsidRPr="0028217E" w:rsidRDefault="0028217E">
            <w:pPr>
              <w:keepNext/>
              <w:shd w:val="clear" w:color="000000" w:fill="auto"/>
              <w:spacing w:before="60" w:line="200" w:lineRule="exact"/>
              <w:jc w:val="right"/>
              <w:rPr>
                <w:bCs/>
                <w:sz w:val="16"/>
                <w:szCs w:val="16"/>
              </w:rPr>
            </w:pPr>
            <w:r w:rsidRPr="0028217E">
              <w:rPr>
                <w:bCs/>
                <w:sz w:val="16"/>
                <w:szCs w:val="16"/>
              </w:rPr>
              <w:t>741</w:t>
            </w:r>
          </w:p>
        </w:tc>
        <w:tc>
          <w:tcPr>
            <w:tcW w:w="2665" w:type="dxa"/>
          </w:tcPr>
          <w:p w:rsidR="0028217E" w:rsidRPr="0028217E" w:rsidRDefault="0028217E">
            <w:pPr>
              <w:keepNext/>
              <w:shd w:val="clear" w:color="000000" w:fill="auto"/>
              <w:spacing w:before="60" w:line="200" w:lineRule="exact"/>
              <w:jc w:val="right"/>
              <w:rPr>
                <w:i/>
                <w:iCs/>
                <w:sz w:val="16"/>
                <w:szCs w:val="16"/>
              </w:rPr>
            </w:pPr>
            <w:r w:rsidRPr="0028217E">
              <w:rPr>
                <w:i/>
                <w:iCs/>
                <w:sz w:val="16"/>
                <w:szCs w:val="16"/>
              </w:rPr>
              <w:t>Minskad med 1/3</w:t>
            </w:r>
          </w:p>
        </w:tc>
      </w:tr>
    </w:tbl>
    <w:p w:rsidR="0028217E" w:rsidRPr="0028217E" w:rsidRDefault="0028217E">
      <w:pPr>
        <w:shd w:val="clear" w:color="000000" w:fill="auto"/>
        <w:spacing w:before="0"/>
        <w:rPr>
          <w:sz w:val="16"/>
          <w:szCs w:val="16"/>
        </w:rPr>
      </w:pPr>
      <w:r w:rsidRPr="0028217E">
        <w:rPr>
          <w:sz w:val="16"/>
          <w:szCs w:val="16"/>
        </w:rPr>
        <w:t>Källa: Riksdagens utredningstjänst och egna beräkningar.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217E">
        <w:trPr>
          <w:cantSplit/>
        </w:trPr>
        <w:tc>
          <w:tcPr>
            <w:tcW w:w="3046" w:type="dxa"/>
          </w:tcPr>
          <w:p w:rsidR="0028217E" w:rsidRPr="0028217E" w:rsidRDefault="0028217E">
            <w:pPr>
              <w:pStyle w:val="UnderskriftDatum"/>
              <w:shd w:val="clear" w:color="000000" w:fill="auto"/>
              <w:spacing w:before="240"/>
            </w:pPr>
            <w:r w:rsidRPr="0028217E">
              <w:t>Stockholm den 11 november 2009</w:t>
            </w:r>
          </w:p>
        </w:tc>
        <w:tc>
          <w:tcPr>
            <w:tcW w:w="3047" w:type="dxa"/>
          </w:tcPr>
          <w:p w:rsidR="0028217E" w:rsidRPr="0028217E" w:rsidRDefault="0028217E">
            <w:pPr>
              <w:pStyle w:val="Underskrifter"/>
              <w:shd w:val="clear" w:color="000000" w:fill="auto"/>
              <w:spacing w:before="240"/>
            </w:pPr>
          </w:p>
        </w:tc>
      </w:tr>
      <w:tr w:rsidR="00000000" w:rsidRPr="0028217E">
        <w:trPr>
          <w:cantSplit/>
        </w:trPr>
        <w:tc>
          <w:tcPr>
            <w:tcW w:w="3046" w:type="dxa"/>
          </w:tcPr>
          <w:p w:rsidR="0028217E" w:rsidRPr="0028217E" w:rsidRDefault="0028217E">
            <w:pPr>
              <w:pStyle w:val="Underskrifter"/>
              <w:shd w:val="clear" w:color="000000" w:fill="auto"/>
            </w:pPr>
            <w:r w:rsidRPr="0028217E">
              <w:t>Lars Johansson (s)</w:t>
            </w:r>
          </w:p>
        </w:tc>
        <w:tc>
          <w:tcPr>
            <w:tcW w:w="3046" w:type="dxa"/>
          </w:tcPr>
          <w:p w:rsidR="0028217E" w:rsidRPr="0028217E" w:rsidRDefault="0028217E">
            <w:pPr>
              <w:pStyle w:val="Underskrifter"/>
              <w:shd w:val="clear" w:color="000000" w:fill="auto"/>
            </w:pPr>
          </w:p>
        </w:tc>
      </w:tr>
      <w:tr w:rsidR="00000000" w:rsidRPr="0028217E">
        <w:trPr>
          <w:cantSplit/>
        </w:trPr>
        <w:tc>
          <w:tcPr>
            <w:tcW w:w="3046" w:type="dxa"/>
          </w:tcPr>
          <w:p w:rsidR="0028217E" w:rsidRPr="0028217E" w:rsidRDefault="0028217E">
            <w:pPr>
              <w:pStyle w:val="Underskrifter"/>
              <w:shd w:val="clear" w:color="000000" w:fill="auto"/>
            </w:pPr>
            <w:r w:rsidRPr="0028217E">
              <w:t>Laila Bjurling (s)</w:t>
            </w:r>
          </w:p>
        </w:tc>
        <w:tc>
          <w:tcPr>
            <w:tcW w:w="3046" w:type="dxa"/>
          </w:tcPr>
          <w:p w:rsidR="0028217E" w:rsidRPr="0028217E" w:rsidRDefault="0028217E">
            <w:pPr>
              <w:pStyle w:val="Underskrifter"/>
              <w:shd w:val="clear" w:color="000000" w:fill="auto"/>
            </w:pPr>
            <w:r w:rsidRPr="0028217E">
              <w:t>Raimo Pärssinen (s)</w:t>
            </w:r>
          </w:p>
        </w:tc>
      </w:tr>
      <w:tr w:rsidR="00000000" w:rsidRPr="0028217E">
        <w:trPr>
          <w:cantSplit/>
        </w:trPr>
        <w:tc>
          <w:tcPr>
            <w:tcW w:w="3046" w:type="dxa"/>
          </w:tcPr>
          <w:p w:rsidR="0028217E" w:rsidRPr="0028217E" w:rsidRDefault="0028217E">
            <w:pPr>
              <w:pStyle w:val="Underskrifter"/>
              <w:shd w:val="clear" w:color="000000" w:fill="auto"/>
            </w:pPr>
            <w:r w:rsidRPr="0028217E">
              <w:t>Christin Hagberg (s)</w:t>
            </w:r>
          </w:p>
        </w:tc>
        <w:tc>
          <w:tcPr>
            <w:tcW w:w="3046" w:type="dxa"/>
          </w:tcPr>
          <w:p w:rsidR="0028217E" w:rsidRPr="0028217E" w:rsidRDefault="0028217E">
            <w:pPr>
              <w:pStyle w:val="Underskrifter"/>
              <w:shd w:val="clear" w:color="000000" w:fill="auto"/>
            </w:pPr>
            <w:r w:rsidRPr="0028217E">
              <w:t>Fredrik Olovsson (s)</w:t>
            </w:r>
          </w:p>
        </w:tc>
      </w:tr>
      <w:tr w:rsidR="00000000" w:rsidRPr="0028217E">
        <w:trPr>
          <w:cantSplit/>
        </w:trPr>
        <w:tc>
          <w:tcPr>
            <w:tcW w:w="3046" w:type="dxa"/>
          </w:tcPr>
          <w:p w:rsidR="0028217E" w:rsidRPr="0028217E" w:rsidRDefault="0028217E">
            <w:pPr>
              <w:pStyle w:val="Underskrifter"/>
              <w:shd w:val="clear" w:color="000000" w:fill="auto"/>
            </w:pPr>
            <w:r w:rsidRPr="0028217E">
              <w:t>Britta Rådström (s)</w:t>
            </w:r>
          </w:p>
        </w:tc>
        <w:tc>
          <w:tcPr>
            <w:tcW w:w="3046" w:type="dxa"/>
          </w:tcPr>
          <w:p w:rsidR="0028217E" w:rsidRPr="0028217E" w:rsidRDefault="0028217E">
            <w:pPr>
              <w:pStyle w:val="Underskrifter"/>
              <w:shd w:val="clear" w:color="000000" w:fill="auto"/>
            </w:pPr>
            <w:r w:rsidRPr="0028217E">
              <w:t>Hans Olsson (s)</w:t>
            </w:r>
          </w:p>
        </w:tc>
      </w:tr>
      <w:tr w:rsidR="00000000" w:rsidRPr="0028217E">
        <w:trPr>
          <w:cantSplit/>
        </w:trPr>
        <w:tc>
          <w:tcPr>
            <w:tcW w:w="3046" w:type="dxa"/>
          </w:tcPr>
          <w:p w:rsidR="0028217E" w:rsidRPr="0028217E" w:rsidRDefault="0028217E">
            <w:pPr>
              <w:pStyle w:val="Underskrifter"/>
              <w:shd w:val="clear" w:color="000000" w:fill="auto"/>
            </w:pPr>
            <w:r w:rsidRPr="0028217E">
              <w:t>Birgitta Eriksson (s)</w:t>
            </w:r>
          </w:p>
        </w:tc>
        <w:tc>
          <w:tcPr>
            <w:tcW w:w="3046" w:type="dxa"/>
          </w:tcPr>
          <w:p w:rsidR="0028217E" w:rsidRPr="0028217E" w:rsidRDefault="0028217E">
            <w:pPr>
              <w:pStyle w:val="Underskrifter"/>
              <w:shd w:val="clear" w:color="000000" w:fill="auto"/>
            </w:pPr>
          </w:p>
        </w:tc>
      </w:tr>
    </w:tbl>
    <w:p w:rsidR="0028217E" w:rsidRPr="0028217E" w:rsidRDefault="0028217E">
      <w:pPr>
        <w:pStyle w:val="Normaltindrag"/>
        <w:shd w:val="clear" w:color="000000" w:fill="auto"/>
      </w:pPr>
    </w:p>
    <w:sectPr w:rsidR="00000000" w:rsidRPr="002821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17E" w:rsidRPr="0028217E" w:rsidRDefault="0028217E">
      <w:r w:rsidRPr="0028217E">
        <w:separator/>
      </w:r>
    </w:p>
  </w:endnote>
  <w:endnote w:type="continuationSeparator" w:id="0">
    <w:p w:rsidR="0028217E" w:rsidRPr="0028217E" w:rsidRDefault="0028217E">
      <w:r w:rsidRPr="002821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17E" w:rsidRPr="0028217E" w:rsidRDefault="0028217E">
    <w:pPr>
      <w:pStyle w:val="Sidfot"/>
    </w:pPr>
    <w:r w:rsidRPr="002821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393519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17E" w:rsidRDefault="002821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217E" w:rsidRDefault="002821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17E" w:rsidRPr="0028217E" w:rsidRDefault="0028217E">
    <w:pPr>
      <w:pStyle w:val="Sidfot"/>
    </w:pPr>
    <w:r w:rsidRPr="002821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3040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17E" w:rsidRDefault="0028217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217E" w:rsidRDefault="0028217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17E" w:rsidRPr="0028217E" w:rsidRDefault="0028217E">
    <w:pPr>
      <w:pStyle w:val="Sidfot"/>
    </w:pPr>
    <w:r w:rsidRPr="002821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30255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17E" w:rsidRDefault="002821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217E" w:rsidRDefault="002821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17E" w:rsidRPr="0028217E" w:rsidRDefault="0028217E">
      <w:r w:rsidRPr="0028217E">
        <w:separator/>
      </w:r>
    </w:p>
  </w:footnote>
  <w:footnote w:type="continuationSeparator" w:id="0">
    <w:p w:rsidR="0028217E" w:rsidRPr="0028217E" w:rsidRDefault="0028217E">
      <w:r w:rsidRPr="002821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17E" w:rsidRPr="0028217E" w:rsidRDefault="0028217E">
    <w:pPr>
      <w:pStyle w:val="Sidhuvud"/>
    </w:pPr>
    <w:r w:rsidRPr="002821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84427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17E" w:rsidRDefault="002821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217E" w:rsidRDefault="002821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17E" w:rsidRPr="0028217E" w:rsidRDefault="0028217E">
    <w:pPr>
      <w:pStyle w:val="Sidhuvud"/>
    </w:pPr>
    <w:r w:rsidRPr="002821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80970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17E" w:rsidRDefault="002821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217E" w:rsidRDefault="002821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17E" w:rsidRPr="0028217E" w:rsidRDefault="0028217E">
    <w:pPr>
      <w:pStyle w:val="FSHNormal"/>
      <w:tabs>
        <w:tab w:val="right" w:pos="5840"/>
      </w:tabs>
    </w:pPr>
    <w:r w:rsidRPr="0028217E">
      <w:br/>
    </w:r>
    <w:r w:rsidRPr="0028217E">
      <w:fldChar w:fldCharType="begin" w:fldLock="1"/>
    </w:r>
    <w:r w:rsidRPr="0028217E">
      <w:instrText xml:space="preserve"> DOCPROPERTY</w:instrText>
    </w:r>
    <w:r w:rsidRPr="0028217E">
      <w:rPr>
        <w:sz w:val="18"/>
      </w:rPr>
      <w:instrText xml:space="preserve"> "YearUser" *\charformat </w:instrText>
    </w:r>
    <w:r w:rsidRPr="0028217E">
      <w:fldChar w:fldCharType="separate"/>
    </w:r>
    <w:r w:rsidRPr="0028217E">
      <w:t>2009/10</w:t>
    </w:r>
    <w:r w:rsidRPr="0028217E">
      <w:fldChar w:fldCharType="end"/>
    </w:r>
    <w:r w:rsidRPr="0028217E">
      <w:t xml:space="preserve"> </w:t>
    </w:r>
    <w:r w:rsidRPr="0028217E">
      <w:tab/>
      <w:t xml:space="preserve">mnr: </w:t>
    </w:r>
    <w:r w:rsidRPr="0028217E">
      <w:fldChar w:fldCharType="begin" w:fldLock="1"/>
    </w:r>
    <w:r w:rsidRPr="0028217E">
      <w:instrText xml:space="preserve"> DOCPROPERTY</w:instrText>
    </w:r>
    <w:r w:rsidRPr="0028217E">
      <w:rPr>
        <w:sz w:val="18"/>
      </w:rPr>
      <w:instrText xml:space="preserve"> "Motionsnummer" *\charformat </w:instrText>
    </w:r>
    <w:r w:rsidRPr="0028217E">
      <w:fldChar w:fldCharType="separate"/>
    </w:r>
    <w:r w:rsidRPr="0028217E">
      <w:t>Sk5</w:t>
    </w:r>
    <w:r w:rsidRPr="0028217E">
      <w:fldChar w:fldCharType="end"/>
    </w:r>
    <w:r w:rsidRPr="0028217E">
      <w:br/>
    </w:r>
    <w:r w:rsidRPr="0028217E">
      <w:fldChar w:fldCharType="begin" w:fldLock="1"/>
    </w:r>
    <w:r w:rsidRPr="0028217E">
      <w:instrText xml:space="preserve"> DOCPROPERTY</w:instrText>
    </w:r>
    <w:r w:rsidRPr="0028217E">
      <w:rPr>
        <w:sz w:val="18"/>
      </w:rPr>
      <w:instrText xml:space="preserve"> "Samling" *\charformat </w:instrText>
    </w:r>
    <w:r w:rsidRPr="0028217E">
      <w:fldChar w:fldCharType="end"/>
    </w:r>
    <w:r w:rsidRPr="0028217E">
      <w:tab/>
      <w:t xml:space="preserve">pnr: </w:t>
    </w:r>
    <w:r w:rsidRPr="0028217E">
      <w:fldChar w:fldCharType="begin" w:fldLock="1"/>
    </w:r>
    <w:r w:rsidRPr="0028217E">
      <w:instrText xml:space="preserve"> DOCPROPERTY</w:instrText>
    </w:r>
    <w:r w:rsidRPr="0028217E">
      <w:rPr>
        <w:sz w:val="18"/>
      </w:rPr>
      <w:instrText xml:space="preserve"> "Partinummer" *\charformat </w:instrText>
    </w:r>
    <w:r w:rsidRPr="0028217E">
      <w:fldChar w:fldCharType="separate"/>
    </w:r>
    <w:r w:rsidRPr="0028217E">
      <w:t>s43010</w:t>
    </w:r>
    <w:r w:rsidRPr="0028217E">
      <w:fldChar w:fldCharType="end"/>
    </w:r>
  </w:p>
  <w:p w:rsidR="0028217E" w:rsidRPr="0028217E" w:rsidRDefault="0028217E">
    <w:pPr>
      <w:pStyle w:val="FSHRub1"/>
    </w:pPr>
    <w:r w:rsidRPr="0028217E">
      <w:t>Motion till riksdagen</w:t>
    </w:r>
    <w:r w:rsidRPr="0028217E">
      <w:br/>
    </w:r>
    <w:r w:rsidRPr="0028217E">
      <w:fldChar w:fldCharType="begin" w:fldLock="1"/>
    </w:r>
    <w:r w:rsidRPr="0028217E">
      <w:instrText xml:space="preserve"> DOCPROPERTY "YearUser" *\charformat </w:instrText>
    </w:r>
    <w:r w:rsidRPr="0028217E">
      <w:fldChar w:fldCharType="separate"/>
    </w:r>
    <w:r w:rsidRPr="0028217E">
      <w:t>2009/10</w:t>
    </w:r>
    <w:r w:rsidRPr="0028217E">
      <w:fldChar w:fldCharType="end"/>
    </w:r>
    <w:r w:rsidRPr="0028217E">
      <w:t>:</w:t>
    </w:r>
    <w:r w:rsidRPr="0028217E">
      <w:fldChar w:fldCharType="begin" w:fldLock="1"/>
    </w:r>
    <w:r w:rsidRPr="0028217E">
      <w:instrText xml:space="preserve"> DOCPROPERTY "Motionsnummer" *\charformat </w:instrText>
    </w:r>
    <w:r w:rsidRPr="0028217E">
      <w:fldChar w:fldCharType="separate"/>
    </w:r>
    <w:r w:rsidRPr="0028217E">
      <w:t>Sk5</w:t>
    </w:r>
    <w:r w:rsidRPr="0028217E">
      <w:fldChar w:fldCharType="end"/>
    </w:r>
  </w:p>
  <w:p w:rsidR="0028217E" w:rsidRPr="0028217E" w:rsidRDefault="0028217E">
    <w:pPr>
      <w:pStyle w:val="FSHNormalS5"/>
    </w:pPr>
    <w:r w:rsidRPr="0028217E">
      <w:fldChar w:fldCharType="begin" w:fldLock="1"/>
    </w:r>
    <w:r w:rsidRPr="0028217E">
      <w:instrText xml:space="preserve"> DOCPROPERTY "MotionarText" *\charformat </w:instrText>
    </w:r>
    <w:r w:rsidRPr="0028217E">
      <w:fldChar w:fldCharType="separate"/>
    </w:r>
    <w:r w:rsidRPr="0028217E">
      <w:t>av Lars Johansson m.fl. (s)</w:t>
    </w:r>
    <w:r w:rsidRPr="0028217E">
      <w:fldChar w:fldCharType="end"/>
    </w:r>
    <w:r w:rsidRPr="0028217E">
      <w:br/>
    </w:r>
    <w:r w:rsidRPr="0028217E">
      <w:fldChar w:fldCharType="begin" w:fldLock="1"/>
    </w:r>
    <w:r w:rsidRPr="0028217E">
      <w:instrText xml:space="preserve"> DOCPROPERTY "SvarFrasKort" *\charformat </w:instrText>
    </w:r>
    <w:r w:rsidRPr="0028217E">
      <w:fldChar w:fldCharType="separate"/>
    </w:r>
    <w:r w:rsidRPr="0028217E">
      <w:t>med anledning av prop. 2009/10:29</w:t>
    </w:r>
    <w:r w:rsidRPr="0028217E">
      <w:fldChar w:fldCharType="end"/>
    </w:r>
  </w:p>
  <w:p w:rsidR="0028217E" w:rsidRPr="0028217E" w:rsidRDefault="0028217E">
    <w:pPr>
      <w:pStyle w:val="FSHTitel"/>
    </w:pPr>
    <w:r w:rsidRPr="0028217E">
      <w:fldChar w:fldCharType="begin" w:fldLock="1"/>
    </w:r>
    <w:r w:rsidRPr="0028217E">
      <w:instrText xml:space="preserve"> DOCPROPERTY</w:instrText>
    </w:r>
    <w:r w:rsidRPr="0028217E">
      <w:rPr>
        <w:sz w:val="18"/>
      </w:rPr>
      <w:instrText xml:space="preserve"> "RubrikSvar" *\charformat </w:instrText>
    </w:r>
    <w:r w:rsidRPr="0028217E">
      <w:fldChar w:fldCharType="separate"/>
    </w:r>
    <w:r w:rsidRPr="0028217E">
      <w:t>Ytterligare sänkt skatt för pensionärer</w:t>
    </w:r>
    <w:r w:rsidRPr="0028217E">
      <w:fldChar w:fldCharType="end"/>
    </w:r>
  </w:p>
  <w:p w:rsidR="0028217E" w:rsidRPr="0028217E" w:rsidRDefault="0028217E">
    <w:pPr>
      <w:pStyle w:val="Normal00"/>
    </w:pPr>
  </w:p>
  <w:p w:rsidR="0028217E" w:rsidRPr="0028217E" w:rsidRDefault="002821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2918629">
    <w:abstractNumId w:val="8"/>
  </w:num>
  <w:num w:numId="2" w16cid:durableId="1244222136">
    <w:abstractNumId w:val="9"/>
  </w:num>
  <w:num w:numId="3" w16cid:durableId="333798127">
    <w:abstractNumId w:val="8"/>
  </w:num>
  <w:num w:numId="4" w16cid:durableId="1197767358">
    <w:abstractNumId w:val="9"/>
  </w:num>
  <w:num w:numId="5" w16cid:durableId="297688440">
    <w:abstractNumId w:val="13"/>
  </w:num>
  <w:num w:numId="6" w16cid:durableId="540829377">
    <w:abstractNumId w:val="10"/>
  </w:num>
  <w:num w:numId="7" w16cid:durableId="1378167031">
    <w:abstractNumId w:val="11"/>
  </w:num>
  <w:num w:numId="8" w16cid:durableId="1090929499">
    <w:abstractNumId w:val="12"/>
  </w:num>
  <w:num w:numId="9" w16cid:durableId="728070537">
    <w:abstractNumId w:val="8"/>
  </w:num>
  <w:num w:numId="10" w16cid:durableId="1132674376">
    <w:abstractNumId w:val="3"/>
  </w:num>
  <w:num w:numId="11" w16cid:durableId="789738674">
    <w:abstractNumId w:val="2"/>
  </w:num>
  <w:num w:numId="12" w16cid:durableId="325517317">
    <w:abstractNumId w:val="1"/>
  </w:num>
  <w:num w:numId="13" w16cid:durableId="1988313702">
    <w:abstractNumId w:val="0"/>
  </w:num>
  <w:num w:numId="14" w16cid:durableId="1952200668">
    <w:abstractNumId w:val="9"/>
  </w:num>
  <w:num w:numId="15" w16cid:durableId="707728635">
    <w:abstractNumId w:val="7"/>
  </w:num>
  <w:num w:numId="16" w16cid:durableId="230626273">
    <w:abstractNumId w:val="6"/>
  </w:num>
  <w:num w:numId="17" w16cid:durableId="1140882092">
    <w:abstractNumId w:val="5"/>
  </w:num>
  <w:num w:numId="18" w16cid:durableId="1764567533">
    <w:abstractNumId w:val="4"/>
  </w:num>
  <w:num w:numId="19" w16cid:durableId="415249025">
    <w:abstractNumId w:val="11"/>
  </w:num>
  <w:num w:numId="20" w16cid:durableId="1034581407">
    <w:abstractNumId w:val="10"/>
  </w:num>
  <w:num w:numId="21" w16cid:durableId="962493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4"/>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213F00"/>
    <w:rsid w:val="00213F00"/>
    <w:rsid w:val="002821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4B8D791-D624-4DEC-88A7-CD423879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table" w:styleId="Enkeltabell1">
    <w:name w:val="Table Simple 1"/>
    <w:basedOn w:val="Normaltabel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3294</Characters>
  <Application>Microsoft Office Word</Application>
  <DocSecurity>4</DocSecurity>
  <Lines>113</Lines>
  <Paragraphs>74</Paragraphs>
  <ScaleCrop>false</ScaleCrop>
  <HeadingPairs>
    <vt:vector size="2" baseType="variant">
      <vt:variant>
        <vt:lpstr>Rubrik</vt:lpstr>
      </vt:variant>
      <vt:variant>
        <vt:i4>1</vt:i4>
      </vt:variant>
    </vt:vector>
  </HeadingPairs>
  <TitlesOfParts>
    <vt:vector size="1" baseType="lpstr">
      <vt:lpstr>s43010</vt:lpstr>
    </vt:vector>
  </TitlesOfParts>
  <Company>Riksdagen</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s43010</dc:title>
  <dc:subject>s43010</dc:subject>
  <dc:creator>Riksdagen</dc:creator>
  <cp:keywords>Riksdagen</cp:keywords>
  <dc:description>Nya formatmallshantering för förslag+urix bakåtkomp+könamn</dc:description>
  <cp:lastModifiedBy>Lars Brink</cp:lastModifiedBy>
  <cp:revision>2</cp:revision>
  <cp:lastPrinted>2009-11-18T09:24:00Z</cp:lastPrinted>
  <dcterms:created xsi:type="dcterms:W3CDTF">2025-12-17T21:19:00Z</dcterms:created>
  <dcterms:modified xsi:type="dcterms:W3CDTF">2025-12-17T21:19:00Z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mot2000_514_2009-11-14</vt:lpwstr>
  </property>
  <property fmtid="{D5CDD505-2E9C-101B-9397-08002B2CF9AE}" pid="3" name="version">
    <vt:lpwstr>mot2000_512_2009-11-09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2009/10:29 Ytterligare sänkt skatt för pensionärer</vt:lpwstr>
  </property>
  <property fmtid="{D5CDD505-2E9C-101B-9397-08002B2CF9AE}" pid="11" name="SvarFrasKort">
    <vt:lpwstr>med anledning av prop. 2009/10:29</vt:lpwstr>
  </property>
  <property fmtid="{D5CDD505-2E9C-101B-9397-08002B2CF9AE}" pid="12" name="Svar">
    <vt:lpwstr>Proposition</vt:lpwstr>
  </property>
  <property fmtid="{D5CDD505-2E9C-101B-9397-08002B2CF9AE}" pid="13" name="SvarNr">
    <vt:lpwstr>2009/10:29</vt:lpwstr>
  </property>
  <property fmtid="{D5CDD505-2E9C-101B-9397-08002B2CF9AE}" pid="14" name="RubrikSvar">
    <vt:lpwstr>Ytterligare sänkt skatt för pensionärer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s43010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Sk5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november 2009</vt:lpwstr>
  </property>
  <property fmtid="{D5CDD505-2E9C-101B-9397-08002B2CF9AE}" pid="44" name="NotesUID">
    <vt:lpwstr>catharina.ljung@riksdagen.se</vt:lpwstr>
  </property>
  <property fmtid="{D5CDD505-2E9C-101B-9397-08002B2CF9AE}" pid="45" name="ReservUID">
    <vt:lpwstr>ca0120aa</vt:lpwstr>
  </property>
  <property fmtid="{D5CDD505-2E9C-101B-9397-08002B2CF9AE}" pid="46" name="MotionID">
    <vt:lpwstr>20092010000000000115000430100075</vt:lpwstr>
  </property>
  <property fmtid="{D5CDD505-2E9C-101B-9397-08002B2CF9AE}" pid="47" name="datum">
    <vt:lpwstr>091111</vt:lpwstr>
  </property>
  <property fmtid="{D5CDD505-2E9C-101B-9397-08002B2CF9AE}" pid="48" name="avsändar-e-post">
    <vt:lpwstr>catharina.ljung@riksdagen.se</vt:lpwstr>
  </property>
  <property fmtid="{D5CDD505-2E9C-101B-9397-08002B2CF9AE}" pid="49" name="id">
    <vt:lpwstr>20092010000000000115000430100075</vt:lpwstr>
  </property>
  <property fmtid="{D5CDD505-2E9C-101B-9397-08002B2CF9AE}" pid="50" name="nummer">
    <vt:lpwstr>5</vt:lpwstr>
  </property>
  <property fmtid="{D5CDD505-2E9C-101B-9397-08002B2CF9AE}" pid="51" name="utskottsbeteckning">
    <vt:lpwstr>Sk</vt:lpwstr>
  </property>
  <property fmtid="{D5CDD505-2E9C-101B-9397-08002B2CF9AE}" pid="52" name="GlobalUID">
    <vt:lpwstr>{3DDC7D86-A594-4C7F-9C20-34FAD1A846A1}</vt:lpwstr>
  </property>
  <property fmtid="{D5CDD505-2E9C-101B-9397-08002B2CF9AE}" pid="53" name="Överföringar">
    <vt:i4>0</vt:i4>
  </property>
  <property fmtid="{D5CDD505-2E9C-101B-9397-08002B2CF9AE}" pid="54" name="Checksum">
    <vt:lpwstr>*1006633477546*</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091118 10:24:50.489</vt:lpwstr>
  </property>
  <property fmtid="{D5CDD505-2E9C-101B-9397-08002B2CF9AE}" pid="58" name="urixGuid">
    <vt:lpwstr>{25B11533-C971-4AC1-B2B2-0F99B06AADE6}</vt:lpwstr>
  </property>
</Properties>
</file>