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22D7F-0087-405B-9BCD-B56033EBDE72}"/>
</file>

<file path=customXml/itemProps2.xml><?xml version="1.0" encoding="utf-8"?>
<ds:datastoreItem xmlns:ds="http://schemas.openxmlformats.org/officeDocument/2006/customXml" ds:itemID="{F185A933-5C7C-4E56-8DD1-7597CBBC138A}"/>
</file>

<file path=customXml/itemProps3.xml><?xml version="1.0" encoding="utf-8"?>
<ds:datastoreItem xmlns:ds="http://schemas.openxmlformats.org/officeDocument/2006/customXml" ds:itemID="{2BE9D9B4-891F-492D-A25A-B51002E5597A}"/>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