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22B3F">
        <w:tblPrEx>
          <w:tblCellMar>
            <w:top w:w="0" w:type="dxa"/>
            <w:left w:w="0" w:type="dxa"/>
            <w:bottom w:w="0" w:type="dxa"/>
            <w:right w:w="0" w:type="dxa"/>
          </w:tblCellMar>
        </w:tblPrEx>
        <w:trPr>
          <w:gridAfter w:val="2"/>
          <w:wAfter w:w="1758" w:type="dxa"/>
          <w:cantSplit/>
          <w:trHeight w:val="1320"/>
        </w:trPr>
        <w:tc>
          <w:tcPr>
            <w:tcW w:w="5897" w:type="dxa"/>
          </w:tcPr>
          <w:p w:rsidR="00560238" w:rsidRPr="00F22B3F" w:rsidRDefault="00560238">
            <w:pPr>
              <w:pStyle w:val="HuvudRubrik"/>
            </w:pPr>
            <w:r w:rsidRPr="00F22B3F">
              <w:t>Regeringskansliet</w:t>
            </w:r>
          </w:p>
          <w:p w:rsidR="00560238" w:rsidRPr="00F22B3F" w:rsidRDefault="00560238">
            <w:pPr>
              <w:pStyle w:val="HuvudRubrik"/>
            </w:pPr>
            <w:r w:rsidRPr="00F22B3F">
              <w:t>Faktapromemoria  2010/11:FPM44</w:t>
            </w:r>
          </w:p>
        </w:tc>
      </w:tr>
      <w:tr w:rsidR="00000000" w:rsidRPr="00F22B3F">
        <w:tblPrEx>
          <w:tblCellMar>
            <w:top w:w="0" w:type="dxa"/>
            <w:left w:w="0" w:type="dxa"/>
            <w:bottom w:w="0" w:type="dxa"/>
            <w:right w:w="0" w:type="dxa"/>
          </w:tblCellMar>
        </w:tblPrEx>
        <w:trPr>
          <w:gridAfter w:val="2"/>
          <w:wAfter w:w="1758" w:type="dxa"/>
          <w:cantSplit/>
          <w:trHeight w:val="240"/>
        </w:trPr>
        <w:tc>
          <w:tcPr>
            <w:tcW w:w="5897" w:type="dxa"/>
          </w:tcPr>
          <w:p w:rsidR="00560238" w:rsidRPr="00F22B3F" w:rsidRDefault="00560238">
            <w:pPr>
              <w:pStyle w:val="HuvudRubrik"/>
              <w:rPr>
                <w:sz w:val="28"/>
              </w:rPr>
            </w:pPr>
            <w:r w:rsidRPr="00F22B3F">
              <w:t>Direktiv om fruktjuice</w:t>
            </w:r>
          </w:p>
        </w:tc>
      </w:tr>
      <w:tr w:rsidR="00000000" w:rsidRPr="00F22B3F">
        <w:tblPrEx>
          <w:tblCellMar>
            <w:top w:w="0" w:type="dxa"/>
            <w:left w:w="0" w:type="dxa"/>
            <w:bottom w:w="0" w:type="dxa"/>
            <w:right w:w="0" w:type="dxa"/>
          </w:tblCellMar>
        </w:tblPrEx>
        <w:trPr>
          <w:cantSplit/>
          <w:trHeight w:val="285"/>
        </w:trPr>
        <w:tc>
          <w:tcPr>
            <w:tcW w:w="7655" w:type="dxa"/>
            <w:gridSpan w:val="3"/>
          </w:tcPr>
          <w:p w:rsidR="00560238" w:rsidRPr="00F22B3F" w:rsidRDefault="00560238">
            <w:pPr>
              <w:pStyle w:val="Departement"/>
              <w:rPr>
                <w:sz w:val="28"/>
              </w:rPr>
            </w:pPr>
            <w:r w:rsidRPr="00F22B3F">
              <w:t>Jordbruksdepartementet</w:t>
            </w:r>
          </w:p>
        </w:tc>
      </w:tr>
      <w:tr w:rsidR="00000000" w:rsidRPr="00F22B3F">
        <w:tblPrEx>
          <w:tblCellMar>
            <w:top w:w="0" w:type="dxa"/>
            <w:left w:w="0" w:type="dxa"/>
            <w:bottom w:w="0" w:type="dxa"/>
            <w:right w:w="0" w:type="dxa"/>
          </w:tblCellMar>
        </w:tblPrEx>
        <w:trPr>
          <w:cantSplit/>
          <w:trHeight w:val="240"/>
        </w:trPr>
        <w:tc>
          <w:tcPr>
            <w:tcW w:w="7655" w:type="dxa"/>
            <w:gridSpan w:val="3"/>
          </w:tcPr>
          <w:p w:rsidR="00560238" w:rsidRPr="00F22B3F" w:rsidRDefault="00560238">
            <w:pPr>
              <w:pStyle w:val="Dokumentdatum"/>
            </w:pPr>
            <w:r w:rsidRPr="00F22B3F">
              <w:t>2010-12-17</w:t>
            </w:r>
          </w:p>
        </w:tc>
      </w:tr>
      <w:tr w:rsidR="00000000" w:rsidRPr="00F22B3F">
        <w:tblPrEx>
          <w:tblCellMar>
            <w:top w:w="0" w:type="dxa"/>
            <w:left w:w="0" w:type="dxa"/>
            <w:bottom w:w="0" w:type="dxa"/>
            <w:right w:w="0" w:type="dxa"/>
          </w:tblCellMar>
        </w:tblPrEx>
        <w:trPr>
          <w:cantSplit/>
          <w:trHeight w:val="726"/>
        </w:trPr>
        <w:tc>
          <w:tcPr>
            <w:tcW w:w="7655" w:type="dxa"/>
            <w:gridSpan w:val="3"/>
            <w:vAlign w:val="bottom"/>
          </w:tcPr>
          <w:p w:rsidR="00560238" w:rsidRPr="00F22B3F" w:rsidRDefault="00560238">
            <w:pPr>
              <w:pStyle w:val="Dokumentbeteckning"/>
            </w:pPr>
            <w:r w:rsidRPr="00F22B3F">
              <w:t>Dokumentbeteckning</w:t>
            </w:r>
          </w:p>
        </w:tc>
      </w:tr>
      <w:tr w:rsidR="00000000" w:rsidRPr="00F22B3F">
        <w:tblPrEx>
          <w:tblCellMar>
            <w:top w:w="0" w:type="dxa"/>
            <w:left w:w="0" w:type="dxa"/>
            <w:bottom w:w="0" w:type="dxa"/>
            <w:right w:w="0" w:type="dxa"/>
          </w:tblCellMar>
        </w:tblPrEx>
        <w:trPr>
          <w:gridAfter w:val="1"/>
          <w:wAfter w:w="1560" w:type="dxa"/>
          <w:trHeight w:val="120"/>
        </w:trPr>
        <w:tc>
          <w:tcPr>
            <w:tcW w:w="6095" w:type="dxa"/>
            <w:gridSpan w:val="2"/>
          </w:tcPr>
          <w:p w:rsidR="00560238" w:rsidRPr="00F22B3F" w:rsidRDefault="00560238">
            <w:bookmarkStart w:id="0" w:name="KomNr"/>
            <w:bookmarkEnd w:id="0"/>
            <w:r w:rsidRPr="00F22B3F">
              <w:t>KOM(2010) 490</w:t>
            </w:r>
          </w:p>
        </w:tc>
      </w:tr>
      <w:tr w:rsidR="00000000" w:rsidRPr="00F22B3F">
        <w:tblPrEx>
          <w:tblCellMar>
            <w:top w:w="0" w:type="dxa"/>
            <w:left w:w="0" w:type="dxa"/>
            <w:bottom w:w="0" w:type="dxa"/>
            <w:right w:w="0" w:type="dxa"/>
          </w:tblCellMar>
        </w:tblPrEx>
        <w:trPr>
          <w:gridAfter w:val="1"/>
          <w:wAfter w:w="1560" w:type="dxa"/>
          <w:trHeight w:val="120"/>
        </w:trPr>
        <w:tc>
          <w:tcPr>
            <w:tcW w:w="6095" w:type="dxa"/>
            <w:gridSpan w:val="2"/>
          </w:tcPr>
          <w:p w:rsidR="00560238" w:rsidRPr="00F22B3F" w:rsidRDefault="00560238">
            <w:pPr>
              <w:pStyle w:val="Dokumentbeteckning-titel"/>
            </w:pPr>
            <w:r w:rsidRPr="00F22B3F">
              <w:t>Förslag till Europaparlamentets och rådets direktiv om ändring av rådets direktiv 2001/112/EG om fruktjuice och vissa liknande produkter avsedda som livsmedel</w:t>
            </w:r>
          </w:p>
        </w:tc>
      </w:tr>
    </w:tbl>
    <w:p w:rsidR="00560238" w:rsidRPr="00F22B3F" w:rsidRDefault="00560238">
      <w:pPr>
        <w:pStyle w:val="Rubrik1"/>
        <w:numPr>
          <w:ilvl w:val="0"/>
          <w:numId w:val="0"/>
        </w:numPr>
      </w:pPr>
      <w:r w:rsidRPr="00F22B3F">
        <w:t>Sammanfattning</w:t>
      </w:r>
    </w:p>
    <w:p w:rsidR="00560238" w:rsidRPr="00F22B3F" w:rsidRDefault="00560238">
      <w:r w:rsidRPr="00F22B3F">
        <w:t xml:space="preserve">Förslaget gäller anpassningar av rådets direktiv 2001/112/EG om fruktjuicer och vissa liknande produkter avsedda som livsmedel till de genom Lissabonfördraget införda bestämmelserna i artiklarna 290 och 291 i EUF-fördraget. Dessa artiklar handlar om kommissionens befogenhet att fatta beslut om hur EU:s regelverk närmare ska genomföras. </w:t>
      </w:r>
    </w:p>
    <w:p w:rsidR="00560238" w:rsidRPr="00F22B3F" w:rsidRDefault="00560238">
      <w:r w:rsidRPr="00F22B3F">
        <w:t>Förslaget innehåller också tekniska anpassningar till den internationella standard som antogs 2005 av Codex Alimentarius och hänsyn tas till en branschvägledning som den europeiska juiceorganisationen AIJN tagit fram.</w:t>
      </w:r>
    </w:p>
    <w:p w:rsidR="00560238" w:rsidRPr="00F22B3F" w:rsidRDefault="00560238">
      <w:r w:rsidRPr="00F22B3F">
        <w:t>Regeringen är positiv till förslaget.</w:t>
      </w:r>
    </w:p>
    <w:p w:rsidR="00560238" w:rsidRPr="00F22B3F" w:rsidRDefault="00560238">
      <w:pPr>
        <w:pStyle w:val="Rubrik1"/>
      </w:pPr>
      <w:r w:rsidRPr="00F22B3F">
        <w:t>Förslaget</w:t>
      </w:r>
    </w:p>
    <w:p w:rsidR="00560238" w:rsidRPr="00F22B3F" w:rsidRDefault="00560238">
      <w:pPr>
        <w:pStyle w:val="Rubrik2"/>
      </w:pPr>
      <w:r w:rsidRPr="00F22B3F">
        <w:t>Ärendets bakgrund</w:t>
      </w:r>
    </w:p>
    <w:p w:rsidR="00560238" w:rsidRPr="00F22B3F" w:rsidRDefault="00560238">
      <w:r w:rsidRPr="00F22B3F">
        <w:t>Ett viktigt skäl till att kommissionen lagt detta förslag är att rättsakten behöver anpassas till Lissabonfördraget. Dessutom föreslår kommissionen några tekniska anpassningar eftersom en internationell standard för fruktjuice och liknande produkter har tagits fram sedan direktivet trädde i kraft 2001.</w:t>
      </w:r>
    </w:p>
    <w:p w:rsidR="00560238" w:rsidRPr="00F22B3F" w:rsidRDefault="00560238">
      <w:r w:rsidRPr="00F22B3F">
        <w:t>Kommissionen presenterade sitt förslag den 21 september 2010.</w:t>
      </w:r>
    </w:p>
    <w:p w:rsidR="00560238" w:rsidRPr="00F22B3F" w:rsidRDefault="00560238"/>
    <w:p w:rsidR="00560238" w:rsidRPr="00F22B3F" w:rsidRDefault="00560238">
      <w:pPr>
        <w:pStyle w:val="Rubrik2"/>
      </w:pPr>
      <w:r w:rsidRPr="00F22B3F">
        <w:lastRenderedPageBreak/>
        <w:t>Förslagets innehåll</w:t>
      </w:r>
    </w:p>
    <w:p w:rsidR="00560238" w:rsidRPr="00F22B3F" w:rsidRDefault="00560238">
      <w:r w:rsidRPr="00F22B3F">
        <w:t xml:space="preserve">Anpassningen till Lissabonfördraget påverkar främst hur genomförandet av direktiv 2001/112/EG ska hanteras. Direktivförslaget kommer att följa det ordinarie lagstiftningsförfarandet i EUF-fördraget. Det kommer att ta hänsyn till den nya definitionen av kommissionens befogenheter (artiklarna 290–291 i EUF-fördraget). Till följd av detta ändras artiklarna 7 och 8 i det nuvarande direktivet genom att alla genomförandeåtgärder föreslås delegeras till kommissionen att besluta om. </w:t>
      </w:r>
    </w:p>
    <w:p w:rsidR="00560238" w:rsidRPr="00F22B3F" w:rsidRDefault="00560238">
      <w:r w:rsidRPr="00F22B3F">
        <w:t>De övriga ändringarna är tekniska till sin karaktär: Det blir inte längre tillåtet att söta juice. Nektar får sötas, men detta ska anges särskilt på förpackningen enligt förslaget. Tomat har tagits med som råvara och det blir tillåtet att använda även limejuice till att reglera den sura smaken. En teknik som gör det möjligt att framställa juice av torr eller mycket köttig frukt, t.ex. katrinplommon, har tagits med.</w:t>
      </w:r>
    </w:p>
    <w:p w:rsidR="00560238" w:rsidRPr="00F22B3F" w:rsidRDefault="00560238"/>
    <w:p w:rsidR="00560238" w:rsidRPr="00F22B3F" w:rsidRDefault="00560238">
      <w:pPr>
        <w:pStyle w:val="Rubrik2"/>
      </w:pPr>
      <w:r w:rsidRPr="00F22B3F">
        <w:t>Gällande svenska regler och förslagets effekt på dessa</w:t>
      </w:r>
    </w:p>
    <w:p w:rsidR="00560238" w:rsidRPr="00F22B3F" w:rsidRDefault="00560238">
      <w:r w:rsidRPr="00F22B3F">
        <w:t>Redan idag är reglerna harmoniserade inom EU genom direktiv 2001/112/EG. Förändringarna för svenskt vidkommande blir därför små. Direktiv 2001/112/EG har i Sverige genomförts genom Livsmedelsverkets kungörelse LIVSFS 2003:18. Denna kungörelse kommer att behöva uppdateras.</w:t>
      </w:r>
    </w:p>
    <w:p w:rsidR="00560238" w:rsidRPr="00F22B3F" w:rsidRDefault="00560238">
      <w:pPr>
        <w:pStyle w:val="Rubrik2"/>
      </w:pPr>
      <w:r w:rsidRPr="00F22B3F">
        <w:t>Budgetära konsekvenser / Konsekvensanalys</w:t>
      </w:r>
    </w:p>
    <w:p w:rsidR="00560238" w:rsidRPr="00F22B3F" w:rsidRDefault="00560238">
      <w:r w:rsidRPr="00F22B3F">
        <w:t>St Förslaget har inga budgetära konsekvenser varken för Sverige eller EU.</w:t>
      </w:r>
    </w:p>
    <w:p w:rsidR="00560238" w:rsidRPr="00F22B3F" w:rsidRDefault="00560238">
      <w:pPr>
        <w:pStyle w:val="Rubrik1"/>
      </w:pPr>
      <w:r w:rsidRPr="00F22B3F">
        <w:t>Ståndpunkter</w:t>
      </w:r>
    </w:p>
    <w:p w:rsidR="00560238" w:rsidRPr="00F22B3F" w:rsidRDefault="00560238">
      <w:pPr>
        <w:pStyle w:val="Rubrik2"/>
      </w:pPr>
      <w:r w:rsidRPr="00F22B3F">
        <w:t>Preliminär svensk ståndpunkt</w:t>
      </w:r>
    </w:p>
    <w:p w:rsidR="00560238" w:rsidRPr="00F22B3F" w:rsidRDefault="00560238">
      <w:r w:rsidRPr="00F22B3F">
        <w:t xml:space="preserve">Regeringen är positiv till förslaget i stort. Regelförenkling är ett övergripande mål och vi ser att här fortfarande finns viss möjlighet till ytterligare förenkling. </w:t>
      </w:r>
    </w:p>
    <w:p w:rsidR="00560238" w:rsidRPr="00F22B3F" w:rsidRDefault="00560238">
      <w:pPr>
        <w:pStyle w:val="Rubrik2"/>
      </w:pPr>
      <w:r w:rsidRPr="00F22B3F">
        <w:t>Medlemsstaternas ståndpunkter</w:t>
      </w:r>
    </w:p>
    <w:p w:rsidR="00560238" w:rsidRPr="00F22B3F" w:rsidRDefault="00560238">
      <w:r w:rsidRPr="00F22B3F">
        <w:t>De flesta medlemsstater är positiva till förslaget. I arbetet i expertgruppen har det framkommit att enstaka medlemsstater har problem med enskilda delar i förslaget, men det är osäkert i vilken mån detta påverkar deras inställning till förslaget som helhet.</w:t>
      </w:r>
    </w:p>
    <w:p w:rsidR="00560238" w:rsidRPr="00F22B3F" w:rsidRDefault="00560238"/>
    <w:p w:rsidR="00560238" w:rsidRPr="00F22B3F" w:rsidRDefault="00560238">
      <w:pPr>
        <w:pStyle w:val="Rubrik2"/>
      </w:pPr>
      <w:r w:rsidRPr="00F22B3F">
        <w:t>Institutionernas ståndpunkter</w:t>
      </w:r>
    </w:p>
    <w:p w:rsidR="00560238" w:rsidRPr="00F22B3F" w:rsidRDefault="00560238">
      <w:r w:rsidRPr="00F22B3F">
        <w:t xml:space="preserve">Europaparlamentet har ännu inte yttrat sig över förslaget. </w:t>
      </w:r>
    </w:p>
    <w:p w:rsidR="00560238" w:rsidRPr="00F22B3F" w:rsidRDefault="00560238">
      <w:pPr>
        <w:pStyle w:val="Rubrik2"/>
      </w:pPr>
      <w:r w:rsidRPr="00F22B3F">
        <w:t>Remissinstansernas ståndpunkter</w:t>
      </w:r>
    </w:p>
    <w:p w:rsidR="00560238" w:rsidRPr="00F22B3F" w:rsidRDefault="00560238">
      <w:r w:rsidRPr="00F22B3F">
        <w:t>Livsmedelsverket har remitterat förslaget. Samtliga remissinstanser som svarat är positiva till förslaget.</w:t>
      </w:r>
    </w:p>
    <w:p w:rsidR="00560238" w:rsidRPr="00F22B3F" w:rsidRDefault="00560238">
      <w:pPr>
        <w:pStyle w:val="Rubrik1"/>
      </w:pPr>
      <w:r w:rsidRPr="00F22B3F">
        <w:t>Förslagets förutsättningar</w:t>
      </w:r>
    </w:p>
    <w:p w:rsidR="00560238" w:rsidRPr="00F22B3F" w:rsidRDefault="00560238">
      <w:pPr>
        <w:pStyle w:val="Rubrik2"/>
      </w:pPr>
      <w:r w:rsidRPr="00F22B3F">
        <w:t>Rättslig grund och beslutsförfarande</w:t>
      </w:r>
    </w:p>
    <w:p w:rsidR="00560238" w:rsidRPr="00F22B3F" w:rsidRDefault="00560238">
      <w:r w:rsidRPr="00F22B3F">
        <w:t>Artikel 43.2 i EUF fördraget.</w:t>
      </w:r>
    </w:p>
    <w:p w:rsidR="00560238" w:rsidRPr="00F22B3F" w:rsidRDefault="00560238">
      <w:r w:rsidRPr="00F22B3F">
        <w:t>Beslut fattas av rådet och Europaparlamentet enligt det ordinarie lagstiftningsförfarandet i artikel 294. Beslutsfattande med kvalificerad majoritet tillämpas generellt i rådet när det ordinarie lagstiftningsförfarandet används.</w:t>
      </w:r>
    </w:p>
    <w:p w:rsidR="00560238" w:rsidRPr="00F22B3F" w:rsidRDefault="00560238">
      <w:pPr>
        <w:pStyle w:val="Rubrik2"/>
      </w:pPr>
      <w:r w:rsidRPr="00F22B3F">
        <w:t>Subsidiaritets- och proportionalitetsprincipen</w:t>
      </w:r>
    </w:p>
    <w:p w:rsidR="00560238" w:rsidRPr="00F22B3F" w:rsidRDefault="00560238">
      <w:r w:rsidRPr="00F22B3F">
        <w:t>Då detta är fråga om tekniska ändringar i en rättsakt som redan gäller har kommissionen inte kommenterat subsidiaritets- och proportionalitetsprincipen.</w:t>
      </w:r>
    </w:p>
    <w:p w:rsidR="00560238" w:rsidRPr="00F22B3F" w:rsidRDefault="00560238">
      <w:pPr>
        <w:pStyle w:val="Rubrik1"/>
      </w:pPr>
      <w:r w:rsidRPr="00F22B3F">
        <w:t>Övrigt</w:t>
      </w:r>
    </w:p>
    <w:p w:rsidR="00560238" w:rsidRPr="00F22B3F" w:rsidRDefault="00560238">
      <w:pPr>
        <w:pStyle w:val="Rubrik2"/>
      </w:pPr>
      <w:r w:rsidRPr="00F22B3F">
        <w:t>Fortsatt behandling av ärendet</w:t>
      </w:r>
    </w:p>
    <w:p w:rsidR="00560238" w:rsidRPr="00F22B3F" w:rsidRDefault="00560238">
      <w:r w:rsidRPr="00F22B3F">
        <w:t>Det första rådsarbetsgruppsmötet ägde rum den 24 november 2010.  Behandlingen i rådet har påbörjats men Europaparlamentets tidsplan har ännu inte fastställts så det är för närvarande oklart när beslut kan komma att fattas.</w:t>
      </w:r>
    </w:p>
    <w:p w:rsidR="00560238" w:rsidRPr="00F22B3F" w:rsidRDefault="00560238">
      <w:pPr>
        <w:pStyle w:val="Rubrik2"/>
      </w:pPr>
      <w:r w:rsidRPr="00F22B3F">
        <w:t>Fackuttryck/termer</w:t>
      </w:r>
    </w:p>
    <w:p w:rsidR="00560238" w:rsidRPr="00F22B3F" w:rsidRDefault="00560238"/>
    <w:sectPr w:rsidR="00560238" w:rsidRPr="00F22B3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238" w:rsidRPr="00F22B3F" w:rsidRDefault="00560238">
      <w:r w:rsidRPr="00F22B3F">
        <w:separator/>
      </w:r>
    </w:p>
  </w:endnote>
  <w:endnote w:type="continuationSeparator" w:id="0">
    <w:p w:rsidR="00560238" w:rsidRPr="00F22B3F" w:rsidRDefault="00560238">
      <w:r w:rsidRPr="00F22B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38" w:rsidRPr="00F22B3F" w:rsidRDefault="005602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38" w:rsidRPr="00F22B3F" w:rsidRDefault="00560238">
    <w:pPr>
      <w:pStyle w:val="SidfotH"/>
      <w:framePr w:wrap="around"/>
    </w:pPr>
    <w:r w:rsidRPr="00F22B3F">
      <w:t>3</w:t>
    </w:r>
  </w:p>
  <w:p w:rsidR="00560238" w:rsidRPr="00F22B3F" w:rsidRDefault="005602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38" w:rsidRPr="00F22B3F" w:rsidRDefault="00560238">
    <w:pPr>
      <w:pStyle w:val="SidfotH"/>
      <w:framePr w:wrap="around"/>
    </w:pPr>
    <w:r w:rsidRPr="00F22B3F">
      <w:t>1</w:t>
    </w:r>
  </w:p>
  <w:p w:rsidR="00560238" w:rsidRPr="00F22B3F" w:rsidRDefault="00560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238" w:rsidRPr="00F22B3F" w:rsidRDefault="00560238">
      <w:r w:rsidRPr="00F22B3F">
        <w:separator/>
      </w:r>
    </w:p>
  </w:footnote>
  <w:footnote w:type="continuationSeparator" w:id="0">
    <w:p w:rsidR="00560238" w:rsidRPr="00F22B3F" w:rsidRDefault="00560238">
      <w:r w:rsidRPr="00F22B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38" w:rsidRPr="00F22B3F" w:rsidRDefault="005602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38" w:rsidRPr="00F22B3F" w:rsidRDefault="00560238">
    <w:pPr>
      <w:pStyle w:val="Kantrubrik"/>
      <w:framePr w:h="1157" w:hRule="exact" w:wrap="around" w:y="738"/>
    </w:pPr>
    <w:r w:rsidRPr="00F22B3F">
      <w:t>2010/11:FPM44</w:t>
    </w:r>
  </w:p>
  <w:p w:rsidR="00560238" w:rsidRPr="00F22B3F" w:rsidRDefault="005602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38" w:rsidRPr="00F22B3F" w:rsidRDefault="00F22B3F">
    <w:pPr>
      <w:pStyle w:val="Sidhuvud"/>
    </w:pPr>
    <w:r w:rsidRPr="00F22B3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73810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238" w:rsidRDefault="005602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60238" w:rsidRDefault="00560238">
                    <w:pPr>
                      <w:pStyle w:val="Logo"/>
                    </w:pPr>
                    <w:r>
                      <w:object w:dxaOrig="840" w:dyaOrig="1545">
                        <v:shape id="_x0000_i1025" type="#_x0000_t75" style="width:42pt;height:77.15pt" filled="t">
                          <v:imagedata r:id="rId1" o:title=""/>
                        </v:shape>
                        <o:OLEObject Type="Embed" ProgID="Word.Picture.8" ShapeID="_x0000_i1025" DrawAspect="Content" ObjectID="_18275213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5141653">
    <w:abstractNumId w:val="4"/>
  </w:num>
  <w:num w:numId="2" w16cid:durableId="446774768">
    <w:abstractNumId w:val="1"/>
  </w:num>
  <w:num w:numId="3" w16cid:durableId="1543782043">
    <w:abstractNumId w:val="2"/>
  </w:num>
  <w:num w:numId="4" w16cid:durableId="2132359907">
    <w:abstractNumId w:val="3"/>
  </w:num>
  <w:num w:numId="5" w16cid:durableId="1444156680">
    <w:abstractNumId w:val="5"/>
  </w:num>
  <w:num w:numId="6" w16cid:durableId="7774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17"/>
    <w:docVar w:name="Ar" w:val="2010/11"/>
    <w:docVar w:name="Dep" w:val="Jordbruksdepartementet"/>
    <w:docVar w:name="DepWeb" w:val="Jordbruksdepartementet"/>
    <w:docVar w:name="GDB1" w:val="KOM(2010) 49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2001/112/EG om fruktjuice och vissa liknande produkter avsedda som livs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90"/>
    <w:docVar w:name="Nr" w:val="44"/>
    <w:docVar w:name="RD_APPVERSION" w:val="3.00"/>
    <w:docVar w:name="Rub" w:val="Direktiv om fruktjuice"/>
    <w:docVar w:name="UppDat" w:val="2010-12-17"/>
    <w:docVar w:name="Utsk" w:val="Miljö- och jordbruksutskottet"/>
  </w:docVars>
  <w:rsids>
    <w:rsidRoot w:val="004F0B0E"/>
    <w:rsid w:val="004F0B0E"/>
    <w:rsid w:val="00560238"/>
    <w:rsid w:val="00F22B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2F3CE6-B25C-4F3A-8939-A3390076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554</Words>
  <Characters>3654</Characters>
  <Application>Microsoft Office Word</Application>
  <DocSecurity>4</DocSecurity>
  <Lines>83</Lines>
  <Paragraphs>47</Paragraphs>
  <ScaleCrop>false</ScaleCrop>
  <HeadingPairs>
    <vt:vector size="2" baseType="variant">
      <vt:variant>
        <vt:lpstr>Rubrik</vt:lpstr>
      </vt:variant>
      <vt:variant>
        <vt:i4>1</vt:i4>
      </vt:variant>
    </vt:vector>
  </HeadingPairs>
  <TitlesOfParts>
    <vt:vector size="1" baseType="lpstr">
      <vt:lpstr>FPM_201011__44</vt:lpstr>
    </vt:vector>
  </TitlesOfParts>
  <Company>RD-DTSL</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FPM_201011__44</dc:title>
  <dc:subject>FPM_201011__44</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2010-12-22T15:58:00Z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KOM(2010) 490</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Direktiv om fruktjuice</vt:lpwstr>
  </property>
  <property fmtid="{D5CDD505-2E9C-101B-9397-08002B2CF9AE}" pid="8" name="UppDat">
    <vt:lpwstr>2010-12-17</vt:lpwstr>
  </property>
  <property fmtid="{D5CDD505-2E9C-101B-9397-08002B2CF9AE}" pid="9" name="AnkDat">
    <vt:lpwstr>2010-12-17</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