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2EE0E5ACB3A4C5B81B5F6E06B522326"/>
        </w:placeholder>
        <w:text/>
      </w:sdtPr>
      <w:sdtEndPr/>
      <w:sdtContent>
        <w:p w:rsidRPr="009B062B" w:rsidR="00AF30DD" w:rsidP="00F738F7" w:rsidRDefault="00AF30DD" w14:paraId="53CA457F" w14:textId="77777777">
          <w:pPr>
            <w:pStyle w:val="Rubrik1"/>
            <w:spacing w:after="300"/>
          </w:pPr>
          <w:r w:rsidRPr="009B062B">
            <w:t>Förslag till riksdagsbeslut</w:t>
          </w:r>
        </w:p>
      </w:sdtContent>
    </w:sdt>
    <w:sdt>
      <w:sdtPr>
        <w:alias w:val="Yrkande 1"/>
        <w:tag w:val="d465a22a-c99e-4fd6-9cec-da2dac54a3fc"/>
        <w:id w:val="-1915626628"/>
        <w:lock w:val="sdtLocked"/>
      </w:sdtPr>
      <w:sdtEndPr/>
      <w:sdtContent>
        <w:p w:rsidR="00337F45" w:rsidRDefault="009611FA" w14:paraId="53CA4580" w14:textId="77777777">
          <w:pPr>
            <w:pStyle w:val="Frslagstext"/>
            <w:numPr>
              <w:ilvl w:val="0"/>
              <w:numId w:val="0"/>
            </w:numPr>
          </w:pPr>
          <w:r>
            <w:t>Riksdagen ställer sig bakom det som anförs i motionen om olika åtgärder för att införa en rättvisare folkräkning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5206F3F10964E5EAD72D20FE374B0D2"/>
        </w:placeholder>
        <w:text/>
      </w:sdtPr>
      <w:sdtEndPr/>
      <w:sdtContent>
        <w:p w:rsidRPr="009B062B" w:rsidR="006D79C9" w:rsidP="00333E95" w:rsidRDefault="006D79C9" w14:paraId="53CA4581" w14:textId="77777777">
          <w:pPr>
            <w:pStyle w:val="Rubrik1"/>
          </w:pPr>
          <w:r>
            <w:t>Motivering</w:t>
          </w:r>
        </w:p>
      </w:sdtContent>
    </w:sdt>
    <w:p w:rsidR="00CA28FB" w:rsidP="00CA28FB" w:rsidRDefault="00CA28FB" w14:paraId="53CA4582" w14:textId="15F9DABA">
      <w:pPr>
        <w:pStyle w:val="Normalutanindragellerluft"/>
      </w:pPr>
      <w:r>
        <w:t>Små kommuner som har en hög andel säsongsarbetare missgynnas av det stelbenta sättet att beräkna invånarantal endast en gång per år. På statartiden var det vanligt att statare, drängar och pigor bytte arbetsgivare och därmed adress under oktober månad. Därför var den 1</w:t>
      </w:r>
      <w:r w:rsidR="002752CD">
        <w:t> </w:t>
      </w:r>
      <w:r>
        <w:t xml:space="preserve">november en lämplig dag att räkna invånarna på. </w:t>
      </w:r>
    </w:p>
    <w:p w:rsidR="00CA28FB" w:rsidP="007A41A5" w:rsidRDefault="00CA28FB" w14:paraId="53CA4583" w14:textId="5CE161D7">
      <w:r>
        <w:t>För kommunen handlar det inte bara om skatteinkomsten från den enskilda individen – konsekvenserna blir större än så. Antalet invånare den 1</w:t>
      </w:r>
      <w:r w:rsidR="002752CD">
        <w:t> </w:t>
      </w:r>
      <w:r>
        <w:t xml:space="preserve">november avgör också nivån på skatteutjämningsbidraget, nivån på kostnadsutjämningsbidraget, nivån på det invånarrelaterade statsbidraget och nivån på det åldersrelaterade statsbidraget. För en kommun är antalet invånare denna enda höstdag därmed av stor, närmast avgörande, betydelse. </w:t>
      </w:r>
    </w:p>
    <w:p w:rsidR="00CA28FB" w:rsidP="007A41A5" w:rsidRDefault="00CA28FB" w14:paraId="53CA4584" w14:textId="5BD66984">
      <w:r>
        <w:t>Befolkningstalet i en kommun är inte konstant under året. I turistkommuner som Åre och Härjedalen finns under vinterhalvåret tusentals säsongsarbetare inom turismen. Endast en mindre del av dessa finns på plats den 1</w:t>
      </w:r>
      <w:r w:rsidR="002752CD">
        <w:t> </w:t>
      </w:r>
      <w:r>
        <w:t>november och ännu färre är skrivna i dessa kommuner vid denna tidpunkt.</w:t>
      </w:r>
    </w:p>
    <w:p w:rsidR="00BB6339" w:rsidP="007A41A5" w:rsidRDefault="00CA28FB" w14:paraId="53CA4589" w14:textId="3C357719">
      <w:r>
        <w:t>Med dagens teknik bör det vara fullt möjligt att räkna antalet invånare i en kommun varje månad, eller i varje fall varje kvartal. Ett befolkningsgenomsnitt under året skulle ge en mer rättvis fördelning mellan kommunerna i utjämningssystemen. Det är hög tid att utarbeta ett sådant system för ökad rättvisa mellan landets kommuner.</w:t>
      </w:r>
      <w:bookmarkStart w:name="_GoBack" w:id="1"/>
      <w:bookmarkEnd w:id="1"/>
    </w:p>
    <w:sdt>
      <w:sdtPr>
        <w:alias w:val="CC_Underskrifter"/>
        <w:tag w:val="CC_Underskrifter"/>
        <w:id w:val="583496634"/>
        <w:lock w:val="sdtContentLocked"/>
        <w:placeholder>
          <w:docPart w:val="D45E68CE38AC4B0E9CDEB3D9BF5C7354"/>
        </w:placeholder>
      </w:sdtPr>
      <w:sdtEndPr/>
      <w:sdtContent>
        <w:p w:rsidR="00F738F7" w:rsidP="00F738F7" w:rsidRDefault="00F738F7" w14:paraId="53CA458A" w14:textId="77777777"/>
        <w:p w:rsidRPr="008E0FE2" w:rsidR="004801AC" w:rsidP="00F738F7" w:rsidRDefault="007A41A5" w14:paraId="53CA458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Peter Helander (C)</w:t>
            </w:r>
          </w:p>
        </w:tc>
      </w:tr>
    </w:tbl>
    <w:p w:rsidR="008A58EC" w:rsidRDefault="008A58EC" w14:paraId="53CA458F" w14:textId="77777777"/>
    <w:sectPr w:rsidR="008A58E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A4591" w14:textId="77777777" w:rsidR="00CA28FB" w:rsidRDefault="00CA28FB" w:rsidP="000C1CAD">
      <w:pPr>
        <w:spacing w:line="240" w:lineRule="auto"/>
      </w:pPr>
      <w:r>
        <w:separator/>
      </w:r>
    </w:p>
  </w:endnote>
  <w:endnote w:type="continuationSeparator" w:id="0">
    <w:p w14:paraId="53CA4592" w14:textId="77777777" w:rsidR="00CA28FB" w:rsidRDefault="00CA28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A45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A45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A45A0" w14:textId="77777777" w:rsidR="00262EA3" w:rsidRPr="00F738F7" w:rsidRDefault="00262EA3" w:rsidP="00F738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A458F" w14:textId="77777777" w:rsidR="00CA28FB" w:rsidRDefault="00CA28FB" w:rsidP="000C1CAD">
      <w:pPr>
        <w:spacing w:line="240" w:lineRule="auto"/>
      </w:pPr>
      <w:r>
        <w:separator/>
      </w:r>
    </w:p>
  </w:footnote>
  <w:footnote w:type="continuationSeparator" w:id="0">
    <w:p w14:paraId="53CA4590" w14:textId="77777777" w:rsidR="00CA28FB" w:rsidRDefault="00CA28F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3CA45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CA45A2" wp14:anchorId="53CA45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A41A5" w14:paraId="53CA45A5" w14:textId="77777777">
                          <w:pPr>
                            <w:jc w:val="right"/>
                          </w:pPr>
                          <w:sdt>
                            <w:sdtPr>
                              <w:alias w:val="CC_Noformat_Partikod"/>
                              <w:tag w:val="CC_Noformat_Partikod"/>
                              <w:id w:val="-53464382"/>
                              <w:placeholder>
                                <w:docPart w:val="F43EE7BA4F374F4E87670519B0977555"/>
                              </w:placeholder>
                              <w:text/>
                            </w:sdtPr>
                            <w:sdtEndPr/>
                            <w:sdtContent>
                              <w:r w:rsidR="00CA28FB">
                                <w:t>C</w:t>
                              </w:r>
                            </w:sdtContent>
                          </w:sdt>
                          <w:sdt>
                            <w:sdtPr>
                              <w:alias w:val="CC_Noformat_Partinummer"/>
                              <w:tag w:val="CC_Noformat_Partinummer"/>
                              <w:id w:val="-1709555926"/>
                              <w:placeholder>
                                <w:docPart w:val="AD9E06FE39F147B2916AE198FF67618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CA45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A41A5" w14:paraId="53CA45A5" w14:textId="77777777">
                    <w:pPr>
                      <w:jc w:val="right"/>
                    </w:pPr>
                    <w:sdt>
                      <w:sdtPr>
                        <w:alias w:val="CC_Noformat_Partikod"/>
                        <w:tag w:val="CC_Noformat_Partikod"/>
                        <w:id w:val="-53464382"/>
                        <w:placeholder>
                          <w:docPart w:val="F43EE7BA4F374F4E87670519B0977555"/>
                        </w:placeholder>
                        <w:text/>
                      </w:sdtPr>
                      <w:sdtEndPr/>
                      <w:sdtContent>
                        <w:r w:rsidR="00CA28FB">
                          <w:t>C</w:t>
                        </w:r>
                      </w:sdtContent>
                    </w:sdt>
                    <w:sdt>
                      <w:sdtPr>
                        <w:alias w:val="CC_Noformat_Partinummer"/>
                        <w:tag w:val="CC_Noformat_Partinummer"/>
                        <w:id w:val="-1709555926"/>
                        <w:placeholder>
                          <w:docPart w:val="AD9E06FE39F147B2916AE198FF67618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3CA45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3CA4595" w14:textId="77777777">
    <w:pPr>
      <w:jc w:val="right"/>
    </w:pPr>
  </w:p>
  <w:p w:rsidR="00262EA3" w:rsidP="00776B74" w:rsidRDefault="00262EA3" w14:paraId="53CA459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262753" w:id="2"/>
  <w:bookmarkStart w:name="_Hlk52262754" w:id="3"/>
  <w:p w:rsidR="00262EA3" w:rsidP="008563AC" w:rsidRDefault="007A41A5" w14:paraId="53CA459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CA45A4" wp14:anchorId="53CA45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A41A5" w14:paraId="53CA459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A28F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A41A5" w14:paraId="53CA459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A41A5" w14:paraId="53CA459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:1024</w:t>
        </w:r>
      </w:sdtContent>
    </w:sdt>
  </w:p>
  <w:p w:rsidR="00262EA3" w:rsidP="00E03A3D" w:rsidRDefault="007A41A5" w14:paraId="53CA459D" w14:textId="77777777">
    <w:pPr>
      <w:pStyle w:val="Motionr"/>
    </w:pPr>
    <w:sdt>
      <w:sdtPr>
        <w:alias w:val="CC_Noformat_Avtext"/>
        <w:tag w:val="CC_Noformat_Avtext"/>
        <w:id w:val="-2020768203"/>
        <w:lock w:val="sdtContentLocked"/>
        <w:placeholder>
          <w:docPart w:val="6705918924A04221BD0792A45F76F5DA"/>
        </w:placeholder>
        <w15:appearance w15:val="hidden"/>
        <w:text/>
      </w:sdtPr>
      <w:sdtEndPr/>
      <w:sdtContent>
        <w:r>
          <w:t>av Per Åsling och Peter Helander (båda C)</w:t>
        </w:r>
      </w:sdtContent>
    </w:sdt>
  </w:p>
  <w:sdt>
    <w:sdtPr>
      <w:alias w:val="CC_Noformat_Rubtext"/>
      <w:tag w:val="CC_Noformat_Rubtext"/>
      <w:id w:val="-218060500"/>
      <w:lock w:val="sdtLocked"/>
      <w:text/>
    </w:sdtPr>
    <w:sdtEndPr/>
    <w:sdtContent>
      <w:p w:rsidR="00262EA3" w:rsidP="00283E0F" w:rsidRDefault="00CA28FB" w14:paraId="53CA459E" w14:textId="77777777">
        <w:pPr>
          <w:pStyle w:val="FSHRub2"/>
        </w:pPr>
        <w:r>
          <w:t>Rättvisare folkräkning stärker kommunkassor</w:t>
        </w:r>
      </w:p>
    </w:sdtContent>
  </w:sdt>
  <w:sdt>
    <w:sdtPr>
      <w:alias w:val="CC_Boilerplate_3"/>
      <w:tag w:val="CC_Boilerplate_3"/>
      <w:id w:val="1606463544"/>
      <w:lock w:val="sdtContentLocked"/>
      <w15:appearance w15:val="hidden"/>
      <w:text w:multiLine="1"/>
    </w:sdtPr>
    <w:sdtEndPr/>
    <w:sdtContent>
      <w:p w:rsidR="00262EA3" w:rsidP="00283E0F" w:rsidRDefault="00262EA3" w14:paraId="53CA459F"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A28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2C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37F4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1A5"/>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AB6"/>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1A1E"/>
    <w:rsid w:val="008A23C8"/>
    <w:rsid w:val="008A2992"/>
    <w:rsid w:val="008A3DB6"/>
    <w:rsid w:val="008A58EC"/>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1FA"/>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8FB"/>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A7FD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96B"/>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8F7"/>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CA457E"/>
  <w15:chartTrackingRefBased/>
  <w15:docId w15:val="{F4BCBA8A-F147-49DB-812B-8B99709C0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2EE0E5ACB3A4C5B81B5F6E06B522326"/>
        <w:category>
          <w:name w:val="Allmänt"/>
          <w:gallery w:val="placeholder"/>
        </w:category>
        <w:types>
          <w:type w:val="bbPlcHdr"/>
        </w:types>
        <w:behaviors>
          <w:behavior w:val="content"/>
        </w:behaviors>
        <w:guid w:val="{452AD18F-7E09-4EC6-A610-1CF341ED083F}"/>
      </w:docPartPr>
      <w:docPartBody>
        <w:p w:rsidR="00C95D5C" w:rsidRDefault="00C95D5C">
          <w:pPr>
            <w:pStyle w:val="72EE0E5ACB3A4C5B81B5F6E06B522326"/>
          </w:pPr>
          <w:r w:rsidRPr="005A0A93">
            <w:rPr>
              <w:rStyle w:val="Platshllartext"/>
            </w:rPr>
            <w:t>Förslag till riksdagsbeslut</w:t>
          </w:r>
        </w:p>
      </w:docPartBody>
    </w:docPart>
    <w:docPart>
      <w:docPartPr>
        <w:name w:val="F5206F3F10964E5EAD72D20FE374B0D2"/>
        <w:category>
          <w:name w:val="Allmänt"/>
          <w:gallery w:val="placeholder"/>
        </w:category>
        <w:types>
          <w:type w:val="bbPlcHdr"/>
        </w:types>
        <w:behaviors>
          <w:behavior w:val="content"/>
        </w:behaviors>
        <w:guid w:val="{EAA8766E-CE17-4663-9E4B-9A467B7320CE}"/>
      </w:docPartPr>
      <w:docPartBody>
        <w:p w:rsidR="00C95D5C" w:rsidRDefault="00C95D5C">
          <w:pPr>
            <w:pStyle w:val="F5206F3F10964E5EAD72D20FE374B0D2"/>
          </w:pPr>
          <w:r w:rsidRPr="005A0A93">
            <w:rPr>
              <w:rStyle w:val="Platshllartext"/>
            </w:rPr>
            <w:t>Motivering</w:t>
          </w:r>
        </w:p>
      </w:docPartBody>
    </w:docPart>
    <w:docPart>
      <w:docPartPr>
        <w:name w:val="F43EE7BA4F374F4E87670519B0977555"/>
        <w:category>
          <w:name w:val="Allmänt"/>
          <w:gallery w:val="placeholder"/>
        </w:category>
        <w:types>
          <w:type w:val="bbPlcHdr"/>
        </w:types>
        <w:behaviors>
          <w:behavior w:val="content"/>
        </w:behaviors>
        <w:guid w:val="{A72CE8A6-5DBC-4437-A42F-D030E95238D5}"/>
      </w:docPartPr>
      <w:docPartBody>
        <w:p w:rsidR="00C95D5C" w:rsidRDefault="00C95D5C">
          <w:pPr>
            <w:pStyle w:val="F43EE7BA4F374F4E87670519B0977555"/>
          </w:pPr>
          <w:r>
            <w:rPr>
              <w:rStyle w:val="Platshllartext"/>
            </w:rPr>
            <w:t xml:space="preserve"> </w:t>
          </w:r>
        </w:p>
      </w:docPartBody>
    </w:docPart>
    <w:docPart>
      <w:docPartPr>
        <w:name w:val="AD9E06FE39F147B2916AE198FF676186"/>
        <w:category>
          <w:name w:val="Allmänt"/>
          <w:gallery w:val="placeholder"/>
        </w:category>
        <w:types>
          <w:type w:val="bbPlcHdr"/>
        </w:types>
        <w:behaviors>
          <w:behavior w:val="content"/>
        </w:behaviors>
        <w:guid w:val="{EB136C3D-86CB-4A09-ACBB-2C896A3E3338}"/>
      </w:docPartPr>
      <w:docPartBody>
        <w:p w:rsidR="00C95D5C" w:rsidRDefault="00C95D5C">
          <w:pPr>
            <w:pStyle w:val="AD9E06FE39F147B2916AE198FF676186"/>
          </w:pPr>
          <w:r>
            <w:t xml:space="preserve"> </w:t>
          </w:r>
        </w:p>
      </w:docPartBody>
    </w:docPart>
    <w:docPart>
      <w:docPartPr>
        <w:name w:val="6705918924A04221BD0792A45F76F5DA"/>
        <w:category>
          <w:name w:val="Allmänt"/>
          <w:gallery w:val="placeholder"/>
        </w:category>
        <w:types>
          <w:type w:val="bbPlcHdr"/>
        </w:types>
        <w:behaviors>
          <w:behavior w:val="content"/>
        </w:behaviors>
        <w:guid w:val="{E6F84DBF-B630-4C31-B594-4C1E4EE4DF27}"/>
      </w:docPartPr>
      <w:docPartBody>
        <w:p w:rsidR="00C95D5C" w:rsidRDefault="00C95D5C"/>
      </w:docPartBody>
    </w:docPart>
    <w:docPart>
      <w:docPartPr>
        <w:name w:val="D45E68CE38AC4B0E9CDEB3D9BF5C7354"/>
        <w:category>
          <w:name w:val="Allmänt"/>
          <w:gallery w:val="placeholder"/>
        </w:category>
        <w:types>
          <w:type w:val="bbPlcHdr"/>
        </w:types>
        <w:behaviors>
          <w:behavior w:val="content"/>
        </w:behaviors>
        <w:guid w:val="{8AB5C95F-8AC8-413E-9B04-CB03C969FF45}"/>
      </w:docPartPr>
      <w:docPartBody>
        <w:p w:rsidR="009D5E8F" w:rsidRDefault="009D5E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D5C"/>
    <w:rsid w:val="009D5E8F"/>
    <w:rsid w:val="00C95D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EE0E5ACB3A4C5B81B5F6E06B522326">
    <w:name w:val="72EE0E5ACB3A4C5B81B5F6E06B522326"/>
  </w:style>
  <w:style w:type="paragraph" w:customStyle="1" w:styleId="4CE9DF9933D34A9B9B1678D0BE2B7F49">
    <w:name w:val="4CE9DF9933D34A9B9B1678D0BE2B7F4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865B0C6649E4748A6201BFB35DD2A04">
    <w:name w:val="B865B0C6649E4748A6201BFB35DD2A04"/>
  </w:style>
  <w:style w:type="paragraph" w:customStyle="1" w:styleId="F5206F3F10964E5EAD72D20FE374B0D2">
    <w:name w:val="F5206F3F10964E5EAD72D20FE374B0D2"/>
  </w:style>
  <w:style w:type="paragraph" w:customStyle="1" w:styleId="BCAD50EE5B5C4796B339F3FF874AD690">
    <w:name w:val="BCAD50EE5B5C4796B339F3FF874AD690"/>
  </w:style>
  <w:style w:type="paragraph" w:customStyle="1" w:styleId="5BE2C1BACA3247F9AE38E497645B9BA4">
    <w:name w:val="5BE2C1BACA3247F9AE38E497645B9BA4"/>
  </w:style>
  <w:style w:type="paragraph" w:customStyle="1" w:styleId="F43EE7BA4F374F4E87670519B0977555">
    <w:name w:val="F43EE7BA4F374F4E87670519B0977555"/>
  </w:style>
  <w:style w:type="paragraph" w:customStyle="1" w:styleId="AD9E06FE39F147B2916AE198FF676186">
    <w:name w:val="AD9E06FE39F147B2916AE198FF6761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7A9093-CA0B-4DE9-AE38-9DA8244CDAB5}"/>
</file>

<file path=customXml/itemProps2.xml><?xml version="1.0" encoding="utf-8"?>
<ds:datastoreItem xmlns:ds="http://schemas.openxmlformats.org/officeDocument/2006/customXml" ds:itemID="{FF56374C-AFFA-4F68-924D-034BE871B505}"/>
</file>

<file path=customXml/itemProps3.xml><?xml version="1.0" encoding="utf-8"?>
<ds:datastoreItem xmlns:ds="http://schemas.openxmlformats.org/officeDocument/2006/customXml" ds:itemID="{4C859DD5-3C45-4E91-96A0-057B097C6EA6}"/>
</file>

<file path=docProps/app.xml><?xml version="1.0" encoding="utf-8"?>
<Properties xmlns="http://schemas.openxmlformats.org/officeDocument/2006/extended-properties" xmlns:vt="http://schemas.openxmlformats.org/officeDocument/2006/docPropsVTypes">
  <Template>Normal</Template>
  <TotalTime>3</TotalTime>
  <Pages>2</Pages>
  <Words>239</Words>
  <Characters>1367</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Rättvisare folkräkning stärker kommunkassor</vt:lpstr>
      <vt:lpstr>
      </vt:lpstr>
    </vt:vector>
  </TitlesOfParts>
  <Company>Sveriges riksdag</Company>
  <LinksUpToDate>false</LinksUpToDate>
  <CharactersWithSpaces>1596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