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939" w:rsidRPr="004A6939" w:rsidRDefault="004A6939">
      <w:pPr>
        <w:pStyle w:val="Frslagsrubrik"/>
        <w:shd w:val="clear" w:color="000000" w:fill="auto"/>
      </w:pPr>
      <w:r w:rsidRPr="004A6939">
        <w:t>Förslag till riksdagsbeslut</w:t>
      </w:r>
    </w:p>
    <w:p w:rsidR="004A6939" w:rsidRPr="004A6939" w:rsidRDefault="004A6939">
      <w:pPr>
        <w:pStyle w:val="Hemstlatt"/>
        <w:numPr>
          <w:ilvl w:val="0"/>
          <w:numId w:val="1"/>
        </w:numPr>
        <w:shd w:val="clear" w:color="000000" w:fill="auto"/>
      </w:pPr>
      <w:r w:rsidRPr="004A6939">
        <w:t>Riksdagen beslutar om ändrade ramar för u</w:t>
      </w:r>
      <w:r w:rsidRPr="004A6939">
        <w:t>t</w:t>
      </w:r>
      <w:r w:rsidRPr="004A6939">
        <w:t>giftsområden och anvisar ändrade anslag enligt tabellen ne</w:t>
      </w:r>
      <w:r w:rsidRPr="004A6939">
        <w:t>d</w:t>
      </w:r>
      <w:r w:rsidRPr="004A6939">
        <w:t>an.</w:t>
      </w:r>
    </w:p>
    <w:p w:rsidR="004A6939" w:rsidRPr="004A6939" w:rsidRDefault="004A6939">
      <w:pPr>
        <w:shd w:val="clear" w:color="000000" w:fill="auto"/>
        <w:rPr>
          <w:sz w:val="16"/>
          <w:szCs w:val="16"/>
        </w:rPr>
      </w:pPr>
    </w:p>
    <w:tbl>
      <w:tblPr>
        <w:tblStyle w:val="Tabellrutnt"/>
        <w:tblW w:w="6294" w:type="dxa"/>
        <w:tblLayout w:type="fixed"/>
        <w:tblLook w:val="01E0" w:firstRow="1" w:lastRow="1" w:firstColumn="1" w:lastColumn="1" w:noHBand="0" w:noVBand="0"/>
      </w:tblPr>
      <w:tblGrid>
        <w:gridCol w:w="1428"/>
        <w:gridCol w:w="697"/>
        <w:gridCol w:w="2903"/>
        <w:gridCol w:w="1266"/>
      </w:tblGrid>
      <w:tr w:rsidR="00000000" w:rsidRPr="004A6939">
        <w:tc>
          <w:tcPr>
            <w:tcW w:w="1428" w:type="dxa"/>
            <w:tcBorders>
              <w:top w:val="nil"/>
              <w:left w:val="nil"/>
              <w:bottom w:val="single" w:sz="4" w:space="0" w:color="auto"/>
              <w:right w:val="nil"/>
            </w:tcBorders>
          </w:tcPr>
          <w:p w:rsidR="004A6939" w:rsidRPr="004A6939" w:rsidRDefault="004A6939">
            <w:pPr>
              <w:shd w:val="clear" w:color="000000" w:fill="auto"/>
              <w:spacing w:before="60" w:line="200" w:lineRule="atLeast"/>
              <w:rPr>
                <w:sz w:val="16"/>
                <w:szCs w:val="16"/>
              </w:rPr>
            </w:pPr>
            <w:r w:rsidRPr="004A6939">
              <w:rPr>
                <w:i/>
                <w:sz w:val="16"/>
                <w:szCs w:val="16"/>
              </w:rPr>
              <w:t>Tusental kronor</w:t>
            </w:r>
          </w:p>
        </w:tc>
        <w:tc>
          <w:tcPr>
            <w:tcW w:w="697" w:type="dxa"/>
            <w:tcBorders>
              <w:top w:val="nil"/>
              <w:left w:val="nil"/>
              <w:bottom w:val="single" w:sz="4" w:space="0" w:color="auto"/>
              <w:right w:val="nil"/>
            </w:tcBorders>
          </w:tcPr>
          <w:p w:rsidR="004A6939" w:rsidRPr="004A6939" w:rsidRDefault="004A6939">
            <w:pPr>
              <w:shd w:val="clear" w:color="000000" w:fill="auto"/>
              <w:spacing w:before="60" w:line="200" w:lineRule="atLeast"/>
              <w:rPr>
                <w:sz w:val="16"/>
                <w:szCs w:val="16"/>
              </w:rPr>
            </w:pPr>
          </w:p>
        </w:tc>
        <w:tc>
          <w:tcPr>
            <w:tcW w:w="2903" w:type="dxa"/>
            <w:tcBorders>
              <w:top w:val="nil"/>
              <w:left w:val="nil"/>
              <w:bottom w:val="single" w:sz="4" w:space="0" w:color="auto"/>
              <w:right w:val="nil"/>
            </w:tcBorders>
          </w:tcPr>
          <w:p w:rsidR="004A6939" w:rsidRPr="004A6939" w:rsidRDefault="004A6939">
            <w:pPr>
              <w:shd w:val="clear" w:color="000000" w:fill="auto"/>
              <w:spacing w:before="60" w:line="200" w:lineRule="atLeast"/>
              <w:rPr>
                <w:sz w:val="16"/>
                <w:szCs w:val="16"/>
              </w:rPr>
            </w:pPr>
          </w:p>
        </w:tc>
        <w:tc>
          <w:tcPr>
            <w:tcW w:w="1266" w:type="dxa"/>
            <w:tcBorders>
              <w:top w:val="nil"/>
              <w:left w:val="nil"/>
              <w:bottom w:val="single" w:sz="4" w:space="0" w:color="auto"/>
              <w:right w:val="nil"/>
            </w:tcBorders>
          </w:tcPr>
          <w:p w:rsidR="004A6939" w:rsidRPr="004A6939" w:rsidRDefault="004A6939">
            <w:pPr>
              <w:shd w:val="clear" w:color="000000" w:fill="auto"/>
              <w:spacing w:before="60" w:line="200" w:lineRule="atLeast"/>
              <w:rPr>
                <w:sz w:val="16"/>
                <w:szCs w:val="16"/>
              </w:rPr>
            </w:pPr>
          </w:p>
        </w:tc>
      </w:tr>
      <w:tr w:rsidR="00000000" w:rsidRPr="004A6939">
        <w:tc>
          <w:tcPr>
            <w:tcW w:w="1428" w:type="dxa"/>
            <w:tcBorders>
              <w:top w:val="single" w:sz="4" w:space="0" w:color="auto"/>
              <w:left w:val="nil"/>
              <w:bottom w:val="single" w:sz="4" w:space="0" w:color="auto"/>
              <w:right w:val="nil"/>
            </w:tcBorders>
          </w:tcPr>
          <w:p w:rsidR="004A6939" w:rsidRPr="004A6939" w:rsidRDefault="004A6939">
            <w:pPr>
              <w:shd w:val="clear" w:color="000000" w:fill="auto"/>
              <w:spacing w:before="60" w:line="200" w:lineRule="atLeast"/>
              <w:rPr>
                <w:b/>
                <w:sz w:val="16"/>
                <w:szCs w:val="16"/>
              </w:rPr>
            </w:pPr>
            <w:r w:rsidRPr="004A6939">
              <w:rPr>
                <w:b/>
                <w:sz w:val="16"/>
                <w:szCs w:val="16"/>
              </w:rPr>
              <w:t>Tilläggsbudget för 2010</w:t>
            </w:r>
          </w:p>
        </w:tc>
        <w:tc>
          <w:tcPr>
            <w:tcW w:w="697" w:type="dxa"/>
            <w:tcBorders>
              <w:top w:val="single" w:sz="4" w:space="0" w:color="auto"/>
              <w:left w:val="nil"/>
              <w:bottom w:val="single" w:sz="4" w:space="0" w:color="auto"/>
              <w:right w:val="nil"/>
            </w:tcBorders>
          </w:tcPr>
          <w:p w:rsidR="004A6939" w:rsidRPr="004A6939" w:rsidRDefault="004A6939">
            <w:pPr>
              <w:shd w:val="clear" w:color="000000" w:fill="auto"/>
              <w:spacing w:before="60" w:line="200" w:lineRule="atLeast"/>
              <w:rPr>
                <w:b/>
                <w:sz w:val="16"/>
                <w:szCs w:val="16"/>
              </w:rPr>
            </w:pPr>
          </w:p>
        </w:tc>
        <w:tc>
          <w:tcPr>
            <w:tcW w:w="2903" w:type="dxa"/>
            <w:tcBorders>
              <w:top w:val="single" w:sz="4" w:space="0" w:color="auto"/>
              <w:left w:val="nil"/>
              <w:bottom w:val="single" w:sz="4" w:space="0" w:color="auto"/>
              <w:right w:val="nil"/>
            </w:tcBorders>
          </w:tcPr>
          <w:p w:rsidR="004A6939" w:rsidRPr="004A6939" w:rsidRDefault="004A6939">
            <w:pPr>
              <w:shd w:val="clear" w:color="000000" w:fill="auto"/>
              <w:spacing w:before="60" w:line="200" w:lineRule="atLeast"/>
              <w:rPr>
                <w:b/>
                <w:sz w:val="16"/>
                <w:szCs w:val="16"/>
              </w:rPr>
            </w:pPr>
          </w:p>
        </w:tc>
        <w:tc>
          <w:tcPr>
            <w:tcW w:w="1266" w:type="dxa"/>
            <w:tcBorders>
              <w:top w:val="single" w:sz="4" w:space="0" w:color="auto"/>
              <w:left w:val="nil"/>
              <w:bottom w:val="single" w:sz="4" w:space="0" w:color="auto"/>
              <w:right w:val="nil"/>
            </w:tcBorders>
          </w:tcPr>
          <w:p w:rsidR="004A6939" w:rsidRPr="004A6939" w:rsidRDefault="004A6939">
            <w:pPr>
              <w:shd w:val="clear" w:color="000000" w:fill="auto"/>
              <w:spacing w:before="60" w:line="200" w:lineRule="atLeast"/>
              <w:rPr>
                <w:b/>
                <w:sz w:val="16"/>
                <w:szCs w:val="16"/>
              </w:rPr>
            </w:pPr>
            <w:r w:rsidRPr="004A6939">
              <w:rPr>
                <w:b/>
                <w:sz w:val="16"/>
                <w:szCs w:val="16"/>
              </w:rPr>
              <w:t>Avvikelse från regeringen</w:t>
            </w:r>
          </w:p>
        </w:tc>
      </w:tr>
      <w:tr w:rsidR="00000000" w:rsidRPr="004A6939">
        <w:tc>
          <w:tcPr>
            <w:tcW w:w="1428" w:type="dxa"/>
            <w:tcBorders>
              <w:top w:val="single" w:sz="4" w:space="0" w:color="auto"/>
              <w:left w:val="nil"/>
              <w:bottom w:val="single" w:sz="4" w:space="0" w:color="auto"/>
              <w:right w:val="nil"/>
            </w:tcBorders>
          </w:tcPr>
          <w:p w:rsidR="004A6939" w:rsidRPr="004A6939" w:rsidRDefault="004A6939">
            <w:pPr>
              <w:shd w:val="clear" w:color="000000" w:fill="auto"/>
              <w:spacing w:before="60" w:line="200" w:lineRule="atLeast"/>
              <w:rPr>
                <w:b/>
                <w:sz w:val="16"/>
                <w:szCs w:val="16"/>
              </w:rPr>
            </w:pPr>
            <w:r w:rsidRPr="004A6939">
              <w:rPr>
                <w:b/>
                <w:sz w:val="16"/>
                <w:szCs w:val="16"/>
              </w:rPr>
              <w:t>Utgiftsområde</w:t>
            </w:r>
          </w:p>
        </w:tc>
        <w:tc>
          <w:tcPr>
            <w:tcW w:w="697" w:type="dxa"/>
            <w:tcBorders>
              <w:top w:val="single" w:sz="4" w:space="0" w:color="auto"/>
              <w:left w:val="nil"/>
              <w:bottom w:val="single" w:sz="4" w:space="0" w:color="auto"/>
              <w:right w:val="nil"/>
            </w:tcBorders>
          </w:tcPr>
          <w:p w:rsidR="004A6939" w:rsidRPr="004A6939" w:rsidRDefault="004A6939">
            <w:pPr>
              <w:shd w:val="clear" w:color="000000" w:fill="auto"/>
              <w:spacing w:before="60" w:line="200" w:lineRule="atLeast"/>
              <w:rPr>
                <w:b/>
                <w:sz w:val="16"/>
                <w:szCs w:val="16"/>
              </w:rPr>
            </w:pPr>
            <w:r w:rsidRPr="004A6939">
              <w:rPr>
                <w:b/>
                <w:sz w:val="16"/>
                <w:szCs w:val="16"/>
              </w:rPr>
              <w:t>Anslag</w:t>
            </w:r>
          </w:p>
        </w:tc>
        <w:tc>
          <w:tcPr>
            <w:tcW w:w="2903" w:type="dxa"/>
            <w:tcBorders>
              <w:top w:val="single" w:sz="4" w:space="0" w:color="auto"/>
              <w:left w:val="nil"/>
              <w:bottom w:val="single" w:sz="4" w:space="0" w:color="auto"/>
              <w:right w:val="nil"/>
            </w:tcBorders>
          </w:tcPr>
          <w:p w:rsidR="004A6939" w:rsidRPr="004A6939" w:rsidRDefault="004A6939">
            <w:pPr>
              <w:shd w:val="clear" w:color="000000" w:fill="auto"/>
              <w:spacing w:before="60" w:line="200" w:lineRule="atLeast"/>
              <w:rPr>
                <w:b/>
                <w:sz w:val="16"/>
                <w:szCs w:val="16"/>
              </w:rPr>
            </w:pPr>
          </w:p>
        </w:tc>
        <w:tc>
          <w:tcPr>
            <w:tcW w:w="1266" w:type="dxa"/>
            <w:tcBorders>
              <w:top w:val="single" w:sz="4" w:space="0" w:color="auto"/>
              <w:left w:val="nil"/>
              <w:bottom w:val="single" w:sz="4" w:space="0" w:color="auto"/>
              <w:right w:val="nil"/>
            </w:tcBorders>
          </w:tcPr>
          <w:p w:rsidR="004A6939" w:rsidRPr="004A6939" w:rsidRDefault="004A6939">
            <w:pPr>
              <w:shd w:val="clear" w:color="000000" w:fill="auto"/>
              <w:spacing w:before="60" w:line="200" w:lineRule="atLeast"/>
              <w:rPr>
                <w:b/>
                <w:sz w:val="16"/>
                <w:szCs w:val="16"/>
              </w:rPr>
            </w:pPr>
          </w:p>
        </w:tc>
      </w:tr>
      <w:tr w:rsidR="00000000" w:rsidRPr="004A6939">
        <w:tc>
          <w:tcPr>
            <w:tcW w:w="1428" w:type="dxa"/>
            <w:tcBorders>
              <w:top w:val="single" w:sz="4" w:space="0" w:color="auto"/>
              <w:left w:val="nil"/>
              <w:bottom w:val="nil"/>
              <w:right w:val="nil"/>
            </w:tcBorders>
          </w:tcPr>
          <w:p w:rsidR="004A6939" w:rsidRPr="004A6939" w:rsidRDefault="004A6939">
            <w:pPr>
              <w:shd w:val="clear" w:color="000000" w:fill="auto"/>
              <w:spacing w:before="60" w:line="200" w:lineRule="atLeast"/>
              <w:rPr>
                <w:sz w:val="16"/>
                <w:szCs w:val="16"/>
              </w:rPr>
            </w:pPr>
            <w:r w:rsidRPr="004A6939">
              <w:rPr>
                <w:sz w:val="16"/>
                <w:szCs w:val="16"/>
              </w:rPr>
              <w:t>8</w:t>
            </w:r>
          </w:p>
        </w:tc>
        <w:tc>
          <w:tcPr>
            <w:tcW w:w="697" w:type="dxa"/>
            <w:tcBorders>
              <w:top w:val="single" w:sz="4" w:space="0" w:color="auto"/>
              <w:left w:val="nil"/>
              <w:bottom w:val="nil"/>
              <w:right w:val="nil"/>
            </w:tcBorders>
          </w:tcPr>
          <w:p w:rsidR="004A6939" w:rsidRPr="004A6939" w:rsidRDefault="004A6939">
            <w:pPr>
              <w:shd w:val="clear" w:color="000000" w:fill="auto"/>
              <w:spacing w:before="60" w:line="200" w:lineRule="atLeast"/>
              <w:rPr>
                <w:sz w:val="16"/>
                <w:szCs w:val="16"/>
              </w:rPr>
            </w:pPr>
          </w:p>
        </w:tc>
        <w:tc>
          <w:tcPr>
            <w:tcW w:w="2903" w:type="dxa"/>
            <w:tcBorders>
              <w:top w:val="single" w:sz="4" w:space="0" w:color="auto"/>
              <w:left w:val="nil"/>
              <w:bottom w:val="nil"/>
              <w:right w:val="nil"/>
            </w:tcBorders>
          </w:tcPr>
          <w:p w:rsidR="004A6939" w:rsidRPr="004A6939" w:rsidRDefault="004A6939">
            <w:pPr>
              <w:shd w:val="clear" w:color="000000" w:fill="auto"/>
              <w:spacing w:before="60" w:line="200" w:lineRule="atLeast"/>
              <w:rPr>
                <w:sz w:val="16"/>
                <w:szCs w:val="16"/>
              </w:rPr>
            </w:pPr>
            <w:r w:rsidRPr="004A6939">
              <w:rPr>
                <w:b/>
                <w:sz w:val="16"/>
                <w:szCs w:val="16"/>
              </w:rPr>
              <w:t>Migration</w:t>
            </w:r>
          </w:p>
        </w:tc>
        <w:tc>
          <w:tcPr>
            <w:tcW w:w="1266" w:type="dxa"/>
            <w:tcBorders>
              <w:top w:val="single" w:sz="4" w:space="0" w:color="auto"/>
              <w:left w:val="nil"/>
              <w:bottom w:val="nil"/>
              <w:right w:val="nil"/>
            </w:tcBorders>
            <w:vAlign w:val="bottom"/>
          </w:tcPr>
          <w:p w:rsidR="004A6939" w:rsidRPr="004A6939" w:rsidRDefault="004A6939">
            <w:pPr>
              <w:shd w:val="clear" w:color="000000" w:fill="auto"/>
              <w:spacing w:before="60" w:line="200" w:lineRule="atLeast"/>
              <w:jc w:val="right"/>
              <w:rPr>
                <w:b/>
                <w:sz w:val="16"/>
                <w:szCs w:val="16"/>
              </w:rPr>
            </w:pPr>
            <w:r w:rsidRPr="004A6939">
              <w:rPr>
                <w:sz w:val="16"/>
                <w:szCs w:val="16"/>
              </w:rPr>
              <w:t>–875 000</w:t>
            </w:r>
          </w:p>
        </w:tc>
      </w:tr>
      <w:tr w:rsidR="00000000" w:rsidRPr="004A6939">
        <w:tc>
          <w:tcPr>
            <w:tcW w:w="1428" w:type="dxa"/>
            <w:tcBorders>
              <w:top w:val="nil"/>
              <w:left w:val="nil"/>
              <w:bottom w:val="nil"/>
              <w:right w:val="nil"/>
            </w:tcBorders>
          </w:tcPr>
          <w:p w:rsidR="004A6939" w:rsidRPr="004A6939" w:rsidRDefault="004A6939">
            <w:pPr>
              <w:shd w:val="clear" w:color="000000" w:fill="auto"/>
              <w:spacing w:before="60" w:line="200" w:lineRule="atLeast"/>
              <w:rPr>
                <w:sz w:val="16"/>
                <w:szCs w:val="16"/>
              </w:rPr>
            </w:pPr>
          </w:p>
        </w:tc>
        <w:tc>
          <w:tcPr>
            <w:tcW w:w="697" w:type="dxa"/>
            <w:tcBorders>
              <w:top w:val="nil"/>
              <w:left w:val="nil"/>
              <w:bottom w:val="nil"/>
              <w:right w:val="nil"/>
            </w:tcBorders>
          </w:tcPr>
          <w:p w:rsidR="004A6939" w:rsidRPr="004A6939" w:rsidRDefault="004A6939">
            <w:pPr>
              <w:shd w:val="clear" w:color="000000" w:fill="auto"/>
              <w:spacing w:before="60" w:line="200" w:lineRule="atLeast"/>
              <w:rPr>
                <w:sz w:val="16"/>
                <w:szCs w:val="16"/>
              </w:rPr>
            </w:pPr>
            <w:r w:rsidRPr="004A6939">
              <w:rPr>
                <w:sz w:val="16"/>
                <w:szCs w:val="16"/>
              </w:rPr>
              <w:t>1:2</w:t>
            </w:r>
          </w:p>
        </w:tc>
        <w:tc>
          <w:tcPr>
            <w:tcW w:w="2903" w:type="dxa"/>
            <w:tcBorders>
              <w:top w:val="nil"/>
              <w:left w:val="nil"/>
              <w:bottom w:val="nil"/>
              <w:right w:val="nil"/>
            </w:tcBorders>
          </w:tcPr>
          <w:p w:rsidR="004A6939" w:rsidRPr="004A6939" w:rsidRDefault="004A6939">
            <w:pPr>
              <w:shd w:val="clear" w:color="000000" w:fill="auto"/>
              <w:spacing w:before="60" w:line="200" w:lineRule="atLeast"/>
              <w:rPr>
                <w:sz w:val="16"/>
                <w:szCs w:val="16"/>
              </w:rPr>
            </w:pPr>
            <w:r w:rsidRPr="004A6939">
              <w:rPr>
                <w:sz w:val="16"/>
                <w:szCs w:val="16"/>
              </w:rPr>
              <w:t>Ersättningar och bostadskostnader</w:t>
            </w:r>
          </w:p>
        </w:tc>
        <w:tc>
          <w:tcPr>
            <w:tcW w:w="1266" w:type="dxa"/>
            <w:tcBorders>
              <w:top w:val="nil"/>
              <w:left w:val="nil"/>
              <w:bottom w:val="nil"/>
              <w:right w:val="nil"/>
            </w:tcBorders>
            <w:vAlign w:val="bottom"/>
          </w:tcPr>
          <w:p w:rsidR="004A6939" w:rsidRPr="004A6939" w:rsidRDefault="004A6939">
            <w:pPr>
              <w:shd w:val="clear" w:color="000000" w:fill="auto"/>
              <w:spacing w:before="60" w:line="200" w:lineRule="atLeast"/>
              <w:jc w:val="right"/>
              <w:rPr>
                <w:sz w:val="16"/>
                <w:szCs w:val="16"/>
              </w:rPr>
            </w:pPr>
            <w:r w:rsidRPr="004A6939">
              <w:rPr>
                <w:sz w:val="16"/>
                <w:szCs w:val="16"/>
              </w:rPr>
              <w:t>–875 000</w:t>
            </w:r>
          </w:p>
        </w:tc>
      </w:tr>
      <w:tr w:rsidR="00000000" w:rsidRPr="004A6939">
        <w:tc>
          <w:tcPr>
            <w:tcW w:w="1428" w:type="dxa"/>
            <w:tcBorders>
              <w:top w:val="nil"/>
              <w:left w:val="nil"/>
              <w:bottom w:val="nil"/>
              <w:right w:val="nil"/>
            </w:tcBorders>
          </w:tcPr>
          <w:p w:rsidR="004A6939" w:rsidRPr="004A6939" w:rsidRDefault="004A6939">
            <w:pPr>
              <w:shd w:val="clear" w:color="000000" w:fill="auto"/>
              <w:spacing w:before="60" w:line="200" w:lineRule="atLeast"/>
              <w:rPr>
                <w:sz w:val="16"/>
                <w:szCs w:val="16"/>
              </w:rPr>
            </w:pPr>
            <w:r w:rsidRPr="004A6939">
              <w:rPr>
                <w:sz w:val="16"/>
                <w:szCs w:val="16"/>
              </w:rPr>
              <w:t>13</w:t>
            </w:r>
          </w:p>
        </w:tc>
        <w:tc>
          <w:tcPr>
            <w:tcW w:w="697" w:type="dxa"/>
            <w:tcBorders>
              <w:top w:val="nil"/>
              <w:left w:val="nil"/>
              <w:bottom w:val="nil"/>
              <w:right w:val="nil"/>
            </w:tcBorders>
          </w:tcPr>
          <w:p w:rsidR="004A6939" w:rsidRPr="004A6939" w:rsidRDefault="004A6939">
            <w:pPr>
              <w:shd w:val="clear" w:color="000000" w:fill="auto"/>
              <w:spacing w:before="60" w:line="200" w:lineRule="atLeast"/>
              <w:rPr>
                <w:sz w:val="16"/>
                <w:szCs w:val="16"/>
              </w:rPr>
            </w:pPr>
          </w:p>
        </w:tc>
        <w:tc>
          <w:tcPr>
            <w:tcW w:w="2903" w:type="dxa"/>
            <w:tcBorders>
              <w:top w:val="nil"/>
              <w:left w:val="nil"/>
              <w:bottom w:val="nil"/>
              <w:right w:val="nil"/>
            </w:tcBorders>
          </w:tcPr>
          <w:p w:rsidR="004A6939" w:rsidRPr="004A6939" w:rsidRDefault="004A6939">
            <w:pPr>
              <w:shd w:val="clear" w:color="000000" w:fill="auto"/>
              <w:spacing w:before="60" w:line="200" w:lineRule="atLeast"/>
              <w:rPr>
                <w:sz w:val="16"/>
                <w:szCs w:val="16"/>
              </w:rPr>
            </w:pPr>
            <w:r w:rsidRPr="004A6939">
              <w:rPr>
                <w:b/>
                <w:sz w:val="16"/>
                <w:szCs w:val="16"/>
              </w:rPr>
              <w:t>Integration och jämställdhet</w:t>
            </w:r>
          </w:p>
        </w:tc>
        <w:tc>
          <w:tcPr>
            <w:tcW w:w="1266" w:type="dxa"/>
            <w:tcBorders>
              <w:top w:val="nil"/>
              <w:left w:val="nil"/>
              <w:bottom w:val="nil"/>
              <w:right w:val="nil"/>
            </w:tcBorders>
            <w:vAlign w:val="bottom"/>
          </w:tcPr>
          <w:p w:rsidR="004A6939" w:rsidRPr="004A6939" w:rsidRDefault="004A6939">
            <w:pPr>
              <w:shd w:val="clear" w:color="000000" w:fill="auto"/>
              <w:spacing w:before="60" w:line="200" w:lineRule="atLeast"/>
              <w:jc w:val="right"/>
              <w:rPr>
                <w:b/>
                <w:sz w:val="16"/>
                <w:szCs w:val="16"/>
              </w:rPr>
            </w:pPr>
            <w:r w:rsidRPr="004A6939">
              <w:rPr>
                <w:sz w:val="16"/>
                <w:szCs w:val="16"/>
              </w:rPr>
              <w:t>–500</w:t>
            </w:r>
          </w:p>
        </w:tc>
      </w:tr>
      <w:tr w:rsidR="00000000" w:rsidRPr="004A6939">
        <w:tc>
          <w:tcPr>
            <w:tcW w:w="1428" w:type="dxa"/>
            <w:tcBorders>
              <w:top w:val="nil"/>
              <w:left w:val="nil"/>
              <w:bottom w:val="nil"/>
              <w:right w:val="nil"/>
            </w:tcBorders>
          </w:tcPr>
          <w:p w:rsidR="004A6939" w:rsidRPr="004A6939" w:rsidRDefault="004A6939">
            <w:pPr>
              <w:shd w:val="clear" w:color="000000" w:fill="auto"/>
              <w:spacing w:before="60" w:line="200" w:lineRule="atLeast"/>
              <w:rPr>
                <w:sz w:val="16"/>
                <w:szCs w:val="16"/>
              </w:rPr>
            </w:pPr>
          </w:p>
        </w:tc>
        <w:tc>
          <w:tcPr>
            <w:tcW w:w="697" w:type="dxa"/>
            <w:tcBorders>
              <w:top w:val="nil"/>
              <w:left w:val="nil"/>
              <w:bottom w:val="nil"/>
              <w:right w:val="nil"/>
            </w:tcBorders>
          </w:tcPr>
          <w:p w:rsidR="004A6939" w:rsidRPr="004A6939" w:rsidRDefault="004A6939">
            <w:pPr>
              <w:shd w:val="clear" w:color="000000" w:fill="auto"/>
              <w:spacing w:before="60" w:line="200" w:lineRule="atLeast"/>
              <w:rPr>
                <w:sz w:val="16"/>
                <w:szCs w:val="16"/>
              </w:rPr>
            </w:pPr>
            <w:r w:rsidRPr="004A6939">
              <w:rPr>
                <w:sz w:val="16"/>
                <w:szCs w:val="16"/>
              </w:rPr>
              <w:t>1:1</w:t>
            </w:r>
          </w:p>
        </w:tc>
        <w:tc>
          <w:tcPr>
            <w:tcW w:w="2903" w:type="dxa"/>
            <w:tcBorders>
              <w:top w:val="nil"/>
              <w:left w:val="nil"/>
              <w:bottom w:val="nil"/>
              <w:right w:val="nil"/>
            </w:tcBorders>
          </w:tcPr>
          <w:p w:rsidR="004A6939" w:rsidRPr="004A6939" w:rsidRDefault="004A6939">
            <w:pPr>
              <w:shd w:val="clear" w:color="000000" w:fill="auto"/>
              <w:spacing w:before="60" w:line="200" w:lineRule="atLeast"/>
              <w:rPr>
                <w:sz w:val="16"/>
                <w:szCs w:val="16"/>
              </w:rPr>
            </w:pPr>
            <w:r w:rsidRPr="004A6939">
              <w:rPr>
                <w:sz w:val="16"/>
                <w:szCs w:val="16"/>
              </w:rPr>
              <w:t>Integrationsåtgärder</w:t>
            </w:r>
          </w:p>
        </w:tc>
        <w:tc>
          <w:tcPr>
            <w:tcW w:w="1266" w:type="dxa"/>
            <w:tcBorders>
              <w:top w:val="nil"/>
              <w:left w:val="nil"/>
              <w:bottom w:val="nil"/>
              <w:right w:val="nil"/>
            </w:tcBorders>
            <w:vAlign w:val="bottom"/>
          </w:tcPr>
          <w:p w:rsidR="004A6939" w:rsidRPr="004A6939" w:rsidRDefault="004A6939">
            <w:pPr>
              <w:shd w:val="clear" w:color="000000" w:fill="auto"/>
              <w:spacing w:before="60" w:line="200" w:lineRule="atLeast"/>
              <w:jc w:val="right"/>
              <w:rPr>
                <w:sz w:val="16"/>
                <w:szCs w:val="16"/>
              </w:rPr>
            </w:pPr>
            <w:r w:rsidRPr="004A6939">
              <w:rPr>
                <w:sz w:val="16"/>
                <w:szCs w:val="16"/>
              </w:rPr>
              <w:t>–500</w:t>
            </w:r>
          </w:p>
        </w:tc>
      </w:tr>
      <w:tr w:rsidR="00000000" w:rsidRPr="004A6939">
        <w:tc>
          <w:tcPr>
            <w:tcW w:w="1428" w:type="dxa"/>
            <w:tcBorders>
              <w:top w:val="nil"/>
              <w:left w:val="nil"/>
              <w:bottom w:val="nil"/>
              <w:right w:val="nil"/>
            </w:tcBorders>
          </w:tcPr>
          <w:p w:rsidR="004A6939" w:rsidRPr="004A6939" w:rsidRDefault="004A6939">
            <w:pPr>
              <w:shd w:val="clear" w:color="000000" w:fill="auto"/>
              <w:spacing w:before="60" w:line="200" w:lineRule="atLeast"/>
              <w:rPr>
                <w:sz w:val="16"/>
                <w:szCs w:val="16"/>
              </w:rPr>
            </w:pPr>
            <w:r w:rsidRPr="004A6939">
              <w:rPr>
                <w:sz w:val="16"/>
                <w:szCs w:val="16"/>
              </w:rPr>
              <w:t>17</w:t>
            </w:r>
          </w:p>
        </w:tc>
        <w:tc>
          <w:tcPr>
            <w:tcW w:w="697" w:type="dxa"/>
            <w:tcBorders>
              <w:top w:val="nil"/>
              <w:left w:val="nil"/>
              <w:bottom w:val="nil"/>
              <w:right w:val="nil"/>
            </w:tcBorders>
          </w:tcPr>
          <w:p w:rsidR="004A6939" w:rsidRPr="004A6939" w:rsidRDefault="004A6939">
            <w:pPr>
              <w:shd w:val="clear" w:color="000000" w:fill="auto"/>
              <w:spacing w:before="60" w:line="200" w:lineRule="atLeast"/>
              <w:rPr>
                <w:sz w:val="16"/>
                <w:szCs w:val="16"/>
              </w:rPr>
            </w:pPr>
          </w:p>
        </w:tc>
        <w:tc>
          <w:tcPr>
            <w:tcW w:w="2903" w:type="dxa"/>
            <w:tcBorders>
              <w:top w:val="nil"/>
              <w:left w:val="nil"/>
              <w:bottom w:val="nil"/>
              <w:right w:val="nil"/>
            </w:tcBorders>
          </w:tcPr>
          <w:p w:rsidR="004A6939" w:rsidRPr="004A6939" w:rsidRDefault="004A6939">
            <w:pPr>
              <w:shd w:val="clear" w:color="000000" w:fill="auto"/>
              <w:spacing w:before="60" w:line="200" w:lineRule="atLeast"/>
              <w:rPr>
                <w:sz w:val="16"/>
                <w:szCs w:val="16"/>
              </w:rPr>
            </w:pPr>
            <w:r w:rsidRPr="004A6939">
              <w:rPr>
                <w:b/>
                <w:sz w:val="16"/>
                <w:szCs w:val="16"/>
              </w:rPr>
              <w:t>Kultur, medier, trossamfund och fritid</w:t>
            </w:r>
            <w:r w:rsidRPr="004A6939">
              <w:rPr>
                <w:sz w:val="16"/>
                <w:szCs w:val="16"/>
              </w:rPr>
              <w:t xml:space="preserve"> </w:t>
            </w:r>
          </w:p>
        </w:tc>
        <w:tc>
          <w:tcPr>
            <w:tcW w:w="1266" w:type="dxa"/>
            <w:tcBorders>
              <w:top w:val="nil"/>
              <w:left w:val="nil"/>
              <w:bottom w:val="nil"/>
              <w:right w:val="nil"/>
            </w:tcBorders>
            <w:vAlign w:val="bottom"/>
          </w:tcPr>
          <w:p w:rsidR="004A6939" w:rsidRPr="004A6939" w:rsidRDefault="004A6939">
            <w:pPr>
              <w:shd w:val="clear" w:color="000000" w:fill="auto"/>
              <w:spacing w:before="60" w:line="200" w:lineRule="atLeast"/>
              <w:jc w:val="right"/>
              <w:rPr>
                <w:sz w:val="16"/>
                <w:szCs w:val="16"/>
              </w:rPr>
            </w:pPr>
            <w:r w:rsidRPr="004A6939">
              <w:rPr>
                <w:sz w:val="16"/>
                <w:szCs w:val="16"/>
              </w:rPr>
              <w:t>5 000</w:t>
            </w:r>
          </w:p>
        </w:tc>
      </w:tr>
      <w:tr w:rsidR="00000000" w:rsidRPr="004A6939">
        <w:tc>
          <w:tcPr>
            <w:tcW w:w="1428" w:type="dxa"/>
            <w:tcBorders>
              <w:top w:val="nil"/>
              <w:left w:val="nil"/>
              <w:bottom w:val="nil"/>
              <w:right w:val="nil"/>
            </w:tcBorders>
          </w:tcPr>
          <w:p w:rsidR="004A6939" w:rsidRPr="004A6939" w:rsidRDefault="004A6939">
            <w:pPr>
              <w:shd w:val="clear" w:color="000000" w:fill="auto"/>
              <w:spacing w:before="60" w:line="200" w:lineRule="atLeast"/>
              <w:rPr>
                <w:sz w:val="16"/>
                <w:szCs w:val="16"/>
              </w:rPr>
            </w:pPr>
          </w:p>
        </w:tc>
        <w:tc>
          <w:tcPr>
            <w:tcW w:w="697" w:type="dxa"/>
            <w:tcBorders>
              <w:top w:val="nil"/>
              <w:left w:val="nil"/>
              <w:bottom w:val="nil"/>
              <w:right w:val="nil"/>
            </w:tcBorders>
          </w:tcPr>
          <w:p w:rsidR="004A6939" w:rsidRPr="004A6939" w:rsidRDefault="004A6939">
            <w:pPr>
              <w:shd w:val="clear" w:color="000000" w:fill="auto"/>
              <w:spacing w:before="60" w:line="200" w:lineRule="atLeast"/>
              <w:rPr>
                <w:sz w:val="16"/>
                <w:szCs w:val="16"/>
              </w:rPr>
            </w:pPr>
            <w:r w:rsidRPr="004A6939">
              <w:rPr>
                <w:sz w:val="16"/>
                <w:szCs w:val="16"/>
              </w:rPr>
              <w:t>10:1</w:t>
            </w:r>
          </w:p>
        </w:tc>
        <w:tc>
          <w:tcPr>
            <w:tcW w:w="2903" w:type="dxa"/>
            <w:tcBorders>
              <w:top w:val="nil"/>
              <w:left w:val="nil"/>
              <w:bottom w:val="nil"/>
              <w:right w:val="nil"/>
            </w:tcBorders>
          </w:tcPr>
          <w:p w:rsidR="004A6939" w:rsidRPr="004A6939" w:rsidRDefault="004A6939">
            <w:pPr>
              <w:shd w:val="clear" w:color="000000" w:fill="auto"/>
              <w:spacing w:before="60" w:line="200" w:lineRule="atLeast"/>
              <w:rPr>
                <w:sz w:val="16"/>
                <w:szCs w:val="16"/>
              </w:rPr>
            </w:pPr>
            <w:r w:rsidRPr="004A6939">
              <w:rPr>
                <w:sz w:val="16"/>
                <w:szCs w:val="16"/>
              </w:rPr>
              <w:t>Filmstöd</w:t>
            </w:r>
          </w:p>
        </w:tc>
        <w:tc>
          <w:tcPr>
            <w:tcW w:w="1266" w:type="dxa"/>
            <w:tcBorders>
              <w:top w:val="nil"/>
              <w:left w:val="nil"/>
              <w:bottom w:val="nil"/>
              <w:right w:val="nil"/>
            </w:tcBorders>
            <w:vAlign w:val="bottom"/>
          </w:tcPr>
          <w:p w:rsidR="004A6939" w:rsidRPr="004A6939" w:rsidRDefault="004A6939">
            <w:pPr>
              <w:shd w:val="clear" w:color="000000" w:fill="auto"/>
              <w:spacing w:before="60" w:line="200" w:lineRule="atLeast"/>
              <w:jc w:val="right"/>
              <w:rPr>
                <w:sz w:val="16"/>
                <w:szCs w:val="16"/>
              </w:rPr>
            </w:pPr>
            <w:r w:rsidRPr="004A6939">
              <w:rPr>
                <w:sz w:val="16"/>
                <w:szCs w:val="16"/>
              </w:rPr>
              <w:t>5 000</w:t>
            </w:r>
          </w:p>
        </w:tc>
      </w:tr>
      <w:tr w:rsidR="00000000" w:rsidRPr="004A6939">
        <w:tc>
          <w:tcPr>
            <w:tcW w:w="1428" w:type="dxa"/>
            <w:tcBorders>
              <w:top w:val="nil"/>
              <w:left w:val="nil"/>
              <w:bottom w:val="nil"/>
              <w:right w:val="nil"/>
            </w:tcBorders>
          </w:tcPr>
          <w:p w:rsidR="004A6939" w:rsidRPr="004A6939" w:rsidRDefault="004A6939">
            <w:pPr>
              <w:pStyle w:val="Normaltindrag"/>
              <w:shd w:val="clear" w:color="000000" w:fill="auto"/>
              <w:spacing w:before="60" w:line="200" w:lineRule="atLeast"/>
              <w:ind w:firstLine="0"/>
              <w:jc w:val="left"/>
              <w:rPr>
                <w:sz w:val="16"/>
                <w:szCs w:val="16"/>
              </w:rPr>
            </w:pPr>
          </w:p>
        </w:tc>
        <w:tc>
          <w:tcPr>
            <w:tcW w:w="697" w:type="dxa"/>
            <w:tcBorders>
              <w:top w:val="nil"/>
              <w:left w:val="nil"/>
              <w:bottom w:val="nil"/>
              <w:right w:val="nil"/>
            </w:tcBorders>
          </w:tcPr>
          <w:p w:rsidR="004A6939" w:rsidRPr="004A6939" w:rsidRDefault="004A6939">
            <w:pPr>
              <w:pStyle w:val="Normaltindrag"/>
              <w:shd w:val="clear" w:color="000000" w:fill="auto"/>
              <w:spacing w:before="60" w:line="200" w:lineRule="atLeast"/>
              <w:ind w:firstLine="0"/>
              <w:jc w:val="left"/>
              <w:rPr>
                <w:sz w:val="16"/>
                <w:szCs w:val="16"/>
              </w:rPr>
            </w:pPr>
            <w:r w:rsidRPr="004A6939">
              <w:rPr>
                <w:sz w:val="16"/>
                <w:szCs w:val="16"/>
              </w:rPr>
              <w:t>14:2</w:t>
            </w:r>
          </w:p>
        </w:tc>
        <w:tc>
          <w:tcPr>
            <w:tcW w:w="2903" w:type="dxa"/>
            <w:tcBorders>
              <w:top w:val="nil"/>
              <w:left w:val="nil"/>
              <w:bottom w:val="nil"/>
              <w:right w:val="nil"/>
            </w:tcBorders>
          </w:tcPr>
          <w:p w:rsidR="004A6939" w:rsidRPr="004A6939" w:rsidRDefault="004A6939">
            <w:pPr>
              <w:pStyle w:val="Normaltindrag"/>
              <w:shd w:val="clear" w:color="000000" w:fill="auto"/>
              <w:spacing w:before="60" w:line="200" w:lineRule="atLeast"/>
              <w:ind w:firstLine="0"/>
              <w:jc w:val="left"/>
              <w:rPr>
                <w:sz w:val="16"/>
                <w:szCs w:val="16"/>
              </w:rPr>
            </w:pPr>
            <w:r w:rsidRPr="004A6939">
              <w:rPr>
                <w:sz w:val="16"/>
                <w:szCs w:val="16"/>
              </w:rPr>
              <w:t>Bidrag till tolkutbildning och tecke</w:t>
            </w:r>
            <w:r w:rsidRPr="004A6939">
              <w:rPr>
                <w:sz w:val="16"/>
                <w:szCs w:val="16"/>
              </w:rPr>
              <w:t>n</w:t>
            </w:r>
            <w:r w:rsidRPr="004A6939">
              <w:rPr>
                <w:sz w:val="16"/>
                <w:szCs w:val="16"/>
              </w:rPr>
              <w:t>språklärarutbildning</w:t>
            </w:r>
          </w:p>
        </w:tc>
        <w:tc>
          <w:tcPr>
            <w:tcW w:w="1266" w:type="dxa"/>
            <w:tcBorders>
              <w:top w:val="nil"/>
              <w:left w:val="nil"/>
              <w:bottom w:val="nil"/>
              <w:right w:val="nil"/>
            </w:tcBorders>
            <w:vAlign w:val="bottom"/>
          </w:tcPr>
          <w:p w:rsidR="004A6939" w:rsidRPr="004A6939" w:rsidRDefault="004A6939">
            <w:pPr>
              <w:pStyle w:val="Normaltindrag"/>
              <w:shd w:val="clear" w:color="000000" w:fill="auto"/>
              <w:spacing w:before="60" w:line="200" w:lineRule="atLeast"/>
              <w:ind w:firstLine="0"/>
              <w:jc w:val="right"/>
              <w:rPr>
                <w:sz w:val="16"/>
                <w:szCs w:val="16"/>
              </w:rPr>
            </w:pPr>
            <w:r w:rsidRPr="004A6939">
              <w:rPr>
                <w:sz w:val="16"/>
                <w:szCs w:val="16"/>
              </w:rPr>
              <w:t>1 000</w:t>
            </w:r>
          </w:p>
        </w:tc>
      </w:tr>
      <w:tr w:rsidR="00000000" w:rsidRPr="004A6939">
        <w:tc>
          <w:tcPr>
            <w:tcW w:w="1428" w:type="dxa"/>
            <w:tcBorders>
              <w:top w:val="nil"/>
              <w:left w:val="nil"/>
              <w:bottom w:val="nil"/>
              <w:right w:val="nil"/>
            </w:tcBorders>
          </w:tcPr>
          <w:p w:rsidR="004A6939" w:rsidRPr="004A6939" w:rsidRDefault="004A6939">
            <w:pPr>
              <w:pStyle w:val="Normaltindrag"/>
              <w:shd w:val="clear" w:color="000000" w:fill="auto"/>
              <w:spacing w:before="60" w:line="200" w:lineRule="atLeast"/>
              <w:ind w:firstLine="0"/>
              <w:rPr>
                <w:sz w:val="16"/>
                <w:szCs w:val="16"/>
              </w:rPr>
            </w:pPr>
          </w:p>
        </w:tc>
        <w:tc>
          <w:tcPr>
            <w:tcW w:w="697" w:type="dxa"/>
            <w:tcBorders>
              <w:top w:val="nil"/>
              <w:left w:val="nil"/>
              <w:bottom w:val="nil"/>
              <w:right w:val="nil"/>
            </w:tcBorders>
          </w:tcPr>
          <w:p w:rsidR="004A6939" w:rsidRPr="004A6939" w:rsidRDefault="004A6939">
            <w:pPr>
              <w:pStyle w:val="Normaltindrag"/>
              <w:shd w:val="clear" w:color="000000" w:fill="auto"/>
              <w:spacing w:before="60" w:line="200" w:lineRule="atLeast"/>
              <w:ind w:firstLine="0"/>
              <w:rPr>
                <w:sz w:val="16"/>
                <w:szCs w:val="16"/>
              </w:rPr>
            </w:pPr>
            <w:r w:rsidRPr="004A6939">
              <w:rPr>
                <w:sz w:val="16"/>
                <w:szCs w:val="16"/>
              </w:rPr>
              <w:t>14:3</w:t>
            </w:r>
          </w:p>
        </w:tc>
        <w:tc>
          <w:tcPr>
            <w:tcW w:w="2903" w:type="dxa"/>
            <w:tcBorders>
              <w:top w:val="nil"/>
              <w:left w:val="nil"/>
              <w:bottom w:val="nil"/>
              <w:right w:val="nil"/>
            </w:tcBorders>
          </w:tcPr>
          <w:p w:rsidR="004A6939" w:rsidRPr="004A6939" w:rsidRDefault="004A6939">
            <w:pPr>
              <w:pStyle w:val="Normaltindrag"/>
              <w:shd w:val="clear" w:color="000000" w:fill="auto"/>
              <w:spacing w:before="60" w:line="200" w:lineRule="atLeast"/>
              <w:ind w:firstLine="0"/>
              <w:jc w:val="left"/>
              <w:rPr>
                <w:sz w:val="16"/>
                <w:szCs w:val="16"/>
              </w:rPr>
            </w:pPr>
            <w:r w:rsidRPr="004A6939">
              <w:rPr>
                <w:sz w:val="16"/>
                <w:szCs w:val="16"/>
              </w:rPr>
              <w:t>Bidrag till kontakttolkutbildning</w:t>
            </w:r>
          </w:p>
        </w:tc>
        <w:tc>
          <w:tcPr>
            <w:tcW w:w="1266" w:type="dxa"/>
            <w:tcBorders>
              <w:top w:val="nil"/>
              <w:left w:val="nil"/>
              <w:bottom w:val="nil"/>
              <w:right w:val="nil"/>
            </w:tcBorders>
            <w:vAlign w:val="bottom"/>
          </w:tcPr>
          <w:p w:rsidR="004A6939" w:rsidRPr="004A6939" w:rsidRDefault="004A6939">
            <w:pPr>
              <w:pStyle w:val="Normaltindrag"/>
              <w:shd w:val="clear" w:color="000000" w:fill="auto"/>
              <w:spacing w:before="60" w:line="200" w:lineRule="atLeast"/>
              <w:ind w:firstLine="0"/>
              <w:jc w:val="right"/>
              <w:rPr>
                <w:sz w:val="16"/>
                <w:szCs w:val="16"/>
              </w:rPr>
            </w:pPr>
            <w:r w:rsidRPr="004A6939">
              <w:rPr>
                <w:sz w:val="16"/>
                <w:szCs w:val="16"/>
              </w:rPr>
              <w:t>–1 000</w:t>
            </w:r>
          </w:p>
        </w:tc>
      </w:tr>
      <w:tr w:rsidR="00000000" w:rsidRPr="004A6939">
        <w:tc>
          <w:tcPr>
            <w:tcW w:w="1428" w:type="dxa"/>
            <w:tcBorders>
              <w:top w:val="nil"/>
              <w:left w:val="nil"/>
              <w:bottom w:val="nil"/>
              <w:right w:val="nil"/>
            </w:tcBorders>
          </w:tcPr>
          <w:p w:rsidR="004A6939" w:rsidRPr="004A6939" w:rsidRDefault="004A6939">
            <w:pPr>
              <w:pStyle w:val="Normaltindrag"/>
              <w:shd w:val="clear" w:color="000000" w:fill="auto"/>
              <w:spacing w:before="60" w:line="200" w:lineRule="atLeast"/>
              <w:ind w:firstLine="0"/>
              <w:rPr>
                <w:sz w:val="16"/>
                <w:szCs w:val="16"/>
              </w:rPr>
            </w:pPr>
            <w:r w:rsidRPr="004A6939">
              <w:rPr>
                <w:sz w:val="16"/>
                <w:szCs w:val="16"/>
              </w:rPr>
              <w:t>24</w:t>
            </w:r>
          </w:p>
        </w:tc>
        <w:tc>
          <w:tcPr>
            <w:tcW w:w="697" w:type="dxa"/>
            <w:tcBorders>
              <w:top w:val="nil"/>
              <w:left w:val="nil"/>
              <w:bottom w:val="nil"/>
              <w:right w:val="nil"/>
            </w:tcBorders>
          </w:tcPr>
          <w:p w:rsidR="004A6939" w:rsidRPr="004A6939" w:rsidRDefault="004A6939">
            <w:pPr>
              <w:pStyle w:val="Normaltindrag"/>
              <w:shd w:val="clear" w:color="000000" w:fill="auto"/>
              <w:spacing w:before="60" w:line="200" w:lineRule="atLeast"/>
              <w:ind w:firstLine="0"/>
              <w:rPr>
                <w:sz w:val="16"/>
                <w:szCs w:val="16"/>
              </w:rPr>
            </w:pPr>
          </w:p>
        </w:tc>
        <w:tc>
          <w:tcPr>
            <w:tcW w:w="2903" w:type="dxa"/>
            <w:tcBorders>
              <w:top w:val="nil"/>
              <w:left w:val="nil"/>
              <w:bottom w:val="nil"/>
              <w:right w:val="nil"/>
            </w:tcBorders>
          </w:tcPr>
          <w:p w:rsidR="004A6939" w:rsidRPr="004A6939" w:rsidRDefault="004A6939">
            <w:pPr>
              <w:pStyle w:val="Normaltindrag"/>
              <w:shd w:val="clear" w:color="000000" w:fill="auto"/>
              <w:spacing w:before="60" w:line="200" w:lineRule="atLeast"/>
              <w:ind w:firstLine="0"/>
              <w:jc w:val="left"/>
              <w:rPr>
                <w:sz w:val="16"/>
                <w:szCs w:val="16"/>
              </w:rPr>
            </w:pPr>
            <w:r w:rsidRPr="004A6939">
              <w:rPr>
                <w:b/>
                <w:sz w:val="16"/>
                <w:szCs w:val="16"/>
              </w:rPr>
              <w:t>Näringsliv</w:t>
            </w:r>
          </w:p>
        </w:tc>
        <w:tc>
          <w:tcPr>
            <w:tcW w:w="1266" w:type="dxa"/>
            <w:tcBorders>
              <w:top w:val="nil"/>
              <w:left w:val="nil"/>
              <w:bottom w:val="nil"/>
              <w:right w:val="nil"/>
            </w:tcBorders>
            <w:vAlign w:val="bottom"/>
          </w:tcPr>
          <w:p w:rsidR="004A6939" w:rsidRPr="004A6939" w:rsidRDefault="004A6939">
            <w:pPr>
              <w:pStyle w:val="Normaltindrag"/>
              <w:shd w:val="clear" w:color="000000" w:fill="auto"/>
              <w:spacing w:before="60" w:line="200" w:lineRule="atLeast"/>
              <w:ind w:firstLine="0"/>
              <w:jc w:val="right"/>
              <w:rPr>
                <w:b/>
                <w:sz w:val="16"/>
                <w:szCs w:val="16"/>
              </w:rPr>
            </w:pPr>
            <w:r w:rsidRPr="004A6939">
              <w:rPr>
                <w:sz w:val="16"/>
                <w:szCs w:val="16"/>
              </w:rPr>
              <w:t>4 200</w:t>
            </w:r>
          </w:p>
        </w:tc>
      </w:tr>
      <w:tr w:rsidR="00000000" w:rsidRPr="004A6939">
        <w:tc>
          <w:tcPr>
            <w:tcW w:w="1428" w:type="dxa"/>
            <w:tcBorders>
              <w:top w:val="nil"/>
              <w:left w:val="nil"/>
              <w:bottom w:val="nil"/>
              <w:right w:val="nil"/>
            </w:tcBorders>
          </w:tcPr>
          <w:p w:rsidR="004A6939" w:rsidRPr="004A6939" w:rsidRDefault="004A6939">
            <w:pPr>
              <w:pStyle w:val="Normaltindrag"/>
              <w:shd w:val="clear" w:color="000000" w:fill="auto"/>
              <w:spacing w:before="60" w:line="200" w:lineRule="atLeast"/>
              <w:ind w:firstLine="0"/>
              <w:rPr>
                <w:sz w:val="16"/>
                <w:szCs w:val="16"/>
              </w:rPr>
            </w:pPr>
          </w:p>
        </w:tc>
        <w:tc>
          <w:tcPr>
            <w:tcW w:w="697" w:type="dxa"/>
            <w:tcBorders>
              <w:top w:val="nil"/>
              <w:left w:val="nil"/>
              <w:bottom w:val="nil"/>
              <w:right w:val="nil"/>
            </w:tcBorders>
          </w:tcPr>
          <w:p w:rsidR="004A6939" w:rsidRPr="004A6939" w:rsidRDefault="004A6939">
            <w:pPr>
              <w:pStyle w:val="Normaltindrag"/>
              <w:shd w:val="clear" w:color="000000" w:fill="auto"/>
              <w:spacing w:before="60" w:line="200" w:lineRule="atLeast"/>
              <w:ind w:firstLine="0"/>
              <w:rPr>
                <w:sz w:val="16"/>
                <w:szCs w:val="16"/>
              </w:rPr>
            </w:pPr>
            <w:r w:rsidRPr="004A6939">
              <w:rPr>
                <w:sz w:val="16"/>
                <w:szCs w:val="16"/>
              </w:rPr>
              <w:t>1:5</w:t>
            </w:r>
          </w:p>
        </w:tc>
        <w:tc>
          <w:tcPr>
            <w:tcW w:w="2903" w:type="dxa"/>
            <w:tcBorders>
              <w:top w:val="nil"/>
              <w:left w:val="nil"/>
              <w:bottom w:val="nil"/>
              <w:right w:val="nil"/>
            </w:tcBorders>
          </w:tcPr>
          <w:p w:rsidR="004A6939" w:rsidRPr="004A6939" w:rsidRDefault="004A6939">
            <w:pPr>
              <w:pStyle w:val="Normaltindrag"/>
              <w:shd w:val="clear" w:color="000000" w:fill="auto"/>
              <w:spacing w:before="60" w:line="200" w:lineRule="atLeast"/>
              <w:ind w:firstLine="0"/>
              <w:jc w:val="left"/>
              <w:rPr>
                <w:sz w:val="16"/>
                <w:szCs w:val="16"/>
              </w:rPr>
            </w:pPr>
            <w:r w:rsidRPr="004A6939">
              <w:rPr>
                <w:sz w:val="16"/>
                <w:szCs w:val="16"/>
              </w:rPr>
              <w:t>Näringslivsutveckling m.m.</w:t>
            </w:r>
          </w:p>
        </w:tc>
        <w:tc>
          <w:tcPr>
            <w:tcW w:w="1266" w:type="dxa"/>
            <w:tcBorders>
              <w:top w:val="nil"/>
              <w:left w:val="nil"/>
              <w:bottom w:val="nil"/>
              <w:right w:val="nil"/>
            </w:tcBorders>
            <w:vAlign w:val="bottom"/>
          </w:tcPr>
          <w:p w:rsidR="004A6939" w:rsidRPr="004A6939" w:rsidRDefault="004A6939">
            <w:pPr>
              <w:pStyle w:val="Normaltindrag"/>
              <w:shd w:val="clear" w:color="000000" w:fill="auto"/>
              <w:spacing w:before="60" w:line="200" w:lineRule="atLeast"/>
              <w:ind w:firstLine="0"/>
              <w:jc w:val="right"/>
              <w:rPr>
                <w:sz w:val="16"/>
                <w:szCs w:val="16"/>
              </w:rPr>
            </w:pPr>
            <w:r w:rsidRPr="004A6939">
              <w:rPr>
                <w:sz w:val="16"/>
                <w:szCs w:val="16"/>
              </w:rPr>
              <w:t>1 500</w:t>
            </w:r>
          </w:p>
        </w:tc>
      </w:tr>
      <w:tr w:rsidR="00000000" w:rsidRPr="004A6939">
        <w:tc>
          <w:tcPr>
            <w:tcW w:w="1428" w:type="dxa"/>
            <w:tcBorders>
              <w:top w:val="nil"/>
              <w:left w:val="nil"/>
              <w:bottom w:val="nil"/>
              <w:right w:val="nil"/>
            </w:tcBorders>
          </w:tcPr>
          <w:p w:rsidR="004A6939" w:rsidRPr="004A6939" w:rsidRDefault="004A6939">
            <w:pPr>
              <w:pStyle w:val="Normaltindrag"/>
              <w:shd w:val="clear" w:color="000000" w:fill="auto"/>
              <w:spacing w:before="60" w:line="200" w:lineRule="atLeast"/>
              <w:ind w:firstLine="0"/>
              <w:rPr>
                <w:sz w:val="16"/>
                <w:szCs w:val="16"/>
              </w:rPr>
            </w:pPr>
          </w:p>
        </w:tc>
        <w:tc>
          <w:tcPr>
            <w:tcW w:w="697" w:type="dxa"/>
            <w:tcBorders>
              <w:top w:val="nil"/>
              <w:left w:val="nil"/>
              <w:bottom w:val="nil"/>
              <w:right w:val="nil"/>
            </w:tcBorders>
          </w:tcPr>
          <w:p w:rsidR="004A6939" w:rsidRPr="004A6939" w:rsidRDefault="004A6939">
            <w:pPr>
              <w:pStyle w:val="Normaltindrag"/>
              <w:shd w:val="clear" w:color="000000" w:fill="auto"/>
              <w:spacing w:before="60" w:line="200" w:lineRule="atLeast"/>
              <w:ind w:firstLine="0"/>
              <w:rPr>
                <w:sz w:val="16"/>
                <w:szCs w:val="16"/>
              </w:rPr>
            </w:pPr>
            <w:r w:rsidRPr="004A6939">
              <w:rPr>
                <w:sz w:val="16"/>
                <w:szCs w:val="16"/>
              </w:rPr>
              <w:t>2:3</w:t>
            </w:r>
          </w:p>
        </w:tc>
        <w:tc>
          <w:tcPr>
            <w:tcW w:w="2903" w:type="dxa"/>
            <w:tcBorders>
              <w:top w:val="nil"/>
              <w:left w:val="nil"/>
              <w:bottom w:val="nil"/>
              <w:right w:val="nil"/>
            </w:tcBorders>
          </w:tcPr>
          <w:p w:rsidR="004A6939" w:rsidRPr="004A6939" w:rsidRDefault="004A6939">
            <w:pPr>
              <w:pStyle w:val="Normaltindrag"/>
              <w:shd w:val="clear" w:color="000000" w:fill="auto"/>
              <w:spacing w:before="60" w:line="200" w:lineRule="atLeast"/>
              <w:ind w:firstLine="0"/>
              <w:jc w:val="left"/>
              <w:rPr>
                <w:sz w:val="16"/>
                <w:szCs w:val="16"/>
              </w:rPr>
            </w:pPr>
            <w:r w:rsidRPr="004A6939">
              <w:rPr>
                <w:sz w:val="16"/>
                <w:szCs w:val="16"/>
              </w:rPr>
              <w:t>Exportfrämjande verksamhet</w:t>
            </w:r>
          </w:p>
        </w:tc>
        <w:tc>
          <w:tcPr>
            <w:tcW w:w="1266" w:type="dxa"/>
            <w:tcBorders>
              <w:top w:val="nil"/>
              <w:left w:val="nil"/>
              <w:bottom w:val="nil"/>
              <w:right w:val="nil"/>
            </w:tcBorders>
            <w:vAlign w:val="bottom"/>
          </w:tcPr>
          <w:p w:rsidR="004A6939" w:rsidRPr="004A6939" w:rsidRDefault="004A6939">
            <w:pPr>
              <w:pStyle w:val="Normaltindrag"/>
              <w:shd w:val="clear" w:color="000000" w:fill="auto"/>
              <w:spacing w:before="60" w:line="200" w:lineRule="atLeast"/>
              <w:ind w:firstLine="0"/>
              <w:jc w:val="right"/>
              <w:rPr>
                <w:sz w:val="16"/>
                <w:szCs w:val="16"/>
              </w:rPr>
            </w:pPr>
            <w:r w:rsidRPr="004A6939">
              <w:rPr>
                <w:sz w:val="16"/>
                <w:szCs w:val="16"/>
              </w:rPr>
              <w:t>2 700</w:t>
            </w:r>
          </w:p>
        </w:tc>
      </w:tr>
      <w:tr w:rsidR="00000000" w:rsidRPr="004A6939">
        <w:tc>
          <w:tcPr>
            <w:tcW w:w="1428" w:type="dxa"/>
            <w:tcBorders>
              <w:top w:val="nil"/>
              <w:left w:val="nil"/>
              <w:bottom w:val="single" w:sz="4" w:space="0" w:color="auto"/>
              <w:right w:val="nil"/>
            </w:tcBorders>
          </w:tcPr>
          <w:p w:rsidR="004A6939" w:rsidRPr="004A6939" w:rsidRDefault="004A6939">
            <w:pPr>
              <w:pStyle w:val="Normaltindrag"/>
              <w:shd w:val="clear" w:color="000000" w:fill="auto"/>
              <w:spacing w:before="60" w:line="200" w:lineRule="atLeast"/>
              <w:ind w:firstLine="0"/>
              <w:rPr>
                <w:sz w:val="16"/>
                <w:szCs w:val="16"/>
              </w:rPr>
            </w:pPr>
            <w:r w:rsidRPr="004A6939">
              <w:rPr>
                <w:b/>
                <w:sz w:val="16"/>
                <w:szCs w:val="16"/>
              </w:rPr>
              <w:t>Summa avvikelse</w:t>
            </w:r>
          </w:p>
        </w:tc>
        <w:tc>
          <w:tcPr>
            <w:tcW w:w="697" w:type="dxa"/>
            <w:tcBorders>
              <w:top w:val="nil"/>
              <w:left w:val="nil"/>
              <w:bottom w:val="single" w:sz="4" w:space="0" w:color="auto"/>
              <w:right w:val="nil"/>
            </w:tcBorders>
          </w:tcPr>
          <w:p w:rsidR="004A6939" w:rsidRPr="004A6939" w:rsidRDefault="004A6939">
            <w:pPr>
              <w:pStyle w:val="Normaltindrag"/>
              <w:shd w:val="clear" w:color="000000" w:fill="auto"/>
              <w:spacing w:before="60" w:line="200" w:lineRule="atLeast"/>
              <w:ind w:firstLine="0"/>
              <w:rPr>
                <w:sz w:val="16"/>
                <w:szCs w:val="16"/>
              </w:rPr>
            </w:pPr>
          </w:p>
        </w:tc>
        <w:tc>
          <w:tcPr>
            <w:tcW w:w="2903" w:type="dxa"/>
            <w:tcBorders>
              <w:top w:val="nil"/>
              <w:left w:val="nil"/>
              <w:bottom w:val="single" w:sz="4" w:space="0" w:color="auto"/>
              <w:right w:val="nil"/>
            </w:tcBorders>
          </w:tcPr>
          <w:p w:rsidR="004A6939" w:rsidRPr="004A6939" w:rsidRDefault="004A6939">
            <w:pPr>
              <w:pStyle w:val="Normaltindrag"/>
              <w:shd w:val="clear" w:color="000000" w:fill="auto"/>
              <w:spacing w:before="60" w:line="200" w:lineRule="atLeast"/>
              <w:ind w:firstLine="0"/>
              <w:rPr>
                <w:sz w:val="16"/>
                <w:szCs w:val="16"/>
              </w:rPr>
            </w:pPr>
          </w:p>
        </w:tc>
        <w:tc>
          <w:tcPr>
            <w:tcW w:w="1266" w:type="dxa"/>
            <w:tcBorders>
              <w:top w:val="nil"/>
              <w:left w:val="nil"/>
              <w:bottom w:val="single" w:sz="4" w:space="0" w:color="auto"/>
              <w:right w:val="nil"/>
            </w:tcBorders>
            <w:vAlign w:val="bottom"/>
          </w:tcPr>
          <w:p w:rsidR="004A6939" w:rsidRPr="004A6939" w:rsidRDefault="004A6939">
            <w:pPr>
              <w:pStyle w:val="Normaltindrag"/>
              <w:shd w:val="clear" w:color="000000" w:fill="auto"/>
              <w:spacing w:before="60" w:line="200" w:lineRule="atLeast"/>
              <w:ind w:firstLine="0"/>
              <w:jc w:val="right"/>
              <w:rPr>
                <w:sz w:val="16"/>
                <w:szCs w:val="16"/>
              </w:rPr>
            </w:pPr>
            <w:r w:rsidRPr="004A6939">
              <w:rPr>
                <w:b/>
                <w:sz w:val="16"/>
                <w:szCs w:val="16"/>
              </w:rPr>
              <w:t>–866 300</w:t>
            </w:r>
          </w:p>
        </w:tc>
      </w:tr>
    </w:tbl>
    <w:p w:rsidR="004A6939" w:rsidRPr="004A6939" w:rsidRDefault="004A6939">
      <w:pPr>
        <w:shd w:val="clear" w:color="000000" w:fill="auto"/>
      </w:pPr>
    </w:p>
    <w:p w:rsidR="004A6939" w:rsidRPr="004A6939" w:rsidRDefault="004A6939">
      <w:pPr>
        <w:pStyle w:val="Hemstlatt"/>
        <w:numPr>
          <w:ilvl w:val="0"/>
          <w:numId w:val="1"/>
        </w:numPr>
        <w:shd w:val="clear" w:color="000000" w:fill="auto"/>
      </w:pPr>
      <w:r w:rsidRPr="004A6939">
        <w:t>Riksdagen avslår regeringens yrkande 5 om att bemyndiga regeringen att under 2011 besluta om att tillföra 150 miljoner kronor till två stipendieprogram för att stimulera värvningen av s.k. tredj</w:t>
      </w:r>
      <w:r w:rsidRPr="004A6939">
        <w:t>e</w:t>
      </w:r>
      <w:r w:rsidRPr="004A6939">
        <w:t>landsstudenter.</w:t>
      </w:r>
    </w:p>
    <w:p w:rsidR="004A6939" w:rsidRPr="004A6939" w:rsidRDefault="004A6939">
      <w:pPr>
        <w:pStyle w:val="Rubrik1"/>
        <w:shd w:val="clear" w:color="000000" w:fill="auto"/>
      </w:pPr>
      <w:bookmarkStart w:id="0" w:name="_Toc291764784"/>
      <w:bookmarkStart w:id="1" w:name="_Toc291764796"/>
      <w:r w:rsidRPr="004A6939">
        <w:lastRenderedPageBreak/>
        <w:t>Motivering</w:t>
      </w:r>
      <w:bookmarkEnd w:id="0"/>
      <w:bookmarkEnd w:id="1"/>
    </w:p>
    <w:p w:rsidR="004A6939" w:rsidRPr="004A6939" w:rsidRDefault="004A6939">
      <w:pPr>
        <w:pStyle w:val="Rubrik3"/>
        <w:shd w:val="clear" w:color="000000" w:fill="auto"/>
      </w:pPr>
      <w:r w:rsidRPr="004A6939">
        <w:t>Nej till bidragsökning under utgiftsområde 16 Utbildning och universitetsforskning</w:t>
      </w:r>
    </w:p>
    <w:p w:rsidR="004A6939" w:rsidRPr="004A6939" w:rsidRDefault="004A6939">
      <w:pPr>
        <w:shd w:val="clear" w:color="000000" w:fill="auto"/>
      </w:pPr>
      <w:r w:rsidRPr="004A6939">
        <w:t>Regeringen skjuter till 150 miljoner kronor till två stipendieprogram för att stimulera värvningen av s.k. tredjelandsstudenter. Anslagen för dessa stipe</w:t>
      </w:r>
      <w:r w:rsidRPr="004A6939">
        <w:t>n</w:t>
      </w:r>
      <w:r w:rsidRPr="004A6939">
        <w:t>dier kommer belasta utgiftsområde 16 anslag 2:53. Detta samtidigt som flera larm kommer om att lärartätheten är för låg på våra högre lärosäten och många utbildningars kvalitet riskerar att urholkas. Vi tycker att detta är en oansvarig politik och vill i stället satsa dessa pengar på högre lärartäthet och på att säkerställa kvaliteten i den högre utbildningen.</w:t>
      </w:r>
    </w:p>
    <w:p w:rsidR="004A6939" w:rsidRPr="004A6939" w:rsidRDefault="004A6939">
      <w:pPr>
        <w:pStyle w:val="Rubrik3"/>
        <w:shd w:val="clear" w:color="000000" w:fill="auto"/>
      </w:pPr>
      <w:r w:rsidRPr="004A6939">
        <w:t xml:space="preserve">Utgiftsområde 8 anslag 1:2 Ersättningar och </w:t>
      </w:r>
      <w:r w:rsidRPr="004A6939">
        <w:br/>
        <w:t>bostadskostnader –875 000</w:t>
      </w:r>
    </w:p>
    <w:p w:rsidR="004A6939" w:rsidRPr="004A6939" w:rsidRDefault="004A6939">
      <w:pPr>
        <w:shd w:val="clear" w:color="000000" w:fill="auto"/>
        <w:rPr>
          <w:rFonts w:ascii="Times" w:hAnsi="Times"/>
          <w:sz w:val="16"/>
          <w:szCs w:val="16"/>
        </w:rPr>
      </w:pPr>
      <w:r w:rsidRPr="004A6939">
        <w:t xml:space="preserve">Anslaget Ersättningar och bostadskostnader uppgår till 3 026 387 000 kr. I vår budgetmotion för 2011 föreslog vi en minskning med drygt 2 miljarder kronor. </w:t>
      </w:r>
      <w:r w:rsidRPr="004A6939">
        <w:rPr>
          <w:rFonts w:ascii="Times" w:hAnsi="Times" w:cs="TTE22FD7F0t00"/>
        </w:rPr>
        <w:t>Nu föreslår regeringen en ökning med 875 000 000 kr på grund av den massiva asylinvandringen, inte minst då boendekostnaderna för påstått e</w:t>
      </w:r>
      <w:r w:rsidRPr="004A6939">
        <w:rPr>
          <w:rFonts w:ascii="Times" w:hAnsi="Times" w:cs="TTE22FD7F0t00"/>
        </w:rPr>
        <w:t>n</w:t>
      </w:r>
      <w:r w:rsidRPr="004A6939">
        <w:rPr>
          <w:rFonts w:ascii="Times" w:hAnsi="Times" w:cs="TTE22FD7F0t00"/>
        </w:rPr>
        <w:t>samkommande barn ökat kraftigt. Sverigedemokraterna motsätter sig att hundratals och åter hundratals miljoner går till den totalhavererade asyli</w:t>
      </w:r>
      <w:r w:rsidRPr="004A6939">
        <w:rPr>
          <w:rFonts w:ascii="Times" w:hAnsi="Times" w:cs="TTE22FD7F0t00"/>
        </w:rPr>
        <w:t>n</w:t>
      </w:r>
      <w:r w:rsidRPr="004A6939">
        <w:rPr>
          <w:rFonts w:ascii="Times" w:hAnsi="Times" w:cs="TTE22FD7F0t00"/>
        </w:rPr>
        <w:t>vandringen. Om Migrationsverkets prognoser över den ökade tillströmningen av ensamkommande barn stämmer, är det upp till regeringen att komma med förslag till en effektivisering av den verksamhet som kan härledas till ansl</w:t>
      </w:r>
      <w:r w:rsidRPr="004A6939">
        <w:rPr>
          <w:rFonts w:ascii="Times" w:hAnsi="Times" w:cs="TTE22FD7F0t00"/>
        </w:rPr>
        <w:t>a</w:t>
      </w:r>
      <w:r w:rsidRPr="004A6939">
        <w:rPr>
          <w:rFonts w:ascii="Times" w:hAnsi="Times" w:cs="TTE22FD7F0t00"/>
        </w:rPr>
        <w:t>get.</w:t>
      </w:r>
      <w:r w:rsidRPr="004A6939">
        <w:rPr>
          <w:rFonts w:ascii="Times" w:hAnsi="Times" w:cs="TTE22FD7F0t00"/>
        </w:rPr>
        <w:t xml:space="preserve"> Detta för att bespara skattebetalarna denna stora utgiftsökning. I höstens budgetmotion kommer vi att kraftigt skära ned både på utgiftsområde 8 och anslag 1:2. </w:t>
      </w:r>
    </w:p>
    <w:p w:rsidR="004A6939" w:rsidRPr="004A6939" w:rsidRDefault="004A6939">
      <w:pPr>
        <w:pStyle w:val="Normaltindrag"/>
        <w:shd w:val="clear" w:color="000000" w:fill="auto"/>
      </w:pPr>
      <w:r w:rsidRPr="004A6939">
        <w:t>I dagens Sverige förs en djupt oansvarig invandrings- och integrationspol</w:t>
      </w:r>
      <w:r w:rsidRPr="004A6939">
        <w:t>i</w:t>
      </w:r>
      <w:r w:rsidRPr="004A6939">
        <w:t>tik. Vårt land har tagit emot alltför många invandrare på för kort tid, och e</w:t>
      </w:r>
      <w:r w:rsidRPr="004A6939">
        <w:t>n</w:t>
      </w:r>
      <w:r w:rsidRPr="004A6939">
        <w:t>dast en mindre del har utgjorts av flyktingar enligt FN:s Genèvekonventions def</w:t>
      </w:r>
      <w:r w:rsidRPr="004A6939">
        <w:t>i</w:t>
      </w:r>
      <w:r w:rsidRPr="004A6939">
        <w:t>nition. Detta har orsakat stora ekonomiska, sociala och kulturella problem sa</w:t>
      </w:r>
      <w:r w:rsidRPr="004A6939">
        <w:t>m</w:t>
      </w:r>
      <w:r w:rsidRPr="004A6939">
        <w:t>tidigt som det minskat vårt utrymme för att förbättra stödet till de verkligt nödlidande människorna runt om i världen. I vårt Sverige skulle en permanent minskning av ovanstående anslag vara möjlig.</w:t>
      </w:r>
    </w:p>
    <w:p w:rsidR="004A6939" w:rsidRPr="004A6939" w:rsidRDefault="004A6939">
      <w:pPr>
        <w:pStyle w:val="Rubrik3"/>
        <w:shd w:val="clear" w:color="000000" w:fill="auto"/>
      </w:pPr>
      <w:r w:rsidRPr="004A6939">
        <w:t>Utgiftsområde 13 anslag 1:1 Integrationsåtgärder –500</w:t>
      </w:r>
    </w:p>
    <w:p w:rsidR="004A6939" w:rsidRPr="004A6939" w:rsidRDefault="004A6939">
      <w:pPr>
        <w:shd w:val="clear" w:color="000000" w:fill="auto"/>
      </w:pPr>
      <w:r w:rsidRPr="004A6939">
        <w:t>Enligt regeringen används anslaget för åtgärder som stimulerar integration</w:t>
      </w:r>
      <w:r w:rsidRPr="004A6939">
        <w:t>s</w:t>
      </w:r>
      <w:r w:rsidRPr="004A6939">
        <w:t>processerna samt för uppföljning och utvärdering av integrationen. Reformen om nyanländas etablering innebär ökade resurser till tolktjänster och av ett utökat tolkregister. I vår budgetproposition för 2011 föreslog vi att hela a</w:t>
      </w:r>
      <w:r w:rsidRPr="004A6939">
        <w:t>n</w:t>
      </w:r>
      <w:r w:rsidRPr="004A6939">
        <w:t>slaget skulle avskaffas, och därmed skulle skattebetalarna besparas 127 905 000 kr. Därför motsätter vi oss den av regeringen föreslagna öknin</w:t>
      </w:r>
      <w:r w:rsidRPr="004A6939">
        <w:t>g</w:t>
      </w:r>
      <w:r w:rsidRPr="004A6939">
        <w:t>en på 500 000 kr och ämnar i kommande höstbudget att antingen slopa hela anslaget eller kraftigt skära ned på det. Detta som en direkt kon</w:t>
      </w:r>
      <w:r w:rsidRPr="004A6939">
        <w:t>sekvens av att vi motsätter oss det mångkulturella samhällsexperimentet.</w:t>
      </w:r>
    </w:p>
    <w:p w:rsidR="004A6939" w:rsidRPr="004A6939" w:rsidRDefault="004A6939">
      <w:pPr>
        <w:pStyle w:val="Rubrik3"/>
        <w:shd w:val="clear" w:color="000000" w:fill="auto"/>
      </w:pPr>
      <w:r w:rsidRPr="004A6939">
        <w:t>Utgiftsområde 17 anslag 10:1 Filmstöd +5 000</w:t>
      </w:r>
    </w:p>
    <w:p w:rsidR="004A6939" w:rsidRPr="004A6939" w:rsidRDefault="004A6939">
      <w:pPr>
        <w:shd w:val="clear" w:color="000000" w:fill="auto"/>
      </w:pPr>
      <w:r w:rsidRPr="004A6939">
        <w:rPr>
          <w:rStyle w:val="apple-style-span"/>
        </w:rPr>
        <w:t>Våra små landsortbiografer utgör en viktig, men ofta bortglömd del av både kulturarvet och det samtida kulturlivet. Många av dessa hotas nu av nedläg</w:t>
      </w:r>
      <w:r w:rsidRPr="004A6939">
        <w:rPr>
          <w:rStyle w:val="apple-style-span"/>
        </w:rPr>
        <w:t>g</w:t>
      </w:r>
      <w:r w:rsidRPr="004A6939">
        <w:rPr>
          <w:rStyle w:val="apple-style-span"/>
        </w:rPr>
        <w:t>ning på grund av de höga omställningskostnaderna som digitaliseringen av biografvärlden medför. Det är därför välkommet att regeringen nu efter hårda påtryckningar väljer att tidigarelägga stödet till dessa biografer. Med tanke på det stora och akuta behovet väljer vi dock att höja filmstödet med ytterligare 5 miljoner kronor under 2011.</w:t>
      </w:r>
    </w:p>
    <w:p w:rsidR="004A6939" w:rsidRPr="004A6939" w:rsidRDefault="004A6939">
      <w:pPr>
        <w:pStyle w:val="Rubrik3"/>
        <w:shd w:val="clear" w:color="000000" w:fill="auto"/>
      </w:pPr>
      <w:r w:rsidRPr="004A6939">
        <w:t>Utgiftsområde 17 anslag 14:2 Bidrag till tolkutbildning och teckenspråklärarutbildning +1 000</w:t>
      </w:r>
    </w:p>
    <w:p w:rsidR="004A6939" w:rsidRPr="004A6939" w:rsidRDefault="004A6939">
      <w:pPr>
        <w:pStyle w:val="Rubrik3"/>
        <w:shd w:val="clear" w:color="000000" w:fill="auto"/>
      </w:pPr>
      <w:r w:rsidRPr="004A6939">
        <w:t xml:space="preserve">Utgiftsområde 17 anslag 14:3 Bidrag till </w:t>
      </w:r>
      <w:r w:rsidRPr="004A6939">
        <w:br/>
        <w:t>kontakttolkutbildning –1 000</w:t>
      </w:r>
    </w:p>
    <w:p w:rsidR="004A6939" w:rsidRPr="004A6939" w:rsidRDefault="004A6939">
      <w:pPr>
        <w:shd w:val="clear" w:color="000000" w:fill="auto"/>
      </w:pPr>
      <w:r w:rsidRPr="004A6939">
        <w:t xml:space="preserve">Sverigedemokraterna noterar att regeringen valt att omfördela anslag från anslag 14:2 </w:t>
      </w:r>
      <w:r w:rsidRPr="004A6939">
        <w:rPr>
          <w:iCs/>
        </w:rPr>
        <w:t xml:space="preserve">Bidrag till tolkutbildning och teckenspråklärarutbildning </w:t>
      </w:r>
      <w:r w:rsidRPr="004A6939">
        <w:t>till a</w:t>
      </w:r>
      <w:r w:rsidRPr="004A6939">
        <w:t>n</w:t>
      </w:r>
      <w:r w:rsidRPr="004A6939">
        <w:t xml:space="preserve">slag 14:3 </w:t>
      </w:r>
      <w:r w:rsidRPr="004A6939">
        <w:rPr>
          <w:iCs/>
        </w:rPr>
        <w:t>Bidrag till kontakttolkutbildning</w:t>
      </w:r>
      <w:r w:rsidRPr="004A6939">
        <w:t xml:space="preserve"> och hänvisar till rådande arbet</w:t>
      </w:r>
      <w:r w:rsidRPr="004A6939">
        <w:t>s</w:t>
      </w:r>
      <w:r w:rsidRPr="004A6939">
        <w:t>marknadssituation. Vi menar att detta är en onödig och felaktig prioritering. Inom bägge områdena finns i dagsläget ett behov av auktoriserade tolkar, men satsningar på utbildning måste spegla det framtida behovet. En ansvarsfull invandringspolitik, som vi verkar för, kommer resultera i minskat behov av kontakttolkar. Dessutom indikerar siffror att det inom vissa språk</w:t>
      </w:r>
      <w:r w:rsidRPr="004A6939">
        <w:t xml:space="preserve"> finns ett överskott av kontakttolkar, varför vi menar att omfördelningen bör ske h</w:t>
      </w:r>
      <w:r w:rsidRPr="004A6939">
        <w:t>u</w:t>
      </w:r>
      <w:r w:rsidRPr="004A6939">
        <w:t>vudsakligen inom anslag 14:3. Vad gäller teckentolkar är det framtida beh</w:t>
      </w:r>
      <w:r w:rsidRPr="004A6939">
        <w:t>o</w:t>
      </w:r>
      <w:r w:rsidRPr="004A6939">
        <w:t>vet snarare ökande, bl.a. då fler tolkbehövande söker sig till arbeten som kräver akademisk utbildning såväl som ökade kommunikationsmöjligheter inom arbetslivet. Vi anser därför att det överskott som regeringen hänvisar till bör användas till att locka fler till utbildningen för att möta kommande behov.</w:t>
      </w:r>
    </w:p>
    <w:p w:rsidR="004A6939" w:rsidRPr="004A6939" w:rsidRDefault="004A6939">
      <w:pPr>
        <w:pStyle w:val="Rubrik3"/>
        <w:shd w:val="clear" w:color="000000" w:fill="auto"/>
      </w:pPr>
      <w:r w:rsidRPr="004A6939">
        <w:t>Utgiftsområde 24 anslag 1:5 Näringslivsutvecklin</w:t>
      </w:r>
      <w:r w:rsidRPr="004A6939">
        <w:t>g m.m. +1 500</w:t>
      </w:r>
    </w:p>
    <w:p w:rsidR="004A6939" w:rsidRPr="004A6939" w:rsidRDefault="004A6939">
      <w:pPr>
        <w:shd w:val="clear" w:color="000000" w:fill="auto"/>
      </w:pPr>
      <w:r w:rsidRPr="004A6939">
        <w:t>I statens budget för innevarande år finns för detta ändamål uppfört ett rama</w:t>
      </w:r>
      <w:r w:rsidRPr="004A6939">
        <w:t>n</w:t>
      </w:r>
      <w:r w:rsidRPr="004A6939">
        <w:t>slag på 641 009 000 kr. Regeringen vill minska anslaget 1:5 Näringslivsu</w:t>
      </w:r>
      <w:r w:rsidRPr="004A6939">
        <w:t>t</w:t>
      </w:r>
      <w:r w:rsidRPr="004A6939">
        <w:t>veckling m.m. med 1 500 000 kr. Detta kommer att innebära minskade mö</w:t>
      </w:r>
      <w:r w:rsidRPr="004A6939">
        <w:t>j</w:t>
      </w:r>
      <w:r w:rsidRPr="004A6939">
        <w:t>ligheter att genomföra näringslivsfrämjande åtgärder 2011.</w:t>
      </w:r>
    </w:p>
    <w:p w:rsidR="004A6939" w:rsidRPr="004A6939" w:rsidRDefault="004A6939">
      <w:pPr>
        <w:pStyle w:val="Normaltindrag"/>
        <w:shd w:val="clear" w:color="000000" w:fill="auto"/>
      </w:pPr>
      <w:r w:rsidRPr="004A6939">
        <w:t>Vi ser fortfarande ett stort behov av innovationsinsatser och främjande av näringslivet. Företagsutvecklingen är motorn i svensk industri. Därför vill vi öka ansl</w:t>
      </w:r>
      <w:r w:rsidRPr="004A6939">
        <w:t>a</w:t>
      </w:r>
      <w:r w:rsidRPr="004A6939">
        <w:t>get med 1 500 000 kr.</w:t>
      </w:r>
    </w:p>
    <w:p w:rsidR="004A6939" w:rsidRPr="004A6939" w:rsidRDefault="004A6939">
      <w:pPr>
        <w:pStyle w:val="Rubrik3"/>
        <w:shd w:val="clear" w:color="000000" w:fill="auto"/>
      </w:pPr>
      <w:r w:rsidRPr="004A6939">
        <w:t>Utgiftsområde 24 anslag 2:3 Exportfrämjande verksamhet +2 700</w:t>
      </w:r>
    </w:p>
    <w:p w:rsidR="004A6939" w:rsidRPr="004A6939" w:rsidRDefault="004A6939">
      <w:pPr>
        <w:shd w:val="clear" w:color="000000" w:fill="auto"/>
      </w:pPr>
      <w:r w:rsidRPr="004A6939">
        <w:t>I statens budget för innevarande år finns för detta ändamål uppfört ett rama</w:t>
      </w:r>
      <w:r w:rsidRPr="004A6939">
        <w:t>n</w:t>
      </w:r>
      <w:r w:rsidRPr="004A6939">
        <w:t>slag på 193 889 000 kr. Anslaget finansierar det statliga uppdraget till Sver</w:t>
      </w:r>
      <w:r w:rsidRPr="004A6939">
        <w:t>i</w:t>
      </w:r>
      <w:r w:rsidRPr="004A6939">
        <w:t>ges exportråd (Exportrådet).</w:t>
      </w:r>
    </w:p>
    <w:p w:rsidR="004A6939" w:rsidRPr="004A6939" w:rsidRDefault="004A6939">
      <w:pPr>
        <w:pStyle w:val="Normaltindrag"/>
        <w:shd w:val="clear" w:color="000000" w:fill="auto"/>
      </w:pPr>
      <w:r w:rsidRPr="004A6939">
        <w:t>Regeringen vill minska detta anslag med 2 700 000 kr. Konsekvensen blir att de tillgängliga medlen för exportfrämjande verksamhet minskar.</w:t>
      </w:r>
    </w:p>
    <w:p w:rsidR="004A6939" w:rsidRPr="004A6939" w:rsidRDefault="004A6939">
      <w:pPr>
        <w:pStyle w:val="Normaltindrag"/>
        <w:shd w:val="clear" w:color="000000" w:fill="auto"/>
      </w:pPr>
      <w:r w:rsidRPr="004A6939">
        <w:t>Vi vill att exportfrämjande insatser och handelspolitiska insatser ska ha en hög prioritet och därför vill vi öka anslaget med 2 700 000 kr.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6939">
        <w:trPr>
          <w:cantSplit/>
        </w:trPr>
        <w:tc>
          <w:tcPr>
            <w:tcW w:w="3046" w:type="dxa"/>
          </w:tcPr>
          <w:p w:rsidR="004A6939" w:rsidRPr="004A6939" w:rsidRDefault="004A6939">
            <w:pPr>
              <w:pStyle w:val="UnderskriftDatum"/>
              <w:shd w:val="clear" w:color="000000" w:fill="auto"/>
              <w:spacing w:before="240"/>
            </w:pPr>
            <w:r w:rsidRPr="004A6939">
              <w:t>Stockholm den 28 april 2011</w:t>
            </w:r>
          </w:p>
        </w:tc>
        <w:tc>
          <w:tcPr>
            <w:tcW w:w="3047" w:type="dxa"/>
          </w:tcPr>
          <w:p w:rsidR="004A6939" w:rsidRPr="004A6939" w:rsidRDefault="004A6939">
            <w:pPr>
              <w:pStyle w:val="Underskrifter"/>
              <w:shd w:val="clear" w:color="000000" w:fill="auto"/>
              <w:spacing w:before="240"/>
            </w:pPr>
          </w:p>
        </w:tc>
      </w:tr>
      <w:tr w:rsidR="00000000" w:rsidRPr="004A6939">
        <w:trPr>
          <w:cantSplit/>
        </w:trPr>
        <w:tc>
          <w:tcPr>
            <w:tcW w:w="3046" w:type="dxa"/>
          </w:tcPr>
          <w:p w:rsidR="004A6939" w:rsidRPr="004A6939" w:rsidRDefault="004A6939">
            <w:pPr>
              <w:pStyle w:val="Underskrifter"/>
              <w:shd w:val="clear" w:color="000000" w:fill="auto"/>
            </w:pPr>
            <w:r w:rsidRPr="004A6939">
              <w:t>Jimmie Åkesson (SD)</w:t>
            </w:r>
          </w:p>
        </w:tc>
        <w:tc>
          <w:tcPr>
            <w:tcW w:w="3046" w:type="dxa"/>
          </w:tcPr>
          <w:p w:rsidR="004A6939" w:rsidRPr="004A6939" w:rsidRDefault="004A6939">
            <w:pPr>
              <w:pStyle w:val="Underskrifter"/>
              <w:shd w:val="clear" w:color="000000" w:fill="auto"/>
            </w:pPr>
          </w:p>
        </w:tc>
      </w:tr>
      <w:tr w:rsidR="00000000" w:rsidRPr="004A6939">
        <w:trPr>
          <w:cantSplit/>
        </w:trPr>
        <w:tc>
          <w:tcPr>
            <w:tcW w:w="3046" w:type="dxa"/>
          </w:tcPr>
          <w:p w:rsidR="004A6939" w:rsidRPr="004A6939" w:rsidRDefault="004A6939">
            <w:pPr>
              <w:pStyle w:val="Underskrifter"/>
              <w:shd w:val="clear" w:color="000000" w:fill="auto"/>
            </w:pPr>
            <w:r w:rsidRPr="004A6939">
              <w:t>Johnny Skalin (SD)</w:t>
            </w:r>
          </w:p>
        </w:tc>
        <w:tc>
          <w:tcPr>
            <w:tcW w:w="3046" w:type="dxa"/>
          </w:tcPr>
          <w:p w:rsidR="004A6939" w:rsidRPr="004A6939" w:rsidRDefault="004A6939">
            <w:pPr>
              <w:pStyle w:val="Underskrifter"/>
              <w:shd w:val="clear" w:color="000000" w:fill="auto"/>
            </w:pPr>
            <w:r w:rsidRPr="004A6939">
              <w:t>Thoralf Alfsson (SD)</w:t>
            </w:r>
          </w:p>
        </w:tc>
      </w:tr>
      <w:tr w:rsidR="00000000" w:rsidRPr="004A6939">
        <w:trPr>
          <w:cantSplit/>
        </w:trPr>
        <w:tc>
          <w:tcPr>
            <w:tcW w:w="3046" w:type="dxa"/>
          </w:tcPr>
          <w:p w:rsidR="004A6939" w:rsidRPr="004A6939" w:rsidRDefault="004A6939">
            <w:pPr>
              <w:pStyle w:val="Underskrifter"/>
              <w:shd w:val="clear" w:color="000000" w:fill="auto"/>
            </w:pPr>
            <w:r w:rsidRPr="004A6939">
              <w:t>Erik Almqvist (SD)</w:t>
            </w:r>
          </w:p>
        </w:tc>
        <w:tc>
          <w:tcPr>
            <w:tcW w:w="3046" w:type="dxa"/>
          </w:tcPr>
          <w:p w:rsidR="004A6939" w:rsidRPr="004A6939" w:rsidRDefault="004A6939">
            <w:pPr>
              <w:pStyle w:val="Underskrifter"/>
              <w:shd w:val="clear" w:color="000000" w:fill="auto"/>
            </w:pPr>
            <w:r w:rsidRPr="004A6939">
              <w:t>Kent Ekeroth (SD)</w:t>
            </w:r>
          </w:p>
        </w:tc>
      </w:tr>
      <w:tr w:rsidR="00000000" w:rsidRPr="004A6939">
        <w:trPr>
          <w:cantSplit/>
        </w:trPr>
        <w:tc>
          <w:tcPr>
            <w:tcW w:w="3046" w:type="dxa"/>
          </w:tcPr>
          <w:p w:rsidR="004A6939" w:rsidRPr="004A6939" w:rsidRDefault="004A6939">
            <w:pPr>
              <w:pStyle w:val="Underskrifter"/>
              <w:shd w:val="clear" w:color="000000" w:fill="auto"/>
            </w:pPr>
            <w:r w:rsidRPr="004A6939">
              <w:t>Josef Fransson (SD)</w:t>
            </w:r>
          </w:p>
        </w:tc>
        <w:tc>
          <w:tcPr>
            <w:tcW w:w="3046" w:type="dxa"/>
          </w:tcPr>
          <w:p w:rsidR="004A6939" w:rsidRPr="004A6939" w:rsidRDefault="004A6939">
            <w:pPr>
              <w:pStyle w:val="Underskrifter"/>
              <w:shd w:val="clear" w:color="000000" w:fill="auto"/>
            </w:pPr>
            <w:r w:rsidRPr="004A6939">
              <w:t>Carina Herrstedt (SD)</w:t>
            </w:r>
          </w:p>
        </w:tc>
      </w:tr>
      <w:tr w:rsidR="00000000" w:rsidRPr="004A6939">
        <w:trPr>
          <w:cantSplit/>
        </w:trPr>
        <w:tc>
          <w:tcPr>
            <w:tcW w:w="3046" w:type="dxa"/>
          </w:tcPr>
          <w:p w:rsidR="004A6939" w:rsidRPr="004A6939" w:rsidRDefault="004A6939">
            <w:pPr>
              <w:pStyle w:val="Underskrifter"/>
              <w:shd w:val="clear" w:color="000000" w:fill="auto"/>
            </w:pPr>
            <w:r w:rsidRPr="004A6939">
              <w:t>Lars Isovaara (SD)</w:t>
            </w:r>
          </w:p>
        </w:tc>
        <w:tc>
          <w:tcPr>
            <w:tcW w:w="3046" w:type="dxa"/>
          </w:tcPr>
          <w:p w:rsidR="004A6939" w:rsidRPr="004A6939" w:rsidRDefault="004A6939">
            <w:pPr>
              <w:pStyle w:val="Underskrifter"/>
              <w:shd w:val="clear" w:color="000000" w:fill="auto"/>
            </w:pPr>
            <w:r w:rsidRPr="004A6939">
              <w:t>Mikael Jansson (SD)</w:t>
            </w:r>
          </w:p>
        </w:tc>
      </w:tr>
      <w:tr w:rsidR="00000000" w:rsidRPr="004A6939">
        <w:trPr>
          <w:cantSplit/>
        </w:trPr>
        <w:tc>
          <w:tcPr>
            <w:tcW w:w="3046" w:type="dxa"/>
          </w:tcPr>
          <w:p w:rsidR="004A6939" w:rsidRPr="004A6939" w:rsidRDefault="004A6939">
            <w:pPr>
              <w:pStyle w:val="Underskrifter"/>
              <w:shd w:val="clear" w:color="000000" w:fill="auto"/>
            </w:pPr>
            <w:r w:rsidRPr="004A6939">
              <w:t>Richard Jomshof (SD)</w:t>
            </w:r>
          </w:p>
        </w:tc>
        <w:tc>
          <w:tcPr>
            <w:tcW w:w="3046" w:type="dxa"/>
          </w:tcPr>
          <w:p w:rsidR="004A6939" w:rsidRPr="004A6939" w:rsidRDefault="004A6939">
            <w:pPr>
              <w:pStyle w:val="Underskrifter"/>
              <w:shd w:val="clear" w:color="000000" w:fill="auto"/>
            </w:pPr>
            <w:r w:rsidRPr="004A6939">
              <w:t>Mattias Karlsson (SD)</w:t>
            </w:r>
          </w:p>
        </w:tc>
      </w:tr>
      <w:tr w:rsidR="00000000" w:rsidRPr="004A6939">
        <w:trPr>
          <w:cantSplit/>
        </w:trPr>
        <w:tc>
          <w:tcPr>
            <w:tcW w:w="3046" w:type="dxa"/>
          </w:tcPr>
          <w:p w:rsidR="004A6939" w:rsidRPr="004A6939" w:rsidRDefault="004A6939">
            <w:pPr>
              <w:pStyle w:val="Underskrifter"/>
              <w:shd w:val="clear" w:color="000000" w:fill="auto"/>
            </w:pPr>
            <w:r w:rsidRPr="004A6939">
              <w:t>Julia Kronlid (SD)</w:t>
            </w:r>
          </w:p>
        </w:tc>
        <w:tc>
          <w:tcPr>
            <w:tcW w:w="3046" w:type="dxa"/>
          </w:tcPr>
          <w:p w:rsidR="004A6939" w:rsidRPr="004A6939" w:rsidRDefault="004A6939">
            <w:pPr>
              <w:pStyle w:val="Underskrifter"/>
              <w:shd w:val="clear" w:color="000000" w:fill="auto"/>
            </w:pPr>
            <w:r w:rsidRPr="004A6939">
              <w:t>David Lång (SD)</w:t>
            </w:r>
          </w:p>
        </w:tc>
      </w:tr>
      <w:tr w:rsidR="00000000" w:rsidRPr="004A6939">
        <w:trPr>
          <w:cantSplit/>
        </w:trPr>
        <w:tc>
          <w:tcPr>
            <w:tcW w:w="3046" w:type="dxa"/>
          </w:tcPr>
          <w:p w:rsidR="004A6939" w:rsidRPr="004A6939" w:rsidRDefault="004A6939">
            <w:pPr>
              <w:pStyle w:val="Underskrifter"/>
              <w:shd w:val="clear" w:color="000000" w:fill="auto"/>
            </w:pPr>
            <w:r w:rsidRPr="004A6939">
              <w:t>William Petzäll (SD)</w:t>
            </w:r>
          </w:p>
        </w:tc>
        <w:tc>
          <w:tcPr>
            <w:tcW w:w="3046" w:type="dxa"/>
          </w:tcPr>
          <w:p w:rsidR="004A6939" w:rsidRPr="004A6939" w:rsidRDefault="004A6939">
            <w:pPr>
              <w:pStyle w:val="Underskrifter"/>
              <w:shd w:val="clear" w:color="000000" w:fill="auto"/>
            </w:pPr>
            <w:r w:rsidRPr="004A6939">
              <w:t>Per Ramhorn (SD)</w:t>
            </w:r>
          </w:p>
        </w:tc>
      </w:tr>
      <w:tr w:rsidR="00000000" w:rsidRPr="004A6939">
        <w:trPr>
          <w:cantSplit/>
        </w:trPr>
        <w:tc>
          <w:tcPr>
            <w:tcW w:w="3046" w:type="dxa"/>
          </w:tcPr>
          <w:p w:rsidR="004A6939" w:rsidRPr="004A6939" w:rsidRDefault="004A6939">
            <w:pPr>
              <w:pStyle w:val="Underskrifter"/>
              <w:shd w:val="clear" w:color="000000" w:fill="auto"/>
            </w:pPr>
            <w:r w:rsidRPr="004A6939">
              <w:t>Margareta Sandstedt (SD)</w:t>
            </w:r>
          </w:p>
        </w:tc>
        <w:tc>
          <w:tcPr>
            <w:tcW w:w="3046" w:type="dxa"/>
          </w:tcPr>
          <w:p w:rsidR="004A6939" w:rsidRPr="004A6939" w:rsidRDefault="004A6939">
            <w:pPr>
              <w:pStyle w:val="Underskrifter"/>
              <w:shd w:val="clear" w:color="000000" w:fill="auto"/>
            </w:pPr>
            <w:r w:rsidRPr="004A6939">
              <w:t>Sven-Olof Sällström (SD)</w:t>
            </w:r>
          </w:p>
        </w:tc>
      </w:tr>
      <w:tr w:rsidR="00000000" w:rsidRPr="004A6939">
        <w:trPr>
          <w:cantSplit/>
        </w:trPr>
        <w:tc>
          <w:tcPr>
            <w:tcW w:w="3046" w:type="dxa"/>
          </w:tcPr>
          <w:p w:rsidR="004A6939" w:rsidRPr="004A6939" w:rsidRDefault="004A6939">
            <w:pPr>
              <w:pStyle w:val="Underskrifter"/>
              <w:shd w:val="clear" w:color="000000" w:fill="auto"/>
            </w:pPr>
            <w:r w:rsidRPr="004A6939">
              <w:t>Björn Söder (SD)</w:t>
            </w:r>
          </w:p>
        </w:tc>
        <w:tc>
          <w:tcPr>
            <w:tcW w:w="3046" w:type="dxa"/>
          </w:tcPr>
          <w:p w:rsidR="004A6939" w:rsidRPr="004A6939" w:rsidRDefault="004A6939">
            <w:pPr>
              <w:pStyle w:val="Underskrifter"/>
              <w:shd w:val="clear" w:color="000000" w:fill="auto"/>
            </w:pPr>
            <w:r w:rsidRPr="004A6939">
              <w:t>Tony Wiklander (SD)</w:t>
            </w:r>
          </w:p>
        </w:tc>
      </w:tr>
      <w:tr w:rsidR="00000000" w:rsidRPr="004A6939">
        <w:trPr>
          <w:cantSplit/>
        </w:trPr>
        <w:tc>
          <w:tcPr>
            <w:tcW w:w="3046" w:type="dxa"/>
          </w:tcPr>
          <w:p w:rsidR="004A6939" w:rsidRPr="004A6939" w:rsidRDefault="004A6939">
            <w:pPr>
              <w:pStyle w:val="Underskrifter"/>
              <w:shd w:val="clear" w:color="000000" w:fill="auto"/>
            </w:pPr>
            <w:r w:rsidRPr="004A6939">
              <w:t>Jonas Åkerlund (SD)</w:t>
            </w:r>
          </w:p>
        </w:tc>
        <w:tc>
          <w:tcPr>
            <w:tcW w:w="3046" w:type="dxa"/>
          </w:tcPr>
          <w:p w:rsidR="004A6939" w:rsidRPr="004A6939" w:rsidRDefault="004A6939">
            <w:pPr>
              <w:pStyle w:val="Underskrifter"/>
              <w:shd w:val="clear" w:color="000000" w:fill="auto"/>
            </w:pPr>
          </w:p>
        </w:tc>
      </w:tr>
    </w:tbl>
    <w:p w:rsidR="004A6939" w:rsidRPr="004A6939" w:rsidRDefault="004A6939">
      <w:pPr>
        <w:pStyle w:val="Normaltindrag"/>
        <w:shd w:val="clear" w:color="000000" w:fill="auto"/>
      </w:pPr>
    </w:p>
    <w:sectPr w:rsidR="00000000" w:rsidRPr="004A69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939" w:rsidRPr="004A6939" w:rsidRDefault="004A6939">
      <w:r w:rsidRPr="004A6939">
        <w:separator/>
      </w:r>
    </w:p>
  </w:endnote>
  <w:endnote w:type="continuationSeparator" w:id="0">
    <w:p w:rsidR="004A6939" w:rsidRPr="004A6939" w:rsidRDefault="004A6939">
      <w:r w:rsidRPr="004A6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TTE22FD7F0t00">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939" w:rsidRPr="004A6939" w:rsidRDefault="004A6939">
    <w:pPr>
      <w:pStyle w:val="Sidfot"/>
    </w:pPr>
    <w:r w:rsidRPr="004A69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4398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939" w:rsidRDefault="004A693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6939" w:rsidRDefault="004A693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939" w:rsidRPr="004A6939" w:rsidRDefault="004A6939">
    <w:pPr>
      <w:pStyle w:val="Sidfot"/>
    </w:pPr>
    <w:r w:rsidRPr="004A69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229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939" w:rsidRDefault="004A69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6939" w:rsidRDefault="004A69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939" w:rsidRPr="004A6939" w:rsidRDefault="004A6939">
    <w:pPr>
      <w:pStyle w:val="Sidfot"/>
    </w:pPr>
    <w:r w:rsidRPr="004A69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5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939" w:rsidRDefault="004A69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6939" w:rsidRDefault="004A69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939" w:rsidRPr="004A6939" w:rsidRDefault="004A6939">
      <w:r w:rsidRPr="004A6939">
        <w:separator/>
      </w:r>
    </w:p>
  </w:footnote>
  <w:footnote w:type="continuationSeparator" w:id="0">
    <w:p w:rsidR="004A6939" w:rsidRPr="004A6939" w:rsidRDefault="004A6939">
      <w:r w:rsidRPr="004A6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939" w:rsidRPr="004A6939" w:rsidRDefault="004A6939">
    <w:pPr>
      <w:pStyle w:val="Sidhuvud"/>
    </w:pPr>
    <w:r w:rsidRPr="004A69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5318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939" w:rsidRDefault="004A69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6939" w:rsidRDefault="004A69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939" w:rsidRPr="004A6939" w:rsidRDefault="004A6939">
    <w:pPr>
      <w:pStyle w:val="Sidhuvud"/>
    </w:pPr>
    <w:r w:rsidRPr="004A69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69937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939" w:rsidRDefault="004A69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6939" w:rsidRDefault="004A69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939" w:rsidRPr="004A6939" w:rsidRDefault="004A6939">
    <w:pPr>
      <w:pStyle w:val="FSHNormal"/>
      <w:tabs>
        <w:tab w:val="right" w:pos="5840"/>
      </w:tabs>
    </w:pPr>
    <w:r w:rsidRPr="004A6939">
      <w:br/>
    </w:r>
    <w:r w:rsidRPr="004A6939">
      <w:fldChar w:fldCharType="begin" w:fldLock="1"/>
    </w:r>
    <w:r w:rsidRPr="004A6939">
      <w:instrText xml:space="preserve"> DOCPROPERTY</w:instrText>
    </w:r>
    <w:r w:rsidRPr="004A6939">
      <w:rPr>
        <w:sz w:val="18"/>
      </w:rPr>
      <w:instrText xml:space="preserve"> "YearUser" *\charformat </w:instrText>
    </w:r>
    <w:r w:rsidRPr="004A6939">
      <w:fldChar w:fldCharType="separate"/>
    </w:r>
    <w:r w:rsidRPr="004A6939">
      <w:t>2010/11</w:t>
    </w:r>
    <w:r w:rsidRPr="004A6939">
      <w:fldChar w:fldCharType="end"/>
    </w:r>
    <w:r w:rsidRPr="004A6939">
      <w:t xml:space="preserve"> </w:t>
    </w:r>
    <w:r w:rsidRPr="004A6939">
      <w:tab/>
      <w:t xml:space="preserve">mnr: </w:t>
    </w:r>
    <w:r w:rsidRPr="004A6939">
      <w:fldChar w:fldCharType="begin" w:fldLock="1"/>
    </w:r>
    <w:r w:rsidRPr="004A6939">
      <w:instrText xml:space="preserve"> DOCPROPERTY</w:instrText>
    </w:r>
    <w:r w:rsidRPr="004A6939">
      <w:rPr>
        <w:sz w:val="18"/>
      </w:rPr>
      <w:instrText xml:space="preserve"> "Motionsnummer" *\charformat </w:instrText>
    </w:r>
    <w:r w:rsidRPr="004A6939">
      <w:fldChar w:fldCharType="separate"/>
    </w:r>
    <w:r w:rsidRPr="004A6939">
      <w:t>Fi14</w:t>
    </w:r>
    <w:r w:rsidRPr="004A6939">
      <w:fldChar w:fldCharType="end"/>
    </w:r>
    <w:r w:rsidRPr="004A6939">
      <w:br/>
    </w:r>
    <w:r w:rsidRPr="004A6939">
      <w:fldChar w:fldCharType="begin" w:fldLock="1"/>
    </w:r>
    <w:r w:rsidRPr="004A6939">
      <w:instrText xml:space="preserve"> DOCPROPERTY</w:instrText>
    </w:r>
    <w:r w:rsidRPr="004A6939">
      <w:rPr>
        <w:sz w:val="18"/>
      </w:rPr>
      <w:instrText xml:space="preserve"> "Samling" *\charformat </w:instrText>
    </w:r>
    <w:r w:rsidRPr="004A6939">
      <w:fldChar w:fldCharType="end"/>
    </w:r>
    <w:r w:rsidRPr="004A6939">
      <w:tab/>
      <w:t xml:space="preserve">pnr: </w:t>
    </w:r>
    <w:r w:rsidRPr="004A6939">
      <w:fldChar w:fldCharType="begin" w:fldLock="1"/>
    </w:r>
    <w:r w:rsidRPr="004A6939">
      <w:instrText xml:space="preserve"> DOCPROPERTY</w:instrText>
    </w:r>
    <w:r w:rsidRPr="004A6939">
      <w:rPr>
        <w:sz w:val="18"/>
      </w:rPr>
      <w:instrText xml:space="preserve"> "Partinummer" *\charformat </w:instrText>
    </w:r>
    <w:r w:rsidRPr="004A6939">
      <w:fldChar w:fldCharType="separate"/>
    </w:r>
    <w:r w:rsidRPr="004A6939">
      <w:t>SD301</w:t>
    </w:r>
    <w:r w:rsidRPr="004A6939">
      <w:fldChar w:fldCharType="end"/>
    </w:r>
  </w:p>
  <w:p w:rsidR="004A6939" w:rsidRPr="004A6939" w:rsidRDefault="004A6939">
    <w:pPr>
      <w:pStyle w:val="FSHRub1"/>
    </w:pPr>
    <w:r w:rsidRPr="004A6939">
      <w:t>Motion till riksdagen</w:t>
    </w:r>
    <w:r w:rsidRPr="004A6939">
      <w:br/>
    </w:r>
    <w:r w:rsidRPr="004A6939">
      <w:fldChar w:fldCharType="begin" w:fldLock="1"/>
    </w:r>
    <w:r w:rsidRPr="004A6939">
      <w:instrText xml:space="preserve"> DOCPROPERTY "YearUser" *\charformat </w:instrText>
    </w:r>
    <w:r w:rsidRPr="004A6939">
      <w:fldChar w:fldCharType="separate"/>
    </w:r>
    <w:r w:rsidRPr="004A6939">
      <w:t>2010/11</w:t>
    </w:r>
    <w:r w:rsidRPr="004A6939">
      <w:fldChar w:fldCharType="end"/>
    </w:r>
    <w:r w:rsidRPr="004A6939">
      <w:t>:</w:t>
    </w:r>
    <w:r w:rsidRPr="004A6939">
      <w:fldChar w:fldCharType="begin" w:fldLock="1"/>
    </w:r>
    <w:r w:rsidRPr="004A6939">
      <w:instrText xml:space="preserve"> DOCPROPERTY "Motionsnummer" *\charformat </w:instrText>
    </w:r>
    <w:r w:rsidRPr="004A6939">
      <w:fldChar w:fldCharType="separate"/>
    </w:r>
    <w:r w:rsidRPr="004A6939">
      <w:t>Fi14</w:t>
    </w:r>
    <w:r w:rsidRPr="004A6939">
      <w:fldChar w:fldCharType="end"/>
    </w:r>
  </w:p>
  <w:p w:rsidR="004A6939" w:rsidRPr="004A6939" w:rsidRDefault="004A6939">
    <w:pPr>
      <w:pStyle w:val="FSHNormalS5"/>
    </w:pPr>
    <w:r w:rsidRPr="004A6939">
      <w:fldChar w:fldCharType="begin" w:fldLock="1"/>
    </w:r>
    <w:r w:rsidRPr="004A6939">
      <w:instrText xml:space="preserve"> DOCPROPERTY "MotionarText" *\charformat </w:instrText>
    </w:r>
    <w:r w:rsidRPr="004A6939">
      <w:fldChar w:fldCharType="separate"/>
    </w:r>
    <w:r w:rsidRPr="004A6939">
      <w:t>av Jimmie Åkesson m.fl. (SD)</w:t>
    </w:r>
    <w:r w:rsidRPr="004A6939">
      <w:fldChar w:fldCharType="end"/>
    </w:r>
    <w:r w:rsidRPr="004A6939">
      <w:br/>
    </w:r>
    <w:r w:rsidRPr="004A6939">
      <w:fldChar w:fldCharType="begin" w:fldLock="1"/>
    </w:r>
    <w:r w:rsidRPr="004A6939">
      <w:instrText xml:space="preserve"> DOCPROPERTY "SvarFrasKort" *\charformat </w:instrText>
    </w:r>
    <w:r w:rsidRPr="004A6939">
      <w:fldChar w:fldCharType="separate"/>
    </w:r>
    <w:r w:rsidRPr="004A6939">
      <w:t>med anledning av prop. 2010/11:99</w:t>
    </w:r>
    <w:r w:rsidRPr="004A6939">
      <w:fldChar w:fldCharType="end"/>
    </w:r>
  </w:p>
  <w:p w:rsidR="004A6939" w:rsidRPr="004A6939" w:rsidRDefault="004A6939">
    <w:pPr>
      <w:pStyle w:val="FSHTitel"/>
    </w:pPr>
    <w:r w:rsidRPr="004A6939">
      <w:fldChar w:fldCharType="begin" w:fldLock="1"/>
    </w:r>
    <w:r w:rsidRPr="004A6939">
      <w:instrText xml:space="preserve"> DOCPROPERTY</w:instrText>
    </w:r>
    <w:r w:rsidRPr="004A6939">
      <w:rPr>
        <w:sz w:val="18"/>
      </w:rPr>
      <w:instrText xml:space="preserve"> "RubrikSvar" *\charformat </w:instrText>
    </w:r>
    <w:r w:rsidRPr="004A6939">
      <w:fldChar w:fldCharType="separate"/>
    </w:r>
    <w:r w:rsidRPr="004A6939">
      <w:t>Vårändringsbudget för 2011</w:t>
    </w:r>
    <w:r w:rsidRPr="004A6939">
      <w:fldChar w:fldCharType="end"/>
    </w:r>
  </w:p>
  <w:p w:rsidR="004A6939" w:rsidRPr="004A6939" w:rsidRDefault="004A6939">
    <w:pPr>
      <w:pStyle w:val="Normal00"/>
    </w:pPr>
  </w:p>
  <w:p w:rsidR="004A6939" w:rsidRPr="004A6939" w:rsidRDefault="004A69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D13ED1"/>
    <w:multiLevelType w:val="hybridMultilevel"/>
    <w:tmpl w:val="02A61D36"/>
    <w:lvl w:ilvl="0" w:tplc="9DDC7B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088443">
    <w:abstractNumId w:val="3"/>
  </w:num>
  <w:num w:numId="2" w16cid:durableId="105278293">
    <w:abstractNumId w:val="2"/>
  </w:num>
  <w:num w:numId="3" w16cid:durableId="1895970398">
    <w:abstractNumId w:val="1"/>
  </w:num>
  <w:num w:numId="4" w16cid:durableId="1932661330">
    <w:abstractNumId w:val="0"/>
  </w:num>
  <w:num w:numId="5" w16cid:durableId="2060127466">
    <w:abstractNumId w:val="7"/>
  </w:num>
  <w:num w:numId="6" w16cid:durableId="278270132">
    <w:abstractNumId w:val="6"/>
  </w:num>
  <w:num w:numId="7" w16cid:durableId="67459629">
    <w:abstractNumId w:val="5"/>
  </w:num>
  <w:num w:numId="8" w16cid:durableId="775517503">
    <w:abstractNumId w:val="4"/>
  </w:num>
  <w:num w:numId="9" w16cid:durableId="1322536742">
    <w:abstractNumId w:val="8"/>
  </w:num>
  <w:num w:numId="10" w16cid:durableId="413089556">
    <w:abstractNumId w:val="9"/>
  </w:num>
  <w:num w:numId="11" w16cid:durableId="653752944">
    <w:abstractNumId w:val="10"/>
  </w:num>
  <w:num w:numId="12" w16cid:durableId="1906330608">
    <w:abstractNumId w:val="13"/>
  </w:num>
  <w:num w:numId="13" w16cid:durableId="100150812">
    <w:abstractNumId w:val="16"/>
  </w:num>
  <w:num w:numId="14" w16cid:durableId="584261771">
    <w:abstractNumId w:val="17"/>
  </w:num>
  <w:num w:numId="15" w16cid:durableId="893463225">
    <w:abstractNumId w:val="11"/>
  </w:num>
  <w:num w:numId="16" w16cid:durableId="896287111">
    <w:abstractNumId w:val="19"/>
  </w:num>
  <w:num w:numId="17" w16cid:durableId="383136461">
    <w:abstractNumId w:val="18"/>
  </w:num>
  <w:num w:numId="18" w16cid:durableId="534660430">
    <w:abstractNumId w:val="14"/>
  </w:num>
  <w:num w:numId="19" w16cid:durableId="274559025">
    <w:abstractNumId w:val="12"/>
  </w:num>
  <w:num w:numId="20" w16cid:durableId="15874989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331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8"/>
    <w:docVar w:name="PersonGUIDs" w:val="{8AFAFB8D-420E-48FB-8FC1-989748575C6E},{5D897251-768B-4F79-A746-942424C0E48F},{E777D43E-410F-4BC9-BB70-4814C6DA875C},{66398BA2-0A39-4815-95EE-46A218F1CD07},{832D3DBE-A180-4988-9880-AE30D81C3DDE},{491B6133-BA6C-4CF0-8568-EAFCE78CCE82},{7CD012E5-04AD-4983-9F47-32D057A48660},{95DDB3BA-A119-4A92-9CB9-EA7395B3CD64},{3D217574-0DDF-4581-95BF-BB95138898CF},{F18D46FE-CB1E-4F47-A773-E1B0F6C993DB},{625062BE-70EF-4D25-A882-C630CFB2773B},{3829CAB2-9E41-4957-9EA9-834C2DBCED73},{91552D3C-C99E-461F-B71B-0E113B8C02CC},{FE890F6A-3E9F-4C2F-AC80-276694BD46FE},{CE621CC2-F1A9-478C-8D24-C7C40D072A0B},{710FA618-5B25-4BFF-97BA-81B32B30C3BD},{EB0CD010-084E-4D62-B888-5E56AA763C92},{C8E093A7-EDD6-43FF-8CD7-70C04D240193},{996D59A6-E981-4E8A-801F-04F1663F375A},{B6553A15-555F-4553-8392-90742F4B330A}"/>
  </w:docVars>
  <w:rsids>
    <w:rsidRoot w:val="000B6A07"/>
    <w:rsid w:val="000B6A07"/>
    <w:rsid w:val="004A69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15:chartTrackingRefBased/>
  <w15:docId w15:val="{C5FA744C-B490-468C-A07A-7B18B388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apple-style-span">
    <w:name w:val="apple-style-span"/>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28156">
      <w:bodyDiv w:val="1"/>
      <w:marLeft w:val="0"/>
      <w:marRight w:val="0"/>
      <w:marTop w:val="0"/>
      <w:marBottom w:val="0"/>
      <w:divBdr>
        <w:top w:val="none" w:sz="0" w:space="0" w:color="auto"/>
        <w:left w:val="none" w:sz="0" w:space="0" w:color="auto"/>
        <w:bottom w:val="none" w:sz="0" w:space="0" w:color="auto"/>
        <w:right w:val="none" w:sz="0" w:space="0" w:color="auto"/>
      </w:divBdr>
      <w:divsChild>
        <w:div w:id="23288270">
          <w:marLeft w:val="0"/>
          <w:marRight w:val="0"/>
          <w:marTop w:val="0"/>
          <w:marBottom w:val="0"/>
          <w:divBdr>
            <w:top w:val="none" w:sz="0" w:space="0" w:color="auto"/>
            <w:left w:val="none" w:sz="0" w:space="0" w:color="auto"/>
            <w:bottom w:val="none" w:sz="0" w:space="0" w:color="auto"/>
            <w:right w:val="none" w:sz="0" w:space="0" w:color="auto"/>
          </w:divBdr>
        </w:div>
        <w:div w:id="1589072334">
          <w:marLeft w:val="0"/>
          <w:marRight w:val="0"/>
          <w:marTop w:val="0"/>
          <w:marBottom w:val="0"/>
          <w:divBdr>
            <w:top w:val="none" w:sz="0" w:space="0" w:color="auto"/>
            <w:left w:val="none" w:sz="0" w:space="0" w:color="auto"/>
            <w:bottom w:val="none" w:sz="0" w:space="0" w:color="auto"/>
            <w:right w:val="none" w:sz="0" w:space="0" w:color="auto"/>
          </w:divBdr>
        </w:div>
        <w:div w:id="1733844110">
          <w:marLeft w:val="0"/>
          <w:marRight w:val="0"/>
          <w:marTop w:val="0"/>
          <w:marBottom w:val="0"/>
          <w:divBdr>
            <w:top w:val="none" w:sz="0" w:space="0" w:color="auto"/>
            <w:left w:val="none" w:sz="0" w:space="0" w:color="auto"/>
            <w:bottom w:val="none" w:sz="0" w:space="0" w:color="auto"/>
            <w:right w:val="none" w:sz="0" w:space="0" w:color="auto"/>
          </w:divBdr>
        </w:div>
        <w:div w:id="1989431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983</Words>
  <Characters>5918</Characters>
  <Application>Microsoft Office Word</Application>
  <DocSecurity>4</DocSecurity>
  <Lines>184</Lines>
  <Paragraphs>98</Paragraphs>
  <ScaleCrop>false</ScaleCrop>
  <HeadingPairs>
    <vt:vector size="2" baseType="variant">
      <vt:variant>
        <vt:lpstr>Rubrik</vt:lpstr>
      </vt:variant>
      <vt:variant>
        <vt:i4>1</vt:i4>
      </vt:variant>
    </vt:vector>
  </HeadingPairs>
  <TitlesOfParts>
    <vt:vector size="1" baseType="lpstr">
      <vt:lpstr>SD301</vt:lpstr>
    </vt:vector>
  </TitlesOfParts>
  <Company>Riksdagen</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SD301</dc:title>
  <dc:subject>SD301</dc:subject>
  <dc:creator>Riksdagen</dc:creator>
  <cp:keywords>Riksdagen</cp:keywords>
  <dc:description>Versal/gemen i partibeteckning. Gemen i tryck för 0910, versal för 1011 och nyare</dc:description>
  <cp:lastModifiedBy>Lars Brink</cp:lastModifiedBy>
  <cp:revision>2</cp:revision>
  <cp:lastPrinted>2011-05-09T13:29:00Z</cp:lastPrinted>
  <dcterms:created xsi:type="dcterms:W3CDTF">2025-12-18T00:38:00Z</dcterms:created>
  <dcterms:modified xsi:type="dcterms:W3CDTF">2025-12-18T00:38:00Z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mot2000_532_2011-04-28</vt:lpwstr>
  </property>
  <property fmtid="{D5CDD505-2E9C-101B-9397-08002B2CF9AE}" pid="3" name="version">
    <vt:lpwstr>mot2000_532_2011-04-28</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2010/11:99 Vårändringsbudget för 2011</vt:lpwstr>
  </property>
  <property fmtid="{D5CDD505-2E9C-101B-9397-08002B2CF9AE}" pid="11" name="SvarFrasKort">
    <vt:lpwstr>med anledning av prop. 2010/11:99</vt:lpwstr>
  </property>
  <property fmtid="{D5CDD505-2E9C-101B-9397-08002B2CF9AE}" pid="12" name="Svar">
    <vt:lpwstr>Proposition</vt:lpwstr>
  </property>
  <property fmtid="{D5CDD505-2E9C-101B-9397-08002B2CF9AE}" pid="13" name="SvarNr">
    <vt:lpwstr>2010/11:99</vt:lpwstr>
  </property>
  <property fmtid="{D5CDD505-2E9C-101B-9397-08002B2CF9AE}" pid="14" name="RubrikSvar">
    <vt:lpwstr>Vårändringsbudget för 2011</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SD301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20</vt:lpwstr>
  </property>
  <property fmtid="{D5CDD505-2E9C-101B-9397-08002B2CF9AE}" pid="25" name="MotionarText">
    <vt:lpwstr>av Jimmie Åkesson m.fl. (SD)</vt:lpwstr>
  </property>
  <property fmtid="{D5CDD505-2E9C-101B-9397-08002B2CF9AE}" pid="26" name="MotionarLista">
    <vt:lpwstr>Åkesson, Jimmie (SD)\Skalin, Johnny (SD)\Alfsson, Thoralf (SD)\Almqvist, Erik (SD)\Ekeroth, Kent (SD)\Fransson, Josef (SD)\Herrstedt, Carina (SD)\Isovaara, Lars (SD)\Jansson, Mikael (SD)\Jomshof, Richard (SD)\Karlsson, Mattias (SD)\Kronlid, Julia (SD)\</vt:lpwstr>
  </property>
  <property fmtid="{D5CDD505-2E9C-101B-9397-08002B2CF9AE}" pid="27" name="MotionarLista1">
    <vt:lpwstr>Lång, David (SD)\Petzäll, William (SD)\Ramhorn, Per (SD)\Sandstedt, Margareta (SD)\Sällström, Sven-Olof (SD)\Söder, Björn (SD)\Wiklander, Tony (SD)\Åkerlund, Jonas (SD)\</vt:lpwstr>
  </property>
  <property fmtid="{D5CDD505-2E9C-101B-9397-08002B2CF9AE}" pid="28" name="MotionarLista2">
    <vt:lpwstr/>
  </property>
  <property fmtid="{D5CDD505-2E9C-101B-9397-08002B2CF9AE}" pid="29" name="MotionarLista3">
    <vt:lpwstr/>
  </property>
  <property fmtid="{D5CDD505-2E9C-101B-9397-08002B2CF9AE}" pid="30" name="MotionarLotus">
    <vt:lpwstr>Jimmie Åkesson (SD), Johnny Skalin (SD), Thoralf Alfsson (SD), Erik Almqvist (SD), Kent Ekeroth (SD), Josef Fransson (SD), Carina Herrstedt (SD), Lars Isovaara (SD), Mikael Jansson (SD), Richard Jomshof (SD), Mattias Karlsson (SD), Julia Kronlid (SD), Dav</vt:lpwstr>
  </property>
  <property fmtid="{D5CDD505-2E9C-101B-9397-08002B2CF9AE}" pid="31" name="MotionarLotus1">
    <vt:lpwstr>id Lång (SD), William Petzäll (SD), Per Ramhorn (SD), Margareta Sandstedt (SD), Sven-Olof Sällström (SD), Björn Söder (SD), Tony Wiklander (SD), Jonas Åkerlund (SD)</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april 2011</vt:lpwstr>
  </property>
  <property fmtid="{D5CDD505-2E9C-101B-9397-08002B2CF9AE}" pid="44" name="NotesUID">
    <vt:lpwstr>mikael.valtersson@riksdagen.se</vt:lpwstr>
  </property>
  <property fmtid="{D5CDD505-2E9C-101B-9397-08002B2CF9AE}" pid="45" name="ReservUID">
    <vt:lpwstr>ml1007aa</vt:lpwstr>
  </property>
  <property fmtid="{D5CDD505-2E9C-101B-9397-08002B2CF9AE}" pid="46" name="MotionID">
    <vt:lpwstr>20102011000000830068000003010080</vt:lpwstr>
  </property>
  <property fmtid="{D5CDD505-2E9C-101B-9397-08002B2CF9AE}" pid="47" name="datum">
    <vt:lpwstr>110428</vt:lpwstr>
  </property>
  <property fmtid="{D5CDD505-2E9C-101B-9397-08002B2CF9AE}" pid="48" name="avsändar-e-post">
    <vt:lpwstr>mikael.valtersson@riksdagen.se</vt:lpwstr>
  </property>
  <property fmtid="{D5CDD505-2E9C-101B-9397-08002B2CF9AE}" pid="49" name="id">
    <vt:lpwstr>20102011000000830068000003010080</vt:lpwstr>
  </property>
  <property fmtid="{D5CDD505-2E9C-101B-9397-08002B2CF9AE}" pid="50" name="nummer">
    <vt:lpwstr>14</vt:lpwstr>
  </property>
  <property fmtid="{D5CDD505-2E9C-101B-9397-08002B2CF9AE}" pid="51" name="utskottsbeteckning">
    <vt:lpwstr>Fi</vt:lpwstr>
  </property>
  <property fmtid="{D5CDD505-2E9C-101B-9397-08002B2CF9AE}" pid="52" name="GlobalUID">
    <vt:lpwstr>{3ACB73E0-B25F-4AB8-AA0B-EA9DA0D11C50}</vt:lpwstr>
  </property>
  <property fmtid="{D5CDD505-2E9C-101B-9397-08002B2CF9AE}" pid="53" name="Överföringar">
    <vt:i4>0</vt:i4>
  </property>
  <property fmtid="{D5CDD505-2E9C-101B-9397-08002B2CF9AE}" pid="54" name="Checksum">
    <vt:lpwstr>*0000572126474*</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110817 10:25:07.142</vt:lpwstr>
  </property>
  <property fmtid="{D5CDD505-2E9C-101B-9397-08002B2CF9AE}" pid="58" name="urixGuid">
    <vt:lpwstr>{F7D4BA33-9FB2-4235-BD65-08B673627D4E}</vt:lpwstr>
  </property>
</Properties>
</file>