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75D3" w:rsidRPr="003A11C1" w:rsidRDefault="009375D3" w:rsidP="00A2748C">
      <w:pPr>
        <w:pStyle w:val="Hemstlrubrik"/>
      </w:pPr>
      <w:r w:rsidRPr="003A11C1">
        <w:t>Förslag till riksdagsbeslut</w:t>
      </w:r>
    </w:p>
    <w:p w:rsidR="009375D3" w:rsidRPr="003A11C1" w:rsidRDefault="009375D3" w:rsidP="00D776D1">
      <w:pPr>
        <w:pStyle w:val="Hemstlatt"/>
      </w:pPr>
      <w:r w:rsidRPr="003A11C1">
        <w:t xml:space="preserve">Riksdagen tillkännager för regeringen som sin mening </w:t>
      </w:r>
      <w:r w:rsidR="00E90872" w:rsidRPr="003A11C1">
        <w:t xml:space="preserve">vad i motionen anförs om </w:t>
      </w:r>
      <w:r w:rsidRPr="003A11C1">
        <w:t>att Sverige som enskild stat och som medlem av EU bör me</w:t>
      </w:r>
      <w:r w:rsidRPr="003A11C1">
        <w:t>d</w:t>
      </w:r>
      <w:r w:rsidRPr="003A11C1">
        <w:t>verka till att</w:t>
      </w:r>
      <w:r w:rsidR="00ED21CF" w:rsidRPr="003A11C1">
        <w:t xml:space="preserve"> Turkiet</w:t>
      </w:r>
      <w:r w:rsidRPr="003A11C1">
        <w:t xml:space="preserve"> påskynda</w:t>
      </w:r>
      <w:r w:rsidR="00ED21CF" w:rsidRPr="003A11C1">
        <w:t>r</w:t>
      </w:r>
      <w:r w:rsidRPr="003A11C1">
        <w:t xml:space="preserve"> ratifi</w:t>
      </w:r>
      <w:r w:rsidR="007E1AA4" w:rsidRPr="003A11C1">
        <w:t xml:space="preserve">cering av </w:t>
      </w:r>
      <w:r w:rsidR="00E90872" w:rsidRPr="003A11C1">
        <w:t>r</w:t>
      </w:r>
      <w:r w:rsidR="007E1AA4" w:rsidRPr="003A11C1">
        <w:t>amkonventionen till s</w:t>
      </w:r>
      <w:r w:rsidRPr="003A11C1">
        <w:t xml:space="preserve">kydd för </w:t>
      </w:r>
      <w:r w:rsidR="007E1AA4" w:rsidRPr="003A11C1">
        <w:t>m</w:t>
      </w:r>
      <w:r w:rsidRPr="003A11C1">
        <w:t>in</w:t>
      </w:r>
      <w:r w:rsidRPr="003A11C1">
        <w:t>o</w:t>
      </w:r>
      <w:r w:rsidRPr="003A11C1">
        <w:t>riteter.</w:t>
      </w:r>
    </w:p>
    <w:p w:rsidR="007E5664" w:rsidRPr="003A11C1" w:rsidRDefault="009375D3" w:rsidP="00D776D1">
      <w:pPr>
        <w:pStyle w:val="Hemstlatt"/>
      </w:pPr>
      <w:r w:rsidRPr="003A11C1">
        <w:t xml:space="preserve">Riksdagen tillkännager för regeringen som sin mening </w:t>
      </w:r>
      <w:r w:rsidR="00E90872" w:rsidRPr="003A11C1">
        <w:t xml:space="preserve">vad i motionen anförs om </w:t>
      </w:r>
      <w:r w:rsidRPr="003A11C1">
        <w:t xml:space="preserve">att Sverige i EU </w:t>
      </w:r>
      <w:r w:rsidR="00DB120C" w:rsidRPr="003A11C1">
        <w:t xml:space="preserve">bör </w:t>
      </w:r>
      <w:r w:rsidRPr="003A11C1">
        <w:t xml:space="preserve">verka för att </w:t>
      </w:r>
      <w:r w:rsidR="000A5CBF" w:rsidRPr="003A11C1">
        <w:t xml:space="preserve">full </w:t>
      </w:r>
      <w:r w:rsidR="00E90872" w:rsidRPr="003A11C1">
        <w:t>yttrandefrihet</w:t>
      </w:r>
      <w:r w:rsidR="000A5CBF" w:rsidRPr="003A11C1">
        <w:t xml:space="preserve"> och tryc</w:t>
      </w:r>
      <w:r w:rsidR="000A5CBF" w:rsidRPr="003A11C1">
        <w:t>k</w:t>
      </w:r>
      <w:r w:rsidR="000A5CBF" w:rsidRPr="003A11C1">
        <w:t>frihet skall råda</w:t>
      </w:r>
      <w:r w:rsidRPr="003A11C1">
        <w:t xml:space="preserve"> i Turkiet inför ett EU-medlemskap.</w:t>
      </w:r>
    </w:p>
    <w:p w:rsidR="007E5664" w:rsidRPr="003A11C1" w:rsidRDefault="009375D3" w:rsidP="00D776D1">
      <w:pPr>
        <w:pStyle w:val="Hemstlatt"/>
      </w:pPr>
      <w:r w:rsidRPr="003A11C1">
        <w:t xml:space="preserve">Riksdagen tillkännager för regeringen som sin mening </w:t>
      </w:r>
      <w:r w:rsidR="00E90872" w:rsidRPr="003A11C1">
        <w:t xml:space="preserve">vad i motionen anförs om </w:t>
      </w:r>
      <w:r w:rsidRPr="003A11C1">
        <w:t xml:space="preserve">att Sverige i EU </w:t>
      </w:r>
      <w:r w:rsidR="00E25104" w:rsidRPr="003A11C1">
        <w:t xml:space="preserve">bör </w:t>
      </w:r>
      <w:r w:rsidRPr="003A11C1">
        <w:t>verka för att Turkiets historia och förh</w:t>
      </w:r>
      <w:r w:rsidRPr="003A11C1">
        <w:t>i</w:t>
      </w:r>
      <w:r w:rsidRPr="003A11C1">
        <w:t xml:space="preserve">storia fritt </w:t>
      </w:r>
      <w:r w:rsidR="00ED21CF" w:rsidRPr="003A11C1">
        <w:t>skall kunna diskuteras utan</w:t>
      </w:r>
      <w:r w:rsidR="000A5CBF" w:rsidRPr="003A11C1">
        <w:t xml:space="preserve"> risk för åtal</w:t>
      </w:r>
      <w:r w:rsidRPr="003A11C1">
        <w:t>.</w:t>
      </w:r>
    </w:p>
    <w:p w:rsidR="007E5664" w:rsidRPr="003A11C1" w:rsidRDefault="007E5664" w:rsidP="00D776D1">
      <w:pPr>
        <w:pStyle w:val="Hemstlatt"/>
      </w:pPr>
      <w:r w:rsidRPr="003A11C1">
        <w:t xml:space="preserve">Riksdagen tillkännager för regeringen som sin mening </w:t>
      </w:r>
      <w:r w:rsidR="00E90872" w:rsidRPr="003A11C1">
        <w:t xml:space="preserve">vad i motionen anförs om </w:t>
      </w:r>
      <w:r w:rsidRPr="003A11C1">
        <w:t xml:space="preserve">att Sverige inom EU bör verka för att </w:t>
      </w:r>
      <w:r w:rsidR="00DB120C" w:rsidRPr="003A11C1">
        <w:t xml:space="preserve">de </w:t>
      </w:r>
      <w:r w:rsidRPr="003A11C1">
        <w:t>ottomanska arkiven som rör folkmordet på armenierna skall öppnas och bli föremål för ob</w:t>
      </w:r>
      <w:r w:rsidRPr="003A11C1">
        <w:t>e</w:t>
      </w:r>
      <w:r w:rsidRPr="003A11C1">
        <w:t>roende internationell forskning.</w:t>
      </w:r>
    </w:p>
    <w:p w:rsidR="00B073E4" w:rsidRPr="003A11C1" w:rsidRDefault="009375D3" w:rsidP="00D776D1">
      <w:pPr>
        <w:pStyle w:val="Hemstlatt"/>
      </w:pPr>
      <w:r w:rsidRPr="003A11C1">
        <w:t xml:space="preserve">Riksdagen tillkännager för </w:t>
      </w:r>
      <w:r w:rsidR="00ED21CF" w:rsidRPr="003A11C1">
        <w:t xml:space="preserve">regeringen som sin mening </w:t>
      </w:r>
      <w:r w:rsidR="00E90872" w:rsidRPr="003A11C1">
        <w:t xml:space="preserve">vad i motionen anförs om </w:t>
      </w:r>
      <w:r w:rsidR="00ED21CF" w:rsidRPr="003A11C1">
        <w:t>att Turkiet skall ha implementerat de reformer som man la</w:t>
      </w:r>
      <w:r w:rsidR="00ED21CF" w:rsidRPr="003A11C1">
        <w:t>g</w:t>
      </w:r>
      <w:r w:rsidR="00ED21CF" w:rsidRPr="003A11C1">
        <w:t>stiftat om innan Turkiet beviljas medlemskap i EU.</w:t>
      </w:r>
    </w:p>
    <w:p w:rsidR="00192B17" w:rsidRPr="003A11C1" w:rsidRDefault="00B073E4" w:rsidP="00D776D1">
      <w:pPr>
        <w:pStyle w:val="Hemstlatt"/>
      </w:pPr>
      <w:r w:rsidRPr="003A11C1">
        <w:t xml:space="preserve">Riksdagen tillkännager för regeringen som sin mening </w:t>
      </w:r>
      <w:r w:rsidR="00E90872" w:rsidRPr="003A11C1">
        <w:t xml:space="preserve">vad i motionen anförs om </w:t>
      </w:r>
      <w:r w:rsidRPr="003A11C1">
        <w:t xml:space="preserve">att Sverige </w:t>
      </w:r>
      <w:r w:rsidR="00E25104" w:rsidRPr="003A11C1">
        <w:t>–</w:t>
      </w:r>
      <w:r w:rsidRPr="003A11C1">
        <w:t xml:space="preserve"> utifrån ståndpunkten att frågan om de mänskliga rättigheterna är den mest central</w:t>
      </w:r>
      <w:r w:rsidR="00E25104" w:rsidRPr="003A11C1">
        <w:t>a</w:t>
      </w:r>
      <w:r w:rsidRPr="003A11C1">
        <w:t xml:space="preserve"> när det gäller Turkiets medlemskap i EU – </w:t>
      </w:r>
      <w:r w:rsidR="00E25104" w:rsidRPr="003A11C1">
        <w:t xml:space="preserve">bör verka för </w:t>
      </w:r>
      <w:r w:rsidRPr="003A11C1">
        <w:t>att medlemskap för Turkiets del inte bör komma i</w:t>
      </w:r>
      <w:r w:rsidR="00E90872" w:rsidRPr="003A11C1">
        <w:t xml:space="preserve"> </w:t>
      </w:r>
      <w:r w:rsidRPr="003A11C1">
        <w:t>fråga förrän Tu</w:t>
      </w:r>
      <w:r w:rsidRPr="003A11C1">
        <w:t>r</w:t>
      </w:r>
      <w:r w:rsidRPr="003A11C1">
        <w:t xml:space="preserve">kiet </w:t>
      </w:r>
      <w:r w:rsidR="00192B17" w:rsidRPr="003A11C1">
        <w:t>lever upp till</w:t>
      </w:r>
      <w:r w:rsidRPr="003A11C1">
        <w:t xml:space="preserve"> </w:t>
      </w:r>
      <w:r w:rsidR="00192B17" w:rsidRPr="003A11C1">
        <w:t>vad som stadgas i FN:s deklaration om mänskliga rättigh</w:t>
      </w:r>
      <w:r w:rsidR="00192B17" w:rsidRPr="003A11C1">
        <w:t>e</w:t>
      </w:r>
      <w:r w:rsidR="00192B17" w:rsidRPr="003A11C1">
        <w:t>ter.</w:t>
      </w:r>
    </w:p>
    <w:p w:rsidR="009375D3" w:rsidRPr="003A11C1" w:rsidRDefault="009375D3" w:rsidP="00D776D1">
      <w:pPr>
        <w:pStyle w:val="Hemstlatt"/>
      </w:pPr>
      <w:r w:rsidRPr="003A11C1">
        <w:t xml:space="preserve">Riksdagen tillkännager för regeringen som sin mening </w:t>
      </w:r>
      <w:r w:rsidR="00E90872" w:rsidRPr="003A11C1">
        <w:t xml:space="preserve">vad i motionen anförs om </w:t>
      </w:r>
      <w:r w:rsidRPr="003A11C1">
        <w:t>att Turkiet i</w:t>
      </w:r>
      <w:r w:rsidR="00192B17" w:rsidRPr="003A11C1">
        <w:t>nt</w:t>
      </w:r>
      <w:r w:rsidRPr="003A11C1">
        <w:t>e beviljas medlemskap på det kompromissartade sätt som skedde i samband med att Turkiet beviljades status som kand</w:t>
      </w:r>
      <w:r w:rsidRPr="003A11C1">
        <w:t>i</w:t>
      </w:r>
      <w:r w:rsidRPr="003A11C1">
        <w:t>datland utan att e</w:t>
      </w:r>
      <w:r w:rsidR="00323E8C" w:rsidRPr="003A11C1">
        <w:t xml:space="preserve">tt sådant beslut grundar sig på </w:t>
      </w:r>
      <w:r w:rsidRPr="003A11C1">
        <w:t>implementerade förän</w:t>
      </w:r>
      <w:r w:rsidRPr="003A11C1">
        <w:t>d</w:t>
      </w:r>
      <w:r w:rsidRPr="003A11C1">
        <w:t>ringar när det gäller demokratiska och mänskliga rättigheter.</w:t>
      </w:r>
    </w:p>
    <w:p w:rsidR="003B77DD" w:rsidRPr="003A11C1" w:rsidRDefault="009375D3" w:rsidP="00D776D1">
      <w:pPr>
        <w:pStyle w:val="Hemstlatt"/>
      </w:pPr>
      <w:r w:rsidRPr="003A11C1">
        <w:t xml:space="preserve">Riksdagen tillkännager för regeringen som sin mening </w:t>
      </w:r>
      <w:r w:rsidR="00E90872" w:rsidRPr="003A11C1">
        <w:t xml:space="preserve">vad i motionen anförs om </w:t>
      </w:r>
      <w:r w:rsidRPr="003A11C1">
        <w:t>att Sverige som enskild stat och som medlem av EU bör göra stora ansträngningar för att uppmuntra till dialog, förhandlingar och fö</w:t>
      </w:r>
      <w:r w:rsidRPr="003A11C1">
        <w:t>r</w:t>
      </w:r>
      <w:r w:rsidRPr="003A11C1">
        <w:t>soning mellan parterna i konfl</w:t>
      </w:r>
      <w:r w:rsidR="00C01784" w:rsidRPr="003A11C1">
        <w:t>ikten i s</w:t>
      </w:r>
      <w:r w:rsidR="00323E8C" w:rsidRPr="003A11C1">
        <w:t>ydöstra Turkiet.</w:t>
      </w:r>
    </w:p>
    <w:p w:rsidR="003B77DD" w:rsidRPr="003A11C1" w:rsidRDefault="003B77DD" w:rsidP="00D776D1">
      <w:pPr>
        <w:pStyle w:val="Hemstlatt"/>
      </w:pPr>
      <w:r w:rsidRPr="003A11C1">
        <w:lastRenderedPageBreak/>
        <w:t xml:space="preserve">Riksdagen tillkännager för regeringen som sin mening </w:t>
      </w:r>
      <w:r w:rsidR="00E90872" w:rsidRPr="003A11C1">
        <w:t xml:space="preserve">vad i motionen anförs om </w:t>
      </w:r>
      <w:r w:rsidRPr="003A11C1">
        <w:t>att Sverige i EU inför förhandlingarna med Turkiet kräver att Tu</w:t>
      </w:r>
      <w:r w:rsidRPr="003A11C1">
        <w:t>r</w:t>
      </w:r>
      <w:r w:rsidRPr="003A11C1">
        <w:t xml:space="preserve">kiet upphör med den folkrättsvidriga blockaden mot Armenien. </w:t>
      </w:r>
    </w:p>
    <w:p w:rsidR="009375D3" w:rsidRPr="003A11C1" w:rsidRDefault="00323E8C" w:rsidP="00D776D1">
      <w:pPr>
        <w:pStyle w:val="Hemstlatt"/>
      </w:pPr>
      <w:r w:rsidRPr="003A11C1">
        <w:t xml:space="preserve">Riksdagen tillkännager för regeringen som sin mening </w:t>
      </w:r>
      <w:r w:rsidR="00E90872" w:rsidRPr="003A11C1">
        <w:t xml:space="preserve">vad i motionen anförs om </w:t>
      </w:r>
      <w:r w:rsidRPr="003A11C1">
        <w:t xml:space="preserve">att Sverige bör </w:t>
      </w:r>
      <w:r w:rsidR="009375D3" w:rsidRPr="003A11C1">
        <w:t>understöd</w:t>
      </w:r>
      <w:r w:rsidRPr="003A11C1">
        <w:t>ja</w:t>
      </w:r>
      <w:r w:rsidR="009375D3" w:rsidRPr="003A11C1">
        <w:t xml:space="preserve"> en förändring av den turkiska ko</w:t>
      </w:r>
      <w:r w:rsidR="009375D3" w:rsidRPr="003A11C1">
        <w:t>n</w:t>
      </w:r>
      <w:r w:rsidR="009375D3" w:rsidRPr="003A11C1">
        <w:t>stitutionen som ger alla folkgrupper demokratiska rättigheter och rätti</w:t>
      </w:r>
      <w:r w:rsidR="009375D3" w:rsidRPr="003A11C1">
        <w:t>g</w:t>
      </w:r>
      <w:r w:rsidR="009375D3" w:rsidRPr="003A11C1">
        <w:t>heter att utveckla sina språk och sina kulturer.</w:t>
      </w:r>
    </w:p>
    <w:p w:rsidR="009375D3" w:rsidRPr="003A11C1" w:rsidRDefault="009375D3" w:rsidP="00D776D1">
      <w:pPr>
        <w:pStyle w:val="Rubrik1"/>
      </w:pPr>
      <w:r w:rsidRPr="003A11C1">
        <w:t>Ett viktigt uttalande</w:t>
      </w:r>
    </w:p>
    <w:p w:rsidR="009375D3" w:rsidRPr="003A11C1" w:rsidRDefault="009375D3" w:rsidP="00D776D1">
      <w:r w:rsidRPr="003A11C1">
        <w:t xml:space="preserve">Den 12 </w:t>
      </w:r>
      <w:r w:rsidR="00C01784" w:rsidRPr="003A11C1">
        <w:t>a</w:t>
      </w:r>
      <w:r w:rsidRPr="003A11C1">
        <w:t>ugusti 2005 gjorde den turkiske premiärminister</w:t>
      </w:r>
      <w:r w:rsidR="00C01784" w:rsidRPr="003A11C1">
        <w:t>n</w:t>
      </w:r>
      <w:r w:rsidRPr="003A11C1">
        <w:t xml:space="preserve"> Erdogan ett hist</w:t>
      </w:r>
      <w:r w:rsidRPr="003A11C1">
        <w:t>o</w:t>
      </w:r>
      <w:r w:rsidRPr="003A11C1">
        <w:t xml:space="preserve">riskt uttalande. Han </w:t>
      </w:r>
      <w:r w:rsidR="000A5CBF" w:rsidRPr="003A11C1">
        <w:t xml:space="preserve">erkände öppet </w:t>
      </w:r>
      <w:r w:rsidRPr="003A11C1">
        <w:t>kurdernas existens. Fram till dess hade kurdernas existens officiellt förnekats av turkiska myndigheter. Detta var ett mycket viktigt steg i den refor</w:t>
      </w:r>
      <w:r w:rsidR="000A5CBF" w:rsidRPr="003A11C1">
        <w:t xml:space="preserve">mprocess som inletts i Turkiet – en process som </w:t>
      </w:r>
      <w:r w:rsidRPr="003A11C1">
        <w:t>inleddes under 2003 och 2004 när man började förändra den turkiska lagstif</w:t>
      </w:r>
      <w:r w:rsidRPr="003A11C1">
        <w:t>t</w:t>
      </w:r>
      <w:r w:rsidRPr="003A11C1">
        <w:t>ningen på viktiga punkter.</w:t>
      </w:r>
    </w:p>
    <w:p w:rsidR="009375D3" w:rsidRPr="003A11C1" w:rsidRDefault="009375D3" w:rsidP="00D776D1">
      <w:pPr>
        <w:pStyle w:val="Normaltindrag"/>
      </w:pPr>
      <w:r w:rsidRPr="003A11C1">
        <w:t>Det är oerhört viktigt att den</w:t>
      </w:r>
      <w:r w:rsidR="000A5CBF" w:rsidRPr="003A11C1">
        <w:t>na process</w:t>
      </w:r>
      <w:r w:rsidRPr="003A11C1">
        <w:t xml:space="preserve"> inte avstannar. Det finns starka turknationalistiska krafter som ogillar tanken på att den turkiska statsbil</w:t>
      </w:r>
      <w:r w:rsidRPr="003A11C1">
        <w:t>d</w:t>
      </w:r>
      <w:r w:rsidRPr="003A11C1">
        <w:t>ningen innehåller flera både små och stora et</w:t>
      </w:r>
      <w:r w:rsidR="00C01784" w:rsidRPr="003A11C1">
        <w:t>n</w:t>
      </w:r>
      <w:r w:rsidRPr="003A11C1">
        <w:t>iska minoriteter. I Turkiet lever inte bara den stora kurdiska minoriteten utan också assyrier/syrianer oc</w:t>
      </w:r>
      <w:r w:rsidR="000A5CBF" w:rsidRPr="003A11C1">
        <w:t>h ka</w:t>
      </w:r>
      <w:r w:rsidR="000A5CBF" w:rsidRPr="003A11C1">
        <w:t>l</w:t>
      </w:r>
      <w:r w:rsidR="000A5CBF" w:rsidRPr="003A11C1">
        <w:t xml:space="preserve">déer. Där finns </w:t>
      </w:r>
      <w:r w:rsidR="00C01784" w:rsidRPr="003A11C1">
        <w:t xml:space="preserve">också </w:t>
      </w:r>
      <w:r w:rsidR="000A5CBF" w:rsidRPr="003A11C1">
        <w:t>en grekisk</w:t>
      </w:r>
      <w:r w:rsidRPr="003A11C1">
        <w:t xml:space="preserve"> och en armenisk minoritet.</w:t>
      </w:r>
    </w:p>
    <w:p w:rsidR="009375D3" w:rsidRPr="003A11C1" w:rsidRDefault="000A5CBF" w:rsidP="00C01784">
      <w:pPr>
        <w:pStyle w:val="Normaltindrag"/>
      </w:pPr>
      <w:r w:rsidRPr="003A11C1">
        <w:t>Turkiet har</w:t>
      </w:r>
      <w:r w:rsidR="009375D3" w:rsidRPr="003A11C1">
        <w:t xml:space="preserve"> inte ratificerat </w:t>
      </w:r>
      <w:r w:rsidR="00A2748C" w:rsidRPr="003A11C1">
        <w:t>r</w:t>
      </w:r>
      <w:r w:rsidR="009375D3" w:rsidRPr="003A11C1">
        <w:t xml:space="preserve">amkonventionen till </w:t>
      </w:r>
      <w:r w:rsidR="00C01784" w:rsidRPr="003A11C1">
        <w:t>s</w:t>
      </w:r>
      <w:r w:rsidR="009375D3" w:rsidRPr="003A11C1">
        <w:t xml:space="preserve">kydd för </w:t>
      </w:r>
      <w:r w:rsidR="00C01784" w:rsidRPr="003A11C1">
        <w:t>m</w:t>
      </w:r>
      <w:r w:rsidR="009375D3" w:rsidRPr="003A11C1">
        <w:t>inoriteter li</w:t>
      </w:r>
      <w:r w:rsidR="009375D3" w:rsidRPr="003A11C1">
        <w:t>k</w:t>
      </w:r>
      <w:r w:rsidR="009375D3" w:rsidRPr="003A11C1">
        <w:t>som en rad andra FN-dokument som rör minoriteter. Det torde vara rimligt a</w:t>
      </w:r>
      <w:r w:rsidR="00C01784" w:rsidRPr="003A11C1">
        <w:t>t</w:t>
      </w:r>
      <w:r w:rsidR="009375D3" w:rsidRPr="003A11C1">
        <w:t>t kräva att Turkiet på sin väg till ett EU-medlemskap till att börja med ratific</w:t>
      </w:r>
      <w:r w:rsidR="009375D3" w:rsidRPr="003A11C1">
        <w:t>e</w:t>
      </w:r>
      <w:r w:rsidR="009375D3" w:rsidRPr="003A11C1">
        <w:t>rade denna konvention och andra dokument. Sverige borde som enskild stat och som medlem av EU medverka till att påskynda en sådan ratificering.</w:t>
      </w:r>
      <w:r w:rsidR="006E302D" w:rsidRPr="003A11C1">
        <w:t xml:space="preserve"> </w:t>
      </w:r>
      <w:r w:rsidR="00C01784" w:rsidRPr="003A11C1">
        <w:t xml:space="preserve">Detta bör riksdagen som sin mening ge regeringen till känna. </w:t>
      </w:r>
    </w:p>
    <w:p w:rsidR="009375D3" w:rsidRPr="003A11C1" w:rsidRDefault="009375D3" w:rsidP="00D776D1">
      <w:pPr>
        <w:pStyle w:val="Rubrik1"/>
      </w:pPr>
      <w:r w:rsidRPr="003A11C1">
        <w:t>Reformeringen av lagarna måste fortsätta</w:t>
      </w:r>
    </w:p>
    <w:p w:rsidR="009375D3" w:rsidRPr="003A11C1" w:rsidRDefault="009375D3" w:rsidP="00D776D1">
      <w:r w:rsidRPr="003A11C1">
        <w:t xml:space="preserve">Även om steg </w:t>
      </w:r>
      <w:r w:rsidR="00C01784" w:rsidRPr="003A11C1">
        <w:t>tagits</w:t>
      </w:r>
      <w:r w:rsidRPr="003A11C1">
        <w:t xml:space="preserve"> när det gäller att skapa mer demokratiska lagar återstår det fortfarande åtskilligt att göra bl.a. när det gäller yttrandefriheten. Den 17 oktober åtalades advokaten Medeni Ayhan för att </w:t>
      </w:r>
      <w:r w:rsidR="00C01784" w:rsidRPr="003A11C1">
        <w:t xml:space="preserve">ha </w:t>
      </w:r>
      <w:r w:rsidRPr="003A11C1">
        <w:t>uttalat sig om folkmo</w:t>
      </w:r>
      <w:r w:rsidRPr="003A11C1">
        <w:t>r</w:t>
      </w:r>
      <w:r w:rsidRPr="003A11C1">
        <w:t>det på armenier, ass</w:t>
      </w:r>
      <w:r w:rsidR="006E302D" w:rsidRPr="003A11C1">
        <w:t>yrier/sy</w:t>
      </w:r>
      <w:r w:rsidRPr="003A11C1">
        <w:t>rian</w:t>
      </w:r>
      <w:r w:rsidR="006236D0" w:rsidRPr="003A11C1">
        <w:t>er och kaldéer i det o</w:t>
      </w:r>
      <w:r w:rsidRPr="003A11C1">
        <w:t>ttomanska riket</w:t>
      </w:r>
      <w:r w:rsidR="00C01784" w:rsidRPr="003A11C1">
        <w:t>. Han förklarade följande</w:t>
      </w:r>
      <w:r w:rsidRPr="003A11C1">
        <w:t>: ”I det ottomanska riket har Ittihat Terraki (det styrande ungturkiska partiet) tillsammans med Hamididiyeregementena (kurdisk milis) mördat en och en halv miljon armenier och assyrier-kaldér-syrianer. Jag delar dessa folks sorg och bugar mig med respekt till minne för dessa vackra folk.” Ayhan</w:t>
      </w:r>
      <w:r w:rsidR="00C01784" w:rsidRPr="003A11C1">
        <w:t xml:space="preserve"> </w:t>
      </w:r>
      <w:r w:rsidRPr="003A11C1">
        <w:t xml:space="preserve">åtalas </w:t>
      </w:r>
      <w:r w:rsidR="00C01784" w:rsidRPr="003A11C1">
        <w:t xml:space="preserve">enligt </w:t>
      </w:r>
      <w:r w:rsidRPr="003A11C1">
        <w:t>§</w:t>
      </w:r>
      <w:r w:rsidR="00C01784" w:rsidRPr="003A11C1">
        <w:t> </w:t>
      </w:r>
      <w:r w:rsidRPr="003A11C1">
        <w:t xml:space="preserve">305 i den turkiska strafflagen. Han riskerar upp till tre års fängelse. </w:t>
      </w:r>
      <w:r w:rsidR="000A5CBF" w:rsidRPr="003A11C1">
        <w:t xml:space="preserve">Samma sak har drabbat författaren Orhan Pamuk, vars senaste bok också handlar om folkmordet på armenierna 1915. </w:t>
      </w:r>
      <w:r w:rsidRPr="003A11C1">
        <w:t>Det torde vara uppe</w:t>
      </w:r>
      <w:r w:rsidRPr="003A11C1">
        <w:t>n</w:t>
      </w:r>
      <w:r w:rsidRPr="003A11C1">
        <w:t>bart att den lagparagraf enligt vilken Ayhan döms strider mot yttranderätten. Det torde vara självklart att medborgarna i en stat fritt skall kunna diskutera och ge uttryck för de synpunkter de har på statens historia och förhistoria. När det gäller statsbildningen Turkiet handlar det till största delen om dess förh</w:t>
      </w:r>
      <w:r w:rsidRPr="003A11C1">
        <w:t>i</w:t>
      </w:r>
      <w:r w:rsidRPr="003A11C1">
        <w:t xml:space="preserve">storia, om det </w:t>
      </w:r>
      <w:r w:rsidR="001E5C09" w:rsidRPr="003A11C1">
        <w:t>o</w:t>
      </w:r>
      <w:r w:rsidRPr="003A11C1">
        <w:t>ttomanska riket och den politik som dess regering bedrev.</w:t>
      </w:r>
    </w:p>
    <w:p w:rsidR="001E5C09" w:rsidRPr="003A11C1" w:rsidRDefault="009375D3" w:rsidP="001E5C09">
      <w:pPr>
        <w:pStyle w:val="Normaltindrag"/>
      </w:pPr>
      <w:r w:rsidRPr="003A11C1">
        <w:t>Sverige bör i E</w:t>
      </w:r>
      <w:r w:rsidR="000A5CBF" w:rsidRPr="003A11C1">
        <w:t xml:space="preserve">U verka för att det i </w:t>
      </w:r>
      <w:r w:rsidRPr="003A11C1">
        <w:t>Turkiet</w:t>
      </w:r>
      <w:r w:rsidR="000A5CBF" w:rsidRPr="003A11C1">
        <w:t xml:space="preserve"> skall råda full yttrande- och tryckfrihet om Turkiets skall beviljas inträde EU.</w:t>
      </w:r>
      <w:r w:rsidR="00A31C28" w:rsidRPr="003A11C1">
        <w:t xml:space="preserve"> </w:t>
      </w:r>
      <w:r w:rsidR="001E5C09" w:rsidRPr="003A11C1">
        <w:t xml:space="preserve">Detta bör riksdagen som sin mening ge regeringen till känna. </w:t>
      </w:r>
    </w:p>
    <w:p w:rsidR="009375D3" w:rsidRPr="003A11C1" w:rsidRDefault="009375D3" w:rsidP="001E5C09">
      <w:pPr>
        <w:pStyle w:val="Normaltindrag"/>
      </w:pPr>
      <w:r w:rsidRPr="003A11C1">
        <w:t>Sverige bör i EU verka för att Turkiets historia och förhistoria fritt skall kunna diskuteras.</w:t>
      </w:r>
    </w:p>
    <w:p w:rsidR="002E3F79" w:rsidRPr="003A11C1" w:rsidRDefault="007E5664" w:rsidP="002E3F79">
      <w:pPr>
        <w:pStyle w:val="Normaltindrag"/>
      </w:pPr>
      <w:r w:rsidRPr="003A11C1">
        <w:t xml:space="preserve">Sverige bör inom EU verka för att </w:t>
      </w:r>
      <w:r w:rsidR="001E5C09" w:rsidRPr="003A11C1">
        <w:t xml:space="preserve">de </w:t>
      </w:r>
      <w:r w:rsidRPr="003A11C1">
        <w:t>ottomanska arkiven som rör fol</w:t>
      </w:r>
      <w:r w:rsidRPr="003A11C1">
        <w:t>k</w:t>
      </w:r>
      <w:r w:rsidRPr="003A11C1">
        <w:t>mordet på armenierna skall öppnas och bli föremål för oberoende internati</w:t>
      </w:r>
      <w:r w:rsidRPr="003A11C1">
        <w:t>o</w:t>
      </w:r>
      <w:r w:rsidRPr="003A11C1">
        <w:t>nell forskning.</w:t>
      </w:r>
      <w:r w:rsidR="00A31C28" w:rsidRPr="003A11C1">
        <w:t xml:space="preserve"> </w:t>
      </w:r>
      <w:r w:rsidR="002E3F79" w:rsidRPr="003A11C1">
        <w:t xml:space="preserve">Detta bör riksdagen som sin mening ge regeringen till känna. </w:t>
      </w:r>
    </w:p>
    <w:p w:rsidR="009375D3" w:rsidRPr="003A11C1" w:rsidRDefault="009375D3" w:rsidP="00D776D1">
      <w:pPr>
        <w:pStyle w:val="Rubrik1"/>
      </w:pPr>
      <w:r w:rsidRPr="003A11C1">
        <w:t>Från ord till handling</w:t>
      </w:r>
    </w:p>
    <w:p w:rsidR="009375D3" w:rsidRPr="003A11C1" w:rsidRDefault="009375D3" w:rsidP="00373AC7">
      <w:r w:rsidRPr="003A11C1">
        <w:t>Ett erkännande av minoriteternas existens i Turkiet och förändringar i la</w:t>
      </w:r>
      <w:r w:rsidRPr="003A11C1">
        <w:t>g</w:t>
      </w:r>
      <w:r w:rsidRPr="003A11C1">
        <w:t xml:space="preserve">stiftningen är betydelsefulla förändringar. Hittills handlar förändringarna endast om offentligt uttalade erkännanden och </w:t>
      </w:r>
      <w:r w:rsidR="00373AC7" w:rsidRPr="003A11C1">
        <w:t xml:space="preserve">om </w:t>
      </w:r>
      <w:r w:rsidRPr="003A11C1">
        <w:t>på papper avfattade lagte</w:t>
      </w:r>
      <w:r w:rsidRPr="003A11C1">
        <w:t>x</w:t>
      </w:r>
      <w:r w:rsidRPr="003A11C1">
        <w:t>ter. Det viktiga är att förmå myndigheterna att följa dessa nya lagtexter i pra</w:t>
      </w:r>
      <w:r w:rsidRPr="003A11C1">
        <w:t>k</w:t>
      </w:r>
      <w:r w:rsidRPr="003A11C1">
        <w:t>tiken. Stiftandet av lagar är en sak, implementeringen en annan.</w:t>
      </w:r>
      <w:r w:rsidR="00373AC7" w:rsidRPr="003A11C1">
        <w:t xml:space="preserve"> </w:t>
      </w:r>
      <w:r w:rsidRPr="003A11C1">
        <w:t xml:space="preserve">Och det </w:t>
      </w:r>
      <w:r w:rsidR="00373AC7" w:rsidRPr="003A11C1">
        <w:t xml:space="preserve">är </w:t>
      </w:r>
      <w:r w:rsidRPr="003A11C1">
        <w:t xml:space="preserve">här det stora och svåra arbetet börjar för Turkiet i sin strävan efter ett fullt medlemskap i Europeiska </w:t>
      </w:r>
      <w:r w:rsidR="00A2748C" w:rsidRPr="003A11C1">
        <w:t>u</w:t>
      </w:r>
      <w:r w:rsidRPr="003A11C1">
        <w:t>nionen.</w:t>
      </w:r>
    </w:p>
    <w:p w:rsidR="002E3F79" w:rsidRPr="003A11C1" w:rsidRDefault="009375D3" w:rsidP="00A2748C">
      <w:pPr>
        <w:pStyle w:val="Normaltindrag"/>
      </w:pPr>
      <w:r w:rsidRPr="003A11C1">
        <w:t xml:space="preserve">För att Turkiet skall beviljas medlemskap i EU måste landets myndigheter </w:t>
      </w:r>
      <w:r w:rsidR="006E302D" w:rsidRPr="003A11C1">
        <w:t>ha implementerat</w:t>
      </w:r>
      <w:r w:rsidRPr="003A11C1">
        <w:t xml:space="preserve"> de reformer som man lagstiftat om.</w:t>
      </w:r>
      <w:r w:rsidR="00A31C28" w:rsidRPr="003A11C1">
        <w:t xml:space="preserve"> </w:t>
      </w:r>
      <w:r w:rsidR="002E3F79" w:rsidRPr="003A11C1">
        <w:t xml:space="preserve">Detta bör riksdagen som sin mening ge regeringen till känna. </w:t>
      </w:r>
    </w:p>
    <w:p w:rsidR="00A63BD5" w:rsidRPr="003A11C1" w:rsidRDefault="009375D3" w:rsidP="00D776D1">
      <w:pPr>
        <w:pStyle w:val="Normaltindrag"/>
      </w:pPr>
      <w:r w:rsidRPr="003A11C1">
        <w:t>Vid Second International Conference of the EU Turkey Civic Commission (EUTCC) den 19</w:t>
      </w:r>
      <w:r w:rsidR="00373AC7" w:rsidRPr="003A11C1">
        <w:t>–</w:t>
      </w:r>
      <w:r w:rsidRPr="003A11C1">
        <w:t xml:space="preserve">20 september </w:t>
      </w:r>
      <w:r w:rsidR="006E302D" w:rsidRPr="003A11C1">
        <w:t xml:space="preserve">2005 </w:t>
      </w:r>
      <w:r w:rsidRPr="003A11C1">
        <w:t>antogs en resolution där man just fö</w:t>
      </w:r>
      <w:r w:rsidRPr="003A11C1">
        <w:t>r</w:t>
      </w:r>
      <w:r w:rsidRPr="003A11C1">
        <w:t>klarade att ”konferensen erkände den turkiska regeringens reformeringsfra</w:t>
      </w:r>
      <w:r w:rsidRPr="003A11C1">
        <w:t>m</w:t>
      </w:r>
      <w:r w:rsidRPr="003A11C1">
        <w:t xml:space="preserve">steg, men uttryckte sin oro över bristen på implementering och utveckling när det gällde mänskliga rättigheter sedan den 17 december 2004. Konferensen uppmanar regeringen att gå vidare i sin reformprocess inför inledningen av anslutningsförhandlingarna och till fullo implementera de reformer av </w:t>
      </w:r>
      <w:r w:rsidR="007E5664" w:rsidRPr="003A11C1">
        <w:t>lagarna som hittills antagits.”</w:t>
      </w:r>
    </w:p>
    <w:p w:rsidR="00A63BD5" w:rsidRPr="003A11C1" w:rsidRDefault="00A63BD5" w:rsidP="00A2748C">
      <w:pPr>
        <w:pStyle w:val="Normaltindrag"/>
      </w:pPr>
      <w:r w:rsidRPr="003A11C1">
        <w:t>Av den statistik som den stora och respekterade människorättsorganisati</w:t>
      </w:r>
      <w:r w:rsidRPr="003A11C1">
        <w:t>o</w:t>
      </w:r>
      <w:r w:rsidRPr="003A11C1">
        <w:t>nen i Turkiet, Human Rights Foundation of Turkey (HRFT)</w:t>
      </w:r>
      <w:r w:rsidR="00373AC7" w:rsidRPr="003A11C1">
        <w:t>,</w:t>
      </w:r>
      <w:r w:rsidRPr="003A11C1">
        <w:t xml:space="preserve"> </w:t>
      </w:r>
      <w:r w:rsidR="00373AC7" w:rsidRPr="003A11C1">
        <w:t>presenterat</w:t>
      </w:r>
      <w:r w:rsidRPr="003A11C1">
        <w:t xml:space="preserve"> g</w:t>
      </w:r>
      <w:r w:rsidRPr="003A11C1">
        <w:t>e</w:t>
      </w:r>
      <w:r w:rsidRPr="003A11C1">
        <w:t>nom åren framgår följande när</w:t>
      </w:r>
      <w:r w:rsidR="00373AC7" w:rsidRPr="003A11C1">
        <w:t xml:space="preserve"> det gäller antalet tortyroffer</w:t>
      </w:r>
      <w:r w:rsidR="00A2748C" w:rsidRPr="003A11C1">
        <w:t>:</w:t>
      </w:r>
    </w:p>
    <w:tbl>
      <w:tblPr>
        <w:tblStyle w:val="Tabellrutn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6"/>
        <w:gridCol w:w="851"/>
        <w:gridCol w:w="851"/>
        <w:gridCol w:w="851"/>
        <w:gridCol w:w="851"/>
      </w:tblGrid>
      <w:tr w:rsidR="00A2748C" w:rsidRPr="003A11C1">
        <w:tc>
          <w:tcPr>
            <w:tcW w:w="616" w:type="dxa"/>
          </w:tcPr>
          <w:p w:rsidR="00A2748C" w:rsidRPr="003A11C1" w:rsidRDefault="00A2748C" w:rsidP="00A2748C">
            <w:pPr>
              <w:pStyle w:val="Normaltindrag"/>
              <w:spacing w:before="240" w:line="240" w:lineRule="auto"/>
              <w:ind w:firstLine="0"/>
              <w:jc w:val="right"/>
              <w:rPr>
                <w:sz w:val="16"/>
              </w:rPr>
            </w:pPr>
            <w:r w:rsidRPr="003A11C1">
              <w:rPr>
                <w:sz w:val="16"/>
              </w:rPr>
              <w:t>1999</w:t>
            </w:r>
          </w:p>
        </w:tc>
        <w:tc>
          <w:tcPr>
            <w:tcW w:w="851" w:type="dxa"/>
          </w:tcPr>
          <w:p w:rsidR="00A2748C" w:rsidRPr="003A11C1" w:rsidRDefault="00A2748C" w:rsidP="00A2748C">
            <w:pPr>
              <w:pStyle w:val="Normaltindrag"/>
              <w:spacing w:before="240" w:line="240" w:lineRule="auto"/>
              <w:ind w:firstLine="0"/>
              <w:jc w:val="right"/>
              <w:rPr>
                <w:sz w:val="16"/>
              </w:rPr>
            </w:pPr>
            <w:r w:rsidRPr="003A11C1">
              <w:rPr>
                <w:sz w:val="16"/>
              </w:rPr>
              <w:t>2000</w:t>
            </w:r>
          </w:p>
        </w:tc>
        <w:tc>
          <w:tcPr>
            <w:tcW w:w="851" w:type="dxa"/>
          </w:tcPr>
          <w:p w:rsidR="00A2748C" w:rsidRPr="003A11C1" w:rsidRDefault="00A2748C" w:rsidP="00A2748C">
            <w:pPr>
              <w:pStyle w:val="Normaltindrag"/>
              <w:spacing w:before="240" w:line="240" w:lineRule="auto"/>
              <w:ind w:firstLine="0"/>
              <w:jc w:val="right"/>
              <w:rPr>
                <w:sz w:val="16"/>
              </w:rPr>
            </w:pPr>
            <w:r w:rsidRPr="003A11C1">
              <w:rPr>
                <w:sz w:val="16"/>
              </w:rPr>
              <w:t>2001</w:t>
            </w:r>
          </w:p>
        </w:tc>
        <w:tc>
          <w:tcPr>
            <w:tcW w:w="851" w:type="dxa"/>
          </w:tcPr>
          <w:p w:rsidR="00A2748C" w:rsidRPr="003A11C1" w:rsidRDefault="00A2748C" w:rsidP="00A2748C">
            <w:pPr>
              <w:pStyle w:val="Normaltindrag"/>
              <w:spacing w:before="240" w:line="240" w:lineRule="auto"/>
              <w:ind w:firstLine="0"/>
              <w:jc w:val="right"/>
              <w:rPr>
                <w:sz w:val="16"/>
              </w:rPr>
            </w:pPr>
            <w:r w:rsidRPr="003A11C1">
              <w:rPr>
                <w:sz w:val="16"/>
              </w:rPr>
              <w:t>2002</w:t>
            </w:r>
          </w:p>
        </w:tc>
        <w:tc>
          <w:tcPr>
            <w:tcW w:w="851" w:type="dxa"/>
          </w:tcPr>
          <w:p w:rsidR="00A2748C" w:rsidRPr="003A11C1" w:rsidRDefault="00A2748C" w:rsidP="00A2748C">
            <w:pPr>
              <w:pStyle w:val="Normaltindrag"/>
              <w:spacing w:before="240" w:line="240" w:lineRule="auto"/>
              <w:ind w:firstLine="0"/>
              <w:jc w:val="right"/>
              <w:rPr>
                <w:sz w:val="16"/>
              </w:rPr>
            </w:pPr>
            <w:r w:rsidRPr="003A11C1">
              <w:rPr>
                <w:sz w:val="16"/>
              </w:rPr>
              <w:t>2003</w:t>
            </w:r>
          </w:p>
        </w:tc>
      </w:tr>
      <w:tr w:rsidR="00A2748C" w:rsidRPr="003A11C1">
        <w:tc>
          <w:tcPr>
            <w:tcW w:w="616" w:type="dxa"/>
          </w:tcPr>
          <w:p w:rsidR="00A2748C" w:rsidRPr="003A11C1" w:rsidRDefault="00A2748C" w:rsidP="00A2748C">
            <w:pPr>
              <w:pStyle w:val="Normaltindrag"/>
              <w:spacing w:before="120" w:line="240" w:lineRule="auto"/>
              <w:ind w:firstLine="0"/>
              <w:jc w:val="right"/>
              <w:rPr>
                <w:sz w:val="16"/>
              </w:rPr>
            </w:pPr>
            <w:r w:rsidRPr="003A11C1">
              <w:rPr>
                <w:sz w:val="16"/>
              </w:rPr>
              <w:t>357</w:t>
            </w:r>
          </w:p>
        </w:tc>
        <w:tc>
          <w:tcPr>
            <w:tcW w:w="851" w:type="dxa"/>
          </w:tcPr>
          <w:p w:rsidR="00A2748C" w:rsidRPr="003A11C1" w:rsidRDefault="00A2748C" w:rsidP="00A2748C">
            <w:pPr>
              <w:pStyle w:val="Normaltindrag"/>
              <w:spacing w:before="120" w:line="240" w:lineRule="auto"/>
              <w:ind w:firstLine="0"/>
              <w:jc w:val="right"/>
              <w:rPr>
                <w:sz w:val="16"/>
              </w:rPr>
            </w:pPr>
            <w:r w:rsidRPr="003A11C1">
              <w:rPr>
                <w:sz w:val="16"/>
              </w:rPr>
              <w:t>540</w:t>
            </w:r>
          </w:p>
        </w:tc>
        <w:tc>
          <w:tcPr>
            <w:tcW w:w="851" w:type="dxa"/>
          </w:tcPr>
          <w:p w:rsidR="00A2748C" w:rsidRPr="003A11C1" w:rsidRDefault="00A2748C" w:rsidP="00A2748C">
            <w:pPr>
              <w:pStyle w:val="Normaltindrag"/>
              <w:spacing w:before="120" w:line="240" w:lineRule="auto"/>
              <w:ind w:firstLine="0"/>
              <w:jc w:val="right"/>
              <w:rPr>
                <w:sz w:val="16"/>
              </w:rPr>
            </w:pPr>
            <w:r w:rsidRPr="003A11C1">
              <w:rPr>
                <w:sz w:val="16"/>
              </w:rPr>
              <w:t>382</w:t>
            </w:r>
          </w:p>
        </w:tc>
        <w:tc>
          <w:tcPr>
            <w:tcW w:w="851" w:type="dxa"/>
          </w:tcPr>
          <w:p w:rsidR="00A2748C" w:rsidRPr="003A11C1" w:rsidRDefault="00A2748C" w:rsidP="00A2748C">
            <w:pPr>
              <w:pStyle w:val="Normaltindrag"/>
              <w:spacing w:before="120" w:line="240" w:lineRule="auto"/>
              <w:ind w:firstLine="0"/>
              <w:jc w:val="right"/>
              <w:rPr>
                <w:sz w:val="16"/>
              </w:rPr>
            </w:pPr>
            <w:r w:rsidRPr="003A11C1">
              <w:rPr>
                <w:sz w:val="16"/>
              </w:rPr>
              <w:t>365</w:t>
            </w:r>
          </w:p>
        </w:tc>
        <w:tc>
          <w:tcPr>
            <w:tcW w:w="851" w:type="dxa"/>
          </w:tcPr>
          <w:p w:rsidR="00A2748C" w:rsidRPr="003A11C1" w:rsidRDefault="00A2748C" w:rsidP="00A2748C">
            <w:pPr>
              <w:pStyle w:val="Normaltindrag"/>
              <w:spacing w:before="120" w:line="240" w:lineRule="auto"/>
              <w:ind w:firstLine="0"/>
              <w:jc w:val="right"/>
              <w:rPr>
                <w:sz w:val="16"/>
              </w:rPr>
            </w:pPr>
            <w:r w:rsidRPr="003A11C1">
              <w:rPr>
                <w:sz w:val="16"/>
              </w:rPr>
              <w:t>340</w:t>
            </w:r>
          </w:p>
        </w:tc>
      </w:tr>
    </w:tbl>
    <w:p w:rsidR="00A63BD5" w:rsidRPr="003A11C1" w:rsidRDefault="00A63BD5" w:rsidP="00A2748C">
      <w:pPr>
        <w:spacing w:before="250"/>
      </w:pPr>
      <w:r w:rsidRPr="003A11C1">
        <w:t xml:space="preserve">Human Rights Watch (HRW) hänvisar i en rapport till HRFT när det gäller antalet tortyroffer för 2004. </w:t>
      </w:r>
      <w:r w:rsidR="002D7A43" w:rsidRPr="003A11C1">
        <w:t>HRW skriver att ”den t</w:t>
      </w:r>
      <w:r w:rsidRPr="003A11C1">
        <w:t>urkiska organisationen Human Rights Association</w:t>
      </w:r>
      <w:r w:rsidR="002D7A43" w:rsidRPr="003A11C1">
        <w:t xml:space="preserve"> (HRAT)</w:t>
      </w:r>
      <w:r w:rsidRPr="003A11C1">
        <w:t xml:space="preserve"> rapporterade</w:t>
      </w:r>
      <w:r w:rsidR="002D7A43" w:rsidRPr="003A11C1">
        <w:t xml:space="preserve"> 692 tortyrincidenter och fall av dålig behandling hos polisen under årets första sex månader. Under de första åtta månaderna hade HRFT fått in 597 fall för medicinsk behandling förorsakad av såväl tortyr, dålig behandling som sjukdom förorsakad av fö</w:t>
      </w:r>
      <w:r w:rsidR="002D7A43" w:rsidRPr="003A11C1">
        <w:t>r</w:t>
      </w:r>
      <w:r w:rsidR="002D7A43" w:rsidRPr="003A11C1">
        <w:t>hållandena fängelserna.”</w:t>
      </w:r>
    </w:p>
    <w:p w:rsidR="00A63BD5" w:rsidRPr="003A11C1" w:rsidRDefault="002D7A43" w:rsidP="00D776D1">
      <w:pPr>
        <w:pStyle w:val="Normaltindrag"/>
      </w:pPr>
      <w:r w:rsidRPr="003A11C1">
        <w:t>Någon genomgripande förändring har alltså inte inträffat. Siffrorna talar ett helt annat språk än lagtexter och förordningar.</w:t>
      </w:r>
    </w:p>
    <w:p w:rsidR="002E3F79" w:rsidRPr="003A11C1" w:rsidRDefault="002D7A43" w:rsidP="00192B17">
      <w:pPr>
        <w:pStyle w:val="Normaltindrag"/>
      </w:pPr>
      <w:r w:rsidRPr="003A11C1">
        <w:t>För Sveriges del måste</w:t>
      </w:r>
      <w:r w:rsidR="00A63BD5" w:rsidRPr="003A11C1">
        <w:t xml:space="preserve"> frågan om de mänskliga rättigheterna vara helt ce</w:t>
      </w:r>
      <w:r w:rsidR="00A63BD5" w:rsidRPr="003A11C1">
        <w:t>n</w:t>
      </w:r>
      <w:r w:rsidR="00A63BD5" w:rsidRPr="003A11C1">
        <w:t>tral när det gäller startpunkten och innehåll</w:t>
      </w:r>
      <w:r w:rsidR="00A2748C" w:rsidRPr="003A11C1">
        <w:t>et</w:t>
      </w:r>
      <w:r w:rsidR="00A63BD5" w:rsidRPr="003A11C1">
        <w:t xml:space="preserve"> för Turkiets medlemskapsfö</w:t>
      </w:r>
      <w:r w:rsidR="00A63BD5" w:rsidRPr="003A11C1">
        <w:t>r</w:t>
      </w:r>
      <w:r w:rsidR="00A63BD5" w:rsidRPr="003A11C1">
        <w:t>handlingar med EU.</w:t>
      </w:r>
      <w:r w:rsidR="00192B17" w:rsidRPr="003A11C1">
        <w:t xml:space="preserve"> </w:t>
      </w:r>
      <w:r w:rsidRPr="003A11C1">
        <w:t>EU</w:t>
      </w:r>
      <w:r w:rsidR="00A2748C" w:rsidRPr="003A11C1">
        <w:t>-medlem</w:t>
      </w:r>
      <w:r w:rsidR="00192B17" w:rsidRPr="003A11C1">
        <w:t>skap</w:t>
      </w:r>
      <w:r w:rsidRPr="003A11C1">
        <w:t xml:space="preserve"> </w:t>
      </w:r>
      <w:r w:rsidR="00192B17" w:rsidRPr="003A11C1">
        <w:t>för</w:t>
      </w:r>
      <w:r w:rsidRPr="003A11C1">
        <w:t xml:space="preserve"> Turkiet bör därför inte komma i</w:t>
      </w:r>
      <w:r w:rsidR="00A2748C" w:rsidRPr="003A11C1">
        <w:t xml:space="preserve"> </w:t>
      </w:r>
      <w:r w:rsidRPr="003A11C1">
        <w:t xml:space="preserve">fråga förrän Turkiet </w:t>
      </w:r>
      <w:r w:rsidR="00192B17" w:rsidRPr="003A11C1">
        <w:t>lever upp till vad som stadgas i FN:s deklaration om mänskliga rättigheter.</w:t>
      </w:r>
      <w:r w:rsidR="006E302D" w:rsidRPr="003A11C1">
        <w:t xml:space="preserve"> </w:t>
      </w:r>
      <w:r w:rsidR="002E3F79" w:rsidRPr="003A11C1">
        <w:t xml:space="preserve">Detta bör riksdagen som sin mening ge regeringen till känna. </w:t>
      </w:r>
    </w:p>
    <w:p w:rsidR="009375D3" w:rsidRPr="003A11C1" w:rsidRDefault="00A63BD5" w:rsidP="00D776D1">
      <w:pPr>
        <w:pStyle w:val="Normaltindrag"/>
      </w:pPr>
      <w:r w:rsidRPr="003A11C1">
        <w:t xml:space="preserve">Second International Conference of the EU Turkey Civic Commission </w:t>
      </w:r>
      <w:r w:rsidR="002E3F79" w:rsidRPr="003A11C1">
        <w:t>a</w:t>
      </w:r>
      <w:r w:rsidR="002E3F79" w:rsidRPr="003A11C1">
        <w:t>n</w:t>
      </w:r>
      <w:r w:rsidR="002E3F79" w:rsidRPr="003A11C1">
        <w:t xml:space="preserve">såg </w:t>
      </w:r>
      <w:r w:rsidR="009375D3" w:rsidRPr="003A11C1">
        <w:t>den eskalerande militära konflikten i sydöstra Turkiet alarmerande och vissa statliga institutioners oförmåga att f</w:t>
      </w:r>
      <w:r w:rsidR="002E3F79" w:rsidRPr="003A11C1">
        <w:t>ölja vad Europakonventionen om m</w:t>
      </w:r>
      <w:r w:rsidR="006E302D" w:rsidRPr="003A11C1">
        <w:t>ä</w:t>
      </w:r>
      <w:r w:rsidR="002E3F79" w:rsidRPr="003A11C1">
        <w:t>nskliga rä</w:t>
      </w:r>
      <w:r w:rsidR="009375D3" w:rsidRPr="003A11C1">
        <w:t>t</w:t>
      </w:r>
      <w:r w:rsidR="002E3F79" w:rsidRPr="003A11C1">
        <w:t>t</w:t>
      </w:r>
      <w:r w:rsidR="009375D3" w:rsidRPr="003A11C1">
        <w:t>igheter stadgar och vad som är andemeningen i regeringens reformpaket.</w:t>
      </w:r>
    </w:p>
    <w:p w:rsidR="009375D3" w:rsidRPr="003A11C1" w:rsidRDefault="009375D3" w:rsidP="002E3F79">
      <w:pPr>
        <w:pStyle w:val="Normaltindrag"/>
      </w:pPr>
      <w:r w:rsidRPr="003A11C1">
        <w:t xml:space="preserve">De förklarar också att ”Turkiet inte har uppfyllt de politiska elementen i Köpenhamnskriterierna”. </w:t>
      </w:r>
      <w:r w:rsidR="00320A30" w:rsidRPr="003A11C1">
        <w:t>De</w:t>
      </w:r>
      <w:r w:rsidRPr="003A11C1">
        <w:t xml:space="preserve"> upprepar att ett stöd till Turkiets EU-anslutning måste vara grundat på EU-institutionernas tydliga fasthållande vid de stadganden som gäller för medlemskap. ”Det får inte förekomma några ko</w:t>
      </w:r>
      <w:r w:rsidRPr="003A11C1">
        <w:t>m</w:t>
      </w:r>
      <w:r w:rsidRPr="003A11C1">
        <w:t xml:space="preserve">promisser när det gäller medlemskapskriterierna liknande det EU-beslut som tillät </w:t>
      </w:r>
      <w:r w:rsidR="00320A30" w:rsidRPr="003A11C1">
        <w:t xml:space="preserve">att </w:t>
      </w:r>
      <w:r w:rsidRPr="003A11C1">
        <w:t>Turkiet fick tillträde till förhandlingsbordet för att man ’i tillräcklig grad’ (sufficiently) uppfyllt Köpenhamnskriterierna.</w:t>
      </w:r>
      <w:r w:rsidR="00320A30" w:rsidRPr="003A11C1">
        <w:t>”</w:t>
      </w:r>
    </w:p>
    <w:p w:rsidR="00320A30" w:rsidRPr="003A11C1" w:rsidRDefault="009375D3" w:rsidP="00320A30">
      <w:pPr>
        <w:pStyle w:val="Normaltindrag"/>
      </w:pPr>
      <w:r w:rsidRPr="003A11C1">
        <w:t xml:space="preserve">Vi instämmer i denna hållning och menar </w:t>
      </w:r>
      <w:r w:rsidR="00320A30" w:rsidRPr="003A11C1">
        <w:t xml:space="preserve">att </w:t>
      </w:r>
      <w:r w:rsidRPr="003A11C1">
        <w:t>det sätt på vilket Turkiet e</w:t>
      </w:r>
      <w:r w:rsidRPr="003A11C1">
        <w:t>r</w:t>
      </w:r>
      <w:r w:rsidRPr="003A11C1">
        <w:t>höll status som kandidatland till EU under inga omständigheter får upprepas. Om Turkiet skall bli</w:t>
      </w:r>
      <w:r w:rsidR="007A6F6E" w:rsidRPr="003A11C1">
        <w:t xml:space="preserve"> medlem i EU måste det inträffa</w:t>
      </w:r>
      <w:r w:rsidRPr="003A11C1">
        <w:t xml:space="preserve"> en genomgripande fö</w:t>
      </w:r>
      <w:r w:rsidRPr="003A11C1">
        <w:t>r</w:t>
      </w:r>
      <w:r w:rsidRPr="003A11C1">
        <w:t>ändring när det gäller demokratiska och mänskliga rättigheter i Turkiet.</w:t>
      </w:r>
      <w:r w:rsidR="006E302D" w:rsidRPr="003A11C1">
        <w:t xml:space="preserve"> </w:t>
      </w:r>
      <w:r w:rsidR="00320A30" w:rsidRPr="003A11C1">
        <w:t xml:space="preserve">Detta bör riksdagen som sin mening ge regeringen till känna. </w:t>
      </w:r>
    </w:p>
    <w:p w:rsidR="00C57C0D" w:rsidRPr="003A11C1" w:rsidRDefault="00C57C0D" w:rsidP="00D776D1">
      <w:pPr>
        <w:pStyle w:val="Rubrik1"/>
      </w:pPr>
      <w:r w:rsidRPr="003A11C1">
        <w:t>Blockaden mot Armenien måste hävas</w:t>
      </w:r>
    </w:p>
    <w:p w:rsidR="00D6260D" w:rsidRPr="003A11C1" w:rsidRDefault="00C57C0D" w:rsidP="00D776D1">
      <w:pPr>
        <w:pStyle w:val="Normaltindrag"/>
        <w:ind w:firstLine="0"/>
        <w:rPr>
          <w:color w:val="000000"/>
          <w:szCs w:val="24"/>
        </w:rPr>
      </w:pPr>
      <w:r w:rsidRPr="003A11C1">
        <w:rPr>
          <w:color w:val="000000"/>
          <w:szCs w:val="24"/>
        </w:rPr>
        <w:t>Armenien blev efter Sovjetunionens sammanbrott en självständig stat, men förblev medlem av OS</w:t>
      </w:r>
      <w:r w:rsidR="00D6260D" w:rsidRPr="003A11C1">
        <w:rPr>
          <w:color w:val="000000"/>
          <w:szCs w:val="24"/>
        </w:rPr>
        <w:t xml:space="preserve">S (Oberoende Staters Samvälde). </w:t>
      </w:r>
      <w:r w:rsidRPr="003A11C1">
        <w:rPr>
          <w:color w:val="000000"/>
          <w:szCs w:val="24"/>
        </w:rPr>
        <w:t xml:space="preserve">Landets territorium var dock inte helt sammanhängande. Enklaven Nagorno-Karabach, belägen i </w:t>
      </w:r>
      <w:r w:rsidR="00320A30" w:rsidRPr="003A11C1">
        <w:rPr>
          <w:color w:val="000000"/>
          <w:szCs w:val="24"/>
        </w:rPr>
        <w:t>Azerbajdzjan</w:t>
      </w:r>
      <w:r w:rsidRPr="003A11C1">
        <w:rPr>
          <w:color w:val="000000"/>
          <w:szCs w:val="24"/>
        </w:rPr>
        <w:t>, var territoriellt avskild från övriga Armenien, men den öve</w:t>
      </w:r>
      <w:r w:rsidRPr="003A11C1">
        <w:rPr>
          <w:color w:val="000000"/>
          <w:szCs w:val="24"/>
        </w:rPr>
        <w:t>r</w:t>
      </w:r>
      <w:r w:rsidRPr="003A11C1">
        <w:rPr>
          <w:color w:val="000000"/>
          <w:szCs w:val="24"/>
        </w:rPr>
        <w:t>väldigande majoriteten av befolkningen var armenier. Det uppstod en konflikt om till vilken stat Na</w:t>
      </w:r>
      <w:r w:rsidR="00D6260D" w:rsidRPr="003A11C1">
        <w:rPr>
          <w:color w:val="000000"/>
          <w:szCs w:val="24"/>
        </w:rPr>
        <w:t>gorono-Karabach skulle tillhöra</w:t>
      </w:r>
      <w:r w:rsidR="00320A30" w:rsidRPr="003A11C1">
        <w:rPr>
          <w:color w:val="000000"/>
          <w:szCs w:val="24"/>
        </w:rPr>
        <w:t xml:space="preserve"> </w:t>
      </w:r>
      <w:r w:rsidRPr="003A11C1">
        <w:rPr>
          <w:color w:val="000000"/>
          <w:szCs w:val="24"/>
        </w:rPr>
        <w:t xml:space="preserve"> </w:t>
      </w:r>
      <w:r w:rsidR="00320A30" w:rsidRPr="003A11C1">
        <w:rPr>
          <w:color w:val="000000"/>
          <w:szCs w:val="24"/>
        </w:rPr>
        <w:t xml:space="preserve">– </w:t>
      </w:r>
      <w:r w:rsidRPr="003A11C1">
        <w:rPr>
          <w:color w:val="000000"/>
          <w:szCs w:val="24"/>
        </w:rPr>
        <w:t>Armenien</w:t>
      </w:r>
      <w:r w:rsidR="00D6260D" w:rsidRPr="003A11C1">
        <w:rPr>
          <w:color w:val="000000"/>
          <w:szCs w:val="24"/>
        </w:rPr>
        <w:t xml:space="preserve"> eller </w:t>
      </w:r>
      <w:r w:rsidR="00320A30" w:rsidRPr="003A11C1">
        <w:rPr>
          <w:color w:val="000000"/>
          <w:szCs w:val="24"/>
        </w:rPr>
        <w:t>Aze</w:t>
      </w:r>
      <w:r w:rsidR="00320A30" w:rsidRPr="003A11C1">
        <w:rPr>
          <w:color w:val="000000"/>
          <w:szCs w:val="24"/>
        </w:rPr>
        <w:t>r</w:t>
      </w:r>
      <w:r w:rsidR="00320A30" w:rsidRPr="003A11C1">
        <w:rPr>
          <w:color w:val="000000"/>
          <w:szCs w:val="24"/>
        </w:rPr>
        <w:t>bajdzjan</w:t>
      </w:r>
      <w:r w:rsidR="00D6260D" w:rsidRPr="003A11C1">
        <w:rPr>
          <w:color w:val="000000"/>
          <w:szCs w:val="24"/>
        </w:rPr>
        <w:t>.</w:t>
      </w:r>
      <w:r w:rsidR="00A2748C" w:rsidRPr="003A11C1">
        <w:rPr>
          <w:color w:val="000000"/>
          <w:szCs w:val="24"/>
        </w:rPr>
        <w:t xml:space="preserve"> År </w:t>
      </w:r>
      <w:r w:rsidRPr="003A11C1">
        <w:rPr>
          <w:color w:val="000000"/>
          <w:szCs w:val="24"/>
        </w:rPr>
        <w:t>1993 skärptes konflikten och tog väpnad form. Den utlöstes till följd</w:t>
      </w:r>
      <w:r w:rsidR="00A2748C" w:rsidRPr="003A11C1">
        <w:rPr>
          <w:color w:val="000000"/>
          <w:szCs w:val="24"/>
        </w:rPr>
        <w:t xml:space="preserve"> av</w:t>
      </w:r>
      <w:r w:rsidRPr="003A11C1">
        <w:rPr>
          <w:color w:val="000000"/>
          <w:szCs w:val="24"/>
        </w:rPr>
        <w:t xml:space="preserve"> azeriska pogromer mot armenier. En stor del av de azerer </w:t>
      </w:r>
      <w:r w:rsidR="00320A30" w:rsidRPr="003A11C1">
        <w:rPr>
          <w:color w:val="000000"/>
          <w:szCs w:val="24"/>
        </w:rPr>
        <w:t>som levde i Nagorno-</w:t>
      </w:r>
      <w:r w:rsidRPr="003A11C1">
        <w:rPr>
          <w:color w:val="000000"/>
          <w:szCs w:val="24"/>
        </w:rPr>
        <w:t xml:space="preserve">Karabach flydde till </w:t>
      </w:r>
      <w:r w:rsidR="00320A30" w:rsidRPr="003A11C1">
        <w:rPr>
          <w:color w:val="000000"/>
          <w:szCs w:val="24"/>
        </w:rPr>
        <w:t>Azerbajdzjan</w:t>
      </w:r>
      <w:r w:rsidRPr="003A11C1">
        <w:rPr>
          <w:color w:val="000000"/>
          <w:szCs w:val="24"/>
        </w:rPr>
        <w:t>. Vapenstillestånd slöts 1994.</w:t>
      </w:r>
      <w:r w:rsidR="00D6260D" w:rsidRPr="003A11C1">
        <w:rPr>
          <w:color w:val="000000"/>
          <w:szCs w:val="24"/>
        </w:rPr>
        <w:t xml:space="preserve"> </w:t>
      </w:r>
      <w:r w:rsidRPr="003A11C1">
        <w:rPr>
          <w:color w:val="000000"/>
          <w:szCs w:val="24"/>
        </w:rPr>
        <w:t>Nagorno-Karabach förklarade sig självständigt. Denna statsbildning erkänns dock inte av någon i</w:t>
      </w:r>
      <w:r w:rsidR="00320A30" w:rsidRPr="003A11C1">
        <w:rPr>
          <w:color w:val="000000"/>
          <w:szCs w:val="24"/>
        </w:rPr>
        <w:t xml:space="preserve"> </w:t>
      </w:r>
      <w:r w:rsidRPr="003A11C1">
        <w:rPr>
          <w:color w:val="000000"/>
          <w:szCs w:val="24"/>
        </w:rPr>
        <w:t xml:space="preserve">dag </w:t>
      </w:r>
      <w:r w:rsidR="00320A30" w:rsidRPr="003A11C1">
        <w:rPr>
          <w:color w:val="000000"/>
          <w:szCs w:val="24"/>
        </w:rPr>
        <w:t>–</w:t>
      </w:r>
      <w:r w:rsidRPr="003A11C1">
        <w:rPr>
          <w:color w:val="000000"/>
          <w:szCs w:val="24"/>
        </w:rPr>
        <w:t xml:space="preserve"> inte ens av Armenien. Armenien drogs in i konfli</w:t>
      </w:r>
      <w:r w:rsidRPr="003A11C1">
        <w:rPr>
          <w:color w:val="000000"/>
          <w:szCs w:val="24"/>
        </w:rPr>
        <w:t>k</w:t>
      </w:r>
      <w:r w:rsidRPr="003A11C1">
        <w:rPr>
          <w:color w:val="000000"/>
          <w:szCs w:val="24"/>
        </w:rPr>
        <w:t xml:space="preserve">ten när </w:t>
      </w:r>
      <w:r w:rsidR="00320A30" w:rsidRPr="003A11C1">
        <w:rPr>
          <w:color w:val="000000"/>
          <w:szCs w:val="24"/>
        </w:rPr>
        <w:t>Azerbajdzjan</w:t>
      </w:r>
      <w:r w:rsidRPr="003A11C1">
        <w:rPr>
          <w:color w:val="000000"/>
          <w:szCs w:val="24"/>
        </w:rPr>
        <w:t xml:space="preserve"> vägrade att förhandla direkt med ledningen för Nagorno-Karabach. Armenien </w:t>
      </w:r>
      <w:r w:rsidR="00D6260D" w:rsidRPr="003A11C1">
        <w:rPr>
          <w:color w:val="000000"/>
          <w:szCs w:val="24"/>
        </w:rPr>
        <w:t xml:space="preserve">har dock understött enklaven så </w:t>
      </w:r>
      <w:r w:rsidRPr="003A11C1">
        <w:rPr>
          <w:color w:val="000000"/>
          <w:szCs w:val="24"/>
        </w:rPr>
        <w:t>att m</w:t>
      </w:r>
      <w:r w:rsidR="00D6260D" w:rsidRPr="003A11C1">
        <w:rPr>
          <w:color w:val="000000"/>
          <w:szCs w:val="24"/>
        </w:rPr>
        <w:t xml:space="preserve">änniskorna där kunnat överleva. </w:t>
      </w:r>
    </w:p>
    <w:p w:rsidR="00D6260D" w:rsidRPr="003A11C1" w:rsidRDefault="00C57C0D" w:rsidP="00D776D1">
      <w:pPr>
        <w:pStyle w:val="Normaltindrag"/>
      </w:pPr>
      <w:r w:rsidRPr="003A11C1">
        <w:t xml:space="preserve">I den konflikt som uppstod tog Turkiet ställning för </w:t>
      </w:r>
      <w:r w:rsidR="00320A30" w:rsidRPr="003A11C1">
        <w:t>Azerbajdzjan</w:t>
      </w:r>
      <w:r w:rsidRPr="003A11C1">
        <w:t xml:space="preserve">. Turkiet och </w:t>
      </w:r>
      <w:r w:rsidR="00320A30" w:rsidRPr="003A11C1">
        <w:t>Azerbajdzjan</w:t>
      </w:r>
      <w:r w:rsidRPr="003A11C1">
        <w:t xml:space="preserve"> genomför sedan kriget en ekonomisk blockad mot Armen</w:t>
      </w:r>
      <w:r w:rsidRPr="003A11C1">
        <w:t>i</w:t>
      </w:r>
      <w:r w:rsidRPr="003A11C1">
        <w:t>en. Denna blockad har inget i stöd i folkrätten. Den har inte vunnit något gehör i FN. Blockaden utgör ett brott mot folkrätten. Den är olaglig.</w:t>
      </w:r>
    </w:p>
    <w:p w:rsidR="00D6260D" w:rsidRPr="003A11C1" w:rsidRDefault="00C57C0D" w:rsidP="00D776D1">
      <w:pPr>
        <w:pStyle w:val="Normaltindrag"/>
      </w:pPr>
      <w:r w:rsidRPr="003A11C1">
        <w:t>Blockaden har förorsakat det armeniska folket svåra lidanden. Det finns bara två vägar in i Armenie</w:t>
      </w:r>
      <w:r w:rsidR="00320A30" w:rsidRPr="003A11C1">
        <w:t>n. Den ena går genom Georgien, d</w:t>
      </w:r>
      <w:r w:rsidRPr="003A11C1">
        <w:t xml:space="preserve">en andra genom Iran. Transporter av varor genom Iran är långa och dyra. Transporter genom Georgien är osäkra på grund av de etniska konflikter som länge plågat landet. Turkiets och </w:t>
      </w:r>
      <w:r w:rsidR="00320A30" w:rsidRPr="003A11C1">
        <w:t>Azerbajdzjan</w:t>
      </w:r>
      <w:r w:rsidRPr="003A11C1">
        <w:t>s ekonomiska blockad har sålunda varit effek</w:t>
      </w:r>
      <w:r w:rsidR="00D6260D" w:rsidRPr="003A11C1">
        <w:t>tiv under tiden som den pågått.</w:t>
      </w:r>
      <w:r w:rsidR="003B77DD" w:rsidRPr="003A11C1">
        <w:t xml:space="preserve"> I ekonomiskt avseen</w:t>
      </w:r>
      <w:r w:rsidR="00320A30" w:rsidRPr="003A11C1">
        <w:t xml:space="preserve">de har den dock inte gynnat något </w:t>
      </w:r>
      <w:r w:rsidR="003B77DD" w:rsidRPr="003A11C1">
        <w:t>av de tre länder som är inblandade i konflikten. Det vore därför ur all</w:t>
      </w:r>
      <w:r w:rsidR="00320A30" w:rsidRPr="003A11C1">
        <w:t>a synvinklar</w:t>
      </w:r>
      <w:r w:rsidR="003B77DD" w:rsidRPr="003A11C1">
        <w:t xml:space="preserve"> bra för de inblandade länderna att blockaden hävdes.</w:t>
      </w:r>
    </w:p>
    <w:p w:rsidR="00D6260D" w:rsidRPr="003A11C1" w:rsidRDefault="00C57C0D" w:rsidP="00D776D1">
      <w:pPr>
        <w:pStyle w:val="Normaltindrag"/>
      </w:pPr>
      <w:r w:rsidRPr="003A11C1">
        <w:t>Det torde</w:t>
      </w:r>
      <w:r w:rsidR="00A2748C" w:rsidRPr="003A11C1">
        <w:t xml:space="preserve"> vara </w:t>
      </w:r>
      <w:r w:rsidRPr="003A11C1">
        <w:t>orimligt att EU bevilja</w:t>
      </w:r>
      <w:r w:rsidR="00A2748C" w:rsidRPr="003A11C1">
        <w:t>r</w:t>
      </w:r>
      <w:r w:rsidRPr="003A11C1">
        <w:t xml:space="preserve"> Turkiet medlemskap innan frågan om Nagorno-Karabach är löst och Turkiet upphört med sin blockad av Arm</w:t>
      </w:r>
      <w:r w:rsidRPr="003A11C1">
        <w:t>e</w:t>
      </w:r>
      <w:r w:rsidRPr="003A11C1">
        <w:t>nien. På samma sätt måste även Cypernfrågan lösas på ett sätt som överen</w:t>
      </w:r>
      <w:r w:rsidRPr="003A11C1">
        <w:t>s</w:t>
      </w:r>
      <w:r w:rsidRPr="003A11C1">
        <w:t>stämmer med internationell rätt.</w:t>
      </w:r>
    </w:p>
    <w:p w:rsidR="00320A30" w:rsidRPr="003A11C1" w:rsidRDefault="00320A30" w:rsidP="006E302D">
      <w:pPr>
        <w:pStyle w:val="Normaltindrag"/>
        <w:ind w:firstLine="0"/>
      </w:pPr>
      <w:r w:rsidRPr="003A11C1">
        <w:t xml:space="preserve">Detta bör riksdagen som sin mening ge regeringen till känna. </w:t>
      </w:r>
    </w:p>
    <w:p w:rsidR="009375D3" w:rsidRPr="003A11C1" w:rsidRDefault="009375D3" w:rsidP="00D776D1">
      <w:pPr>
        <w:pStyle w:val="Rubrik1"/>
      </w:pPr>
      <w:r w:rsidRPr="003A11C1">
        <w:t>För fred och försoning</w:t>
      </w:r>
    </w:p>
    <w:p w:rsidR="009375D3" w:rsidRPr="003A11C1" w:rsidRDefault="00A2748C" w:rsidP="00D776D1">
      <w:r w:rsidRPr="003A11C1">
        <w:t>EUTCC</w:t>
      </w:r>
      <w:r w:rsidR="009375D3" w:rsidRPr="003A11C1">
        <w:t xml:space="preserve"> hyser en stark oro för de strider som utbrutit i sydöstra Turkiet. För att få slut på striderna uppmanade konferensen Europakommissionen att a</w:t>
      </w:r>
      <w:r w:rsidR="009375D3" w:rsidRPr="003A11C1">
        <w:t>n</w:t>
      </w:r>
      <w:r w:rsidR="009375D3" w:rsidRPr="003A11C1">
        <w:t>vända sitt inflytande ”för att utveckla en demokratisk plattform där alla delar av den turkiska befolkningen, inklusive det kurdiska folket och dess represe</w:t>
      </w:r>
      <w:r w:rsidR="009375D3" w:rsidRPr="003A11C1">
        <w:t>n</w:t>
      </w:r>
      <w:r w:rsidR="009375D3" w:rsidRPr="003A11C1">
        <w:t>tanter fritt kan delta i en dialog och debattera med regeringen om en möjlig refo</w:t>
      </w:r>
      <w:r w:rsidR="00320A30" w:rsidRPr="003A11C1">
        <w:t>rmering av landets konstitution”.</w:t>
      </w:r>
    </w:p>
    <w:p w:rsidR="009375D3" w:rsidRPr="003A11C1" w:rsidRDefault="009375D3" w:rsidP="00A2748C">
      <w:pPr>
        <w:pStyle w:val="Normaltindrag"/>
      </w:pPr>
      <w:r w:rsidRPr="003A11C1">
        <w:t>”Man måste finna en civil, icke-mi</w:t>
      </w:r>
      <w:r w:rsidR="00320A30" w:rsidRPr="003A11C1">
        <w:t>litär lösning på situationen i s</w:t>
      </w:r>
      <w:r w:rsidRPr="003A11C1">
        <w:t>ydöstra Turkiet särskilt sedan många av de brott mot medborgerliga och politiska rätti</w:t>
      </w:r>
      <w:r w:rsidRPr="003A11C1">
        <w:t>g</w:t>
      </w:r>
      <w:r w:rsidRPr="003A11C1">
        <w:t>heter som observerats i området på olika sätt är förbundna me</w:t>
      </w:r>
      <w:r w:rsidR="00320A30" w:rsidRPr="003A11C1">
        <w:t>d denna fråga [konstitutionen].”</w:t>
      </w:r>
    </w:p>
    <w:p w:rsidR="009375D3" w:rsidRPr="003A11C1" w:rsidRDefault="009375D3" w:rsidP="00D776D1">
      <w:pPr>
        <w:pStyle w:val="Normaltindrag"/>
      </w:pPr>
      <w:r w:rsidRPr="003A11C1">
        <w:t xml:space="preserve">EUTCC-konferensen upprepade sin uppmaning </w:t>
      </w:r>
      <w:r w:rsidR="00320A30" w:rsidRPr="003A11C1">
        <w:t xml:space="preserve">till </w:t>
      </w:r>
      <w:r w:rsidRPr="003A11C1">
        <w:t xml:space="preserve">EU-parlamentets kommitté för utrikesfrågor att ”alla involverade parter </w:t>
      </w:r>
      <w:r w:rsidR="00A2748C" w:rsidRPr="003A11C1">
        <w:t>får</w:t>
      </w:r>
      <w:r w:rsidRPr="003A11C1">
        <w:t xml:space="preserve"> ett omedelbart slut på fientligheterna i </w:t>
      </w:r>
      <w:r w:rsidR="00320A30" w:rsidRPr="003A11C1">
        <w:t xml:space="preserve">de </w:t>
      </w:r>
      <w:r w:rsidRPr="003A11C1">
        <w:t xml:space="preserve">sydöstra delarna av landet och att inbjuda den turkiska regeringen till att ta mer aktiva steg mot en försoning </w:t>
      </w:r>
      <w:r w:rsidR="00320A30" w:rsidRPr="003A11C1">
        <w:t xml:space="preserve">med </w:t>
      </w:r>
      <w:r w:rsidRPr="003A11C1">
        <w:t xml:space="preserve">de kurdiska krafter som valt att ta avstånd </w:t>
      </w:r>
      <w:r w:rsidR="00A2748C" w:rsidRPr="003A11C1">
        <w:t xml:space="preserve">från </w:t>
      </w:r>
      <w:r w:rsidRPr="003A11C1">
        <w:t>användningen av vapen”.</w:t>
      </w:r>
    </w:p>
    <w:p w:rsidR="00E97720" w:rsidRPr="003A11C1" w:rsidRDefault="009375D3" w:rsidP="00A2748C">
      <w:pPr>
        <w:pStyle w:val="Normaltindrag"/>
      </w:pPr>
      <w:r w:rsidRPr="003A11C1">
        <w:t>Vi instämmer även i denna bedömning från EUTCC och menar att Sver</w:t>
      </w:r>
      <w:r w:rsidRPr="003A11C1">
        <w:t>i</w:t>
      </w:r>
      <w:r w:rsidRPr="003A11C1">
        <w:t>ge, som fungerat som medlare i flera andra internationella sammanhang</w:t>
      </w:r>
      <w:r w:rsidR="00320A30" w:rsidRPr="003A11C1">
        <w:t>,</w:t>
      </w:r>
      <w:r w:rsidRPr="003A11C1">
        <w:t xml:space="preserve"> bör göra stora ansträngningar för att uppmuntra till dialog, förhandlingar och försoning samt understödja en förändring av den turkiska konstitutionen som ger alla folkgrupper demokratiska rättigheter och rättigheter att utveckla sina språk och sina kulturer.</w:t>
      </w:r>
      <w:r w:rsidR="006E302D" w:rsidRPr="003A11C1">
        <w:t xml:space="preserve"> </w:t>
      </w:r>
      <w:r w:rsidR="00320A30" w:rsidRPr="003A11C1">
        <w:t>Detta bör riksdagen som sin me</w:t>
      </w:r>
      <w:r w:rsidR="00A2748C" w:rsidRPr="003A11C1">
        <w:t xml:space="preserve">ning 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2748C" w:rsidRPr="003A11C1">
        <w:tblPrEx>
          <w:tblCellMar>
            <w:top w:w="0" w:type="dxa"/>
            <w:bottom w:w="0" w:type="dxa"/>
          </w:tblCellMar>
        </w:tblPrEx>
        <w:trPr>
          <w:cantSplit/>
        </w:trPr>
        <w:tc>
          <w:tcPr>
            <w:tcW w:w="3046" w:type="dxa"/>
          </w:tcPr>
          <w:p w:rsidR="00A2748C" w:rsidRPr="003A11C1" w:rsidRDefault="00A2748C" w:rsidP="00A2748C">
            <w:pPr>
              <w:pStyle w:val="UnderskriftDatum"/>
              <w:spacing w:before="0"/>
            </w:pPr>
            <w:r w:rsidRPr="003A11C1">
              <w:t>Stockholm den 5 oktober 2005</w:t>
            </w:r>
          </w:p>
        </w:tc>
        <w:tc>
          <w:tcPr>
            <w:tcW w:w="3047" w:type="dxa"/>
          </w:tcPr>
          <w:p w:rsidR="00A2748C" w:rsidRPr="003A11C1" w:rsidRDefault="00A2748C" w:rsidP="00A2748C">
            <w:pPr>
              <w:pStyle w:val="Underskrifter"/>
            </w:pPr>
          </w:p>
        </w:tc>
      </w:tr>
      <w:tr w:rsidR="00A2748C" w:rsidRPr="003A11C1">
        <w:tblPrEx>
          <w:tblCellMar>
            <w:top w:w="0" w:type="dxa"/>
            <w:bottom w:w="0" w:type="dxa"/>
          </w:tblCellMar>
        </w:tblPrEx>
        <w:trPr>
          <w:cantSplit/>
        </w:trPr>
        <w:tc>
          <w:tcPr>
            <w:tcW w:w="3046" w:type="dxa"/>
          </w:tcPr>
          <w:p w:rsidR="00A2748C" w:rsidRPr="003A11C1" w:rsidRDefault="00A2748C" w:rsidP="00A2748C">
            <w:pPr>
              <w:pStyle w:val="Underskrifter"/>
            </w:pPr>
            <w:r w:rsidRPr="003A11C1">
              <w:t>Alice Åström (v)</w:t>
            </w:r>
          </w:p>
        </w:tc>
        <w:tc>
          <w:tcPr>
            <w:tcW w:w="3047" w:type="dxa"/>
          </w:tcPr>
          <w:p w:rsidR="00A2748C" w:rsidRPr="003A11C1" w:rsidRDefault="00A2748C" w:rsidP="00A2748C">
            <w:pPr>
              <w:pStyle w:val="Underskrifter"/>
            </w:pPr>
          </w:p>
        </w:tc>
      </w:tr>
      <w:tr w:rsidR="00A2748C" w:rsidRPr="003A11C1">
        <w:tblPrEx>
          <w:tblCellMar>
            <w:top w:w="0" w:type="dxa"/>
            <w:bottom w:w="0" w:type="dxa"/>
          </w:tblCellMar>
        </w:tblPrEx>
        <w:trPr>
          <w:cantSplit/>
        </w:trPr>
        <w:tc>
          <w:tcPr>
            <w:tcW w:w="3046" w:type="dxa"/>
          </w:tcPr>
          <w:p w:rsidR="00A2748C" w:rsidRPr="003A11C1" w:rsidRDefault="00A2748C" w:rsidP="00A2748C">
            <w:pPr>
              <w:pStyle w:val="Underskrifter"/>
            </w:pPr>
            <w:r w:rsidRPr="003A11C1">
              <w:t>Ulla Hoffmann (v)</w:t>
            </w:r>
          </w:p>
        </w:tc>
        <w:tc>
          <w:tcPr>
            <w:tcW w:w="3047" w:type="dxa"/>
          </w:tcPr>
          <w:p w:rsidR="00A2748C" w:rsidRPr="003A11C1" w:rsidRDefault="00A2748C" w:rsidP="00A2748C">
            <w:pPr>
              <w:pStyle w:val="Underskrifter"/>
            </w:pPr>
            <w:r w:rsidRPr="003A11C1">
              <w:t>Berit Jóhannesson (v)</w:t>
            </w:r>
          </w:p>
        </w:tc>
      </w:tr>
      <w:tr w:rsidR="00A2748C" w:rsidRPr="003A11C1">
        <w:tblPrEx>
          <w:tblCellMar>
            <w:top w:w="0" w:type="dxa"/>
            <w:bottom w:w="0" w:type="dxa"/>
          </w:tblCellMar>
        </w:tblPrEx>
        <w:trPr>
          <w:cantSplit/>
        </w:trPr>
        <w:tc>
          <w:tcPr>
            <w:tcW w:w="3046" w:type="dxa"/>
          </w:tcPr>
          <w:p w:rsidR="00A2748C" w:rsidRPr="003A11C1" w:rsidRDefault="00A2748C" w:rsidP="00A2748C">
            <w:pPr>
              <w:pStyle w:val="Underskrifter"/>
            </w:pPr>
            <w:r w:rsidRPr="003A11C1">
              <w:t>Sten Lundström (v)</w:t>
            </w:r>
          </w:p>
        </w:tc>
        <w:tc>
          <w:tcPr>
            <w:tcW w:w="3047" w:type="dxa"/>
          </w:tcPr>
          <w:p w:rsidR="00A2748C" w:rsidRPr="003A11C1" w:rsidRDefault="00A2748C" w:rsidP="00A2748C">
            <w:pPr>
              <w:pStyle w:val="Underskrifter"/>
            </w:pPr>
            <w:r w:rsidRPr="003A11C1">
              <w:t>Per Rosengren (v)</w:t>
            </w:r>
          </w:p>
        </w:tc>
      </w:tr>
      <w:tr w:rsidR="00A2748C" w:rsidRPr="003A11C1">
        <w:tblPrEx>
          <w:tblCellMar>
            <w:top w:w="0" w:type="dxa"/>
            <w:bottom w:w="0" w:type="dxa"/>
          </w:tblCellMar>
        </w:tblPrEx>
        <w:trPr>
          <w:cantSplit/>
        </w:trPr>
        <w:tc>
          <w:tcPr>
            <w:tcW w:w="3046" w:type="dxa"/>
          </w:tcPr>
          <w:p w:rsidR="00A2748C" w:rsidRPr="003A11C1" w:rsidRDefault="00A2748C" w:rsidP="00A2748C">
            <w:pPr>
              <w:pStyle w:val="Underskrifter"/>
            </w:pPr>
            <w:r w:rsidRPr="003A11C1">
              <w:t>Karin Thorborg (v)</w:t>
            </w:r>
          </w:p>
        </w:tc>
        <w:tc>
          <w:tcPr>
            <w:tcW w:w="3047" w:type="dxa"/>
          </w:tcPr>
          <w:p w:rsidR="00A2748C" w:rsidRPr="003A11C1" w:rsidRDefault="00A2748C" w:rsidP="00A2748C">
            <w:pPr>
              <w:pStyle w:val="Underskrifter"/>
            </w:pPr>
          </w:p>
        </w:tc>
      </w:tr>
    </w:tbl>
    <w:p w:rsidR="009375D3" w:rsidRPr="003A11C1" w:rsidRDefault="009375D3" w:rsidP="00A2748C">
      <w:pPr>
        <w:pStyle w:val="Normaltindrag"/>
      </w:pPr>
    </w:p>
    <w:sectPr w:rsidR="009375D3" w:rsidRPr="003A11C1" w:rsidSect="00A274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4208" w:rsidRPr="003A11C1" w:rsidRDefault="002C4208">
      <w:r w:rsidRPr="003A11C1">
        <w:separator/>
      </w:r>
    </w:p>
  </w:endnote>
  <w:endnote w:type="continuationSeparator" w:id="0">
    <w:p w:rsidR="002C4208" w:rsidRPr="003A11C1" w:rsidRDefault="002C4208">
      <w:r w:rsidRPr="003A11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F0A" w:rsidRPr="003A11C1" w:rsidRDefault="003A11C1" w:rsidP="00A2748C">
    <w:pPr>
      <w:pStyle w:val="Sidfot"/>
    </w:pPr>
    <w:r w:rsidRPr="003A11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51045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48C" w:rsidRDefault="00A274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748C" w:rsidRDefault="00A274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C28" w:rsidRPr="003A11C1" w:rsidRDefault="003A11C1" w:rsidP="00A2748C">
    <w:pPr>
      <w:pStyle w:val="Sidfot"/>
    </w:pPr>
    <w:r w:rsidRPr="003A11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61224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48C" w:rsidRDefault="00A2748C">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748C" w:rsidRDefault="00A2748C">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C28" w:rsidRPr="003A11C1" w:rsidRDefault="003A11C1" w:rsidP="00A2748C">
    <w:pPr>
      <w:pStyle w:val="Sidfot"/>
    </w:pPr>
    <w:r w:rsidRPr="003A11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07565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48C" w:rsidRDefault="00A274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748C" w:rsidRDefault="00A274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4208" w:rsidRPr="003A11C1" w:rsidRDefault="002C4208">
      <w:r w:rsidRPr="003A11C1">
        <w:separator/>
      </w:r>
    </w:p>
  </w:footnote>
  <w:footnote w:type="continuationSeparator" w:id="0">
    <w:p w:rsidR="002C4208" w:rsidRPr="003A11C1" w:rsidRDefault="002C4208">
      <w:r w:rsidRPr="003A11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F0A" w:rsidRPr="003A11C1" w:rsidRDefault="003A11C1" w:rsidP="00A2748C">
    <w:pPr>
      <w:pStyle w:val="Sidhuvud"/>
    </w:pPr>
    <w:r w:rsidRPr="003A11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89203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48C" w:rsidRDefault="00A2748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748C" w:rsidRDefault="00A2748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C28" w:rsidRPr="003A11C1" w:rsidRDefault="003A11C1" w:rsidP="00A2748C">
    <w:pPr>
      <w:pStyle w:val="Sidhuvud"/>
    </w:pPr>
    <w:r w:rsidRPr="003A11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27769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48C" w:rsidRDefault="00A2748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748C" w:rsidRDefault="00A2748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48C" w:rsidRPr="003A11C1" w:rsidRDefault="00A2748C">
    <w:pPr>
      <w:pStyle w:val="FSHNormal"/>
      <w:tabs>
        <w:tab w:val="right" w:pos="5840"/>
      </w:tabs>
    </w:pPr>
    <w:r w:rsidRPr="003A11C1">
      <w:br/>
    </w:r>
    <w:r w:rsidRPr="003A11C1">
      <w:fldChar w:fldCharType="begin" w:fldLock="1"/>
    </w:r>
    <w:r w:rsidRPr="003A11C1">
      <w:instrText xml:space="preserve"> DOCPROPERTY</w:instrText>
    </w:r>
    <w:r w:rsidRPr="003A11C1">
      <w:rPr>
        <w:sz w:val="18"/>
      </w:rPr>
      <w:instrText xml:space="preserve"> "YearUser" *\charformat </w:instrText>
    </w:r>
    <w:r w:rsidRPr="003A11C1">
      <w:fldChar w:fldCharType="separate"/>
    </w:r>
    <w:r w:rsidRPr="003A11C1">
      <w:t>2005/06</w:t>
    </w:r>
    <w:r w:rsidRPr="003A11C1">
      <w:fldChar w:fldCharType="end"/>
    </w:r>
    <w:r w:rsidRPr="003A11C1">
      <w:t xml:space="preserve"> </w:t>
    </w:r>
    <w:r w:rsidRPr="003A11C1">
      <w:tab/>
      <w:t xml:space="preserve">mnr: </w:t>
    </w:r>
    <w:r w:rsidRPr="003A11C1">
      <w:fldChar w:fldCharType="begin" w:fldLock="1"/>
    </w:r>
    <w:r w:rsidRPr="003A11C1">
      <w:instrText xml:space="preserve"> DOCPROPERTY</w:instrText>
    </w:r>
    <w:r w:rsidRPr="003A11C1">
      <w:rPr>
        <w:sz w:val="18"/>
      </w:rPr>
      <w:instrText xml:space="preserve"> "Motionsnummer" *\charformat </w:instrText>
    </w:r>
    <w:r w:rsidRPr="003A11C1">
      <w:fldChar w:fldCharType="separate"/>
    </w:r>
    <w:r w:rsidRPr="003A11C1">
      <w:t>U312</w:t>
    </w:r>
    <w:r w:rsidRPr="003A11C1">
      <w:fldChar w:fldCharType="end"/>
    </w:r>
    <w:r w:rsidRPr="003A11C1">
      <w:br/>
    </w:r>
    <w:r w:rsidRPr="003A11C1">
      <w:fldChar w:fldCharType="begin" w:fldLock="1"/>
    </w:r>
    <w:r w:rsidRPr="003A11C1">
      <w:instrText xml:space="preserve"> DOCPROPERTY</w:instrText>
    </w:r>
    <w:r w:rsidRPr="003A11C1">
      <w:rPr>
        <w:sz w:val="18"/>
      </w:rPr>
      <w:instrText xml:space="preserve"> "Samling" *\charformat </w:instrText>
    </w:r>
    <w:r w:rsidRPr="003A11C1">
      <w:fldChar w:fldCharType="end"/>
    </w:r>
    <w:r w:rsidRPr="003A11C1">
      <w:tab/>
      <w:t xml:space="preserve">pnr: </w:t>
    </w:r>
    <w:r w:rsidRPr="003A11C1">
      <w:fldChar w:fldCharType="begin" w:fldLock="1"/>
    </w:r>
    <w:r w:rsidRPr="003A11C1">
      <w:instrText xml:space="preserve"> DOCPROPERTY</w:instrText>
    </w:r>
    <w:r w:rsidRPr="003A11C1">
      <w:rPr>
        <w:sz w:val="18"/>
      </w:rPr>
      <w:instrText xml:space="preserve"> "Partinummer" *\charformat </w:instrText>
    </w:r>
    <w:r w:rsidRPr="003A11C1">
      <w:fldChar w:fldCharType="separate"/>
    </w:r>
    <w:r w:rsidRPr="003A11C1">
      <w:t>v603</w:t>
    </w:r>
    <w:r w:rsidRPr="003A11C1">
      <w:fldChar w:fldCharType="end"/>
    </w:r>
  </w:p>
  <w:p w:rsidR="00A2748C" w:rsidRPr="003A11C1" w:rsidRDefault="00A2748C">
    <w:pPr>
      <w:pStyle w:val="FSHRub1"/>
    </w:pPr>
    <w:r w:rsidRPr="003A11C1">
      <w:t>Motion till riksdagen</w:t>
    </w:r>
    <w:r w:rsidRPr="003A11C1">
      <w:br/>
    </w:r>
    <w:r w:rsidRPr="003A11C1">
      <w:fldChar w:fldCharType="begin" w:fldLock="1"/>
    </w:r>
    <w:r w:rsidRPr="003A11C1">
      <w:instrText xml:space="preserve"> DOCPROPERTY "YearUser" *\charformat </w:instrText>
    </w:r>
    <w:r w:rsidRPr="003A11C1">
      <w:fldChar w:fldCharType="separate"/>
    </w:r>
    <w:r w:rsidRPr="003A11C1">
      <w:t>2005/06</w:t>
    </w:r>
    <w:r w:rsidRPr="003A11C1">
      <w:fldChar w:fldCharType="end"/>
    </w:r>
    <w:r w:rsidRPr="003A11C1">
      <w:t>:</w:t>
    </w:r>
    <w:r w:rsidRPr="003A11C1">
      <w:fldChar w:fldCharType="begin" w:fldLock="1"/>
    </w:r>
    <w:r w:rsidRPr="003A11C1">
      <w:instrText xml:space="preserve"> DOCPROPERTY "Motionsnummer" *\charformat </w:instrText>
    </w:r>
    <w:r w:rsidRPr="003A11C1">
      <w:fldChar w:fldCharType="separate"/>
    </w:r>
    <w:r w:rsidRPr="003A11C1">
      <w:t>U312</w:t>
    </w:r>
    <w:r w:rsidRPr="003A11C1">
      <w:fldChar w:fldCharType="end"/>
    </w:r>
  </w:p>
  <w:p w:rsidR="00A2748C" w:rsidRPr="003A11C1" w:rsidRDefault="00A2748C">
    <w:pPr>
      <w:pStyle w:val="FSHNormalS5"/>
    </w:pPr>
    <w:r w:rsidRPr="003A11C1">
      <w:fldChar w:fldCharType="begin" w:fldLock="1"/>
    </w:r>
    <w:r w:rsidRPr="003A11C1">
      <w:instrText xml:space="preserve"> DOCPROPERTY "MotionarText" *\charformat </w:instrText>
    </w:r>
    <w:r w:rsidRPr="003A11C1">
      <w:fldChar w:fldCharType="separate"/>
    </w:r>
    <w:r w:rsidRPr="003A11C1">
      <w:t>av Alice Åström m.fl. (v)</w:t>
    </w:r>
    <w:r w:rsidRPr="003A11C1">
      <w:fldChar w:fldCharType="end"/>
    </w:r>
    <w:r w:rsidRPr="003A11C1">
      <w:br/>
    </w:r>
    <w:r w:rsidRPr="003A11C1">
      <w:fldChar w:fldCharType="begin" w:fldLock="1"/>
    </w:r>
    <w:r w:rsidRPr="003A11C1">
      <w:instrText xml:space="preserve"> DOCPROPERTY "SvarFrasKort" *\charformat </w:instrText>
    </w:r>
    <w:r w:rsidRPr="003A11C1">
      <w:fldChar w:fldCharType="end"/>
    </w:r>
  </w:p>
  <w:p w:rsidR="00A2748C" w:rsidRPr="003A11C1" w:rsidRDefault="00A2748C">
    <w:pPr>
      <w:pStyle w:val="FSHTitel"/>
    </w:pPr>
    <w:r w:rsidRPr="003A11C1">
      <w:fldChar w:fldCharType="begin" w:fldLock="1"/>
    </w:r>
    <w:r w:rsidRPr="003A11C1">
      <w:instrText xml:space="preserve"> DOCPROPERTY</w:instrText>
    </w:r>
    <w:r w:rsidRPr="003A11C1">
      <w:rPr>
        <w:sz w:val="18"/>
      </w:rPr>
      <w:instrText xml:space="preserve"> "RubrikSvar" *\charformat </w:instrText>
    </w:r>
    <w:r w:rsidRPr="003A11C1">
      <w:fldChar w:fldCharType="separate"/>
    </w:r>
    <w:r w:rsidRPr="003A11C1">
      <w:t>Turkiet</w:t>
    </w:r>
    <w:r w:rsidRPr="003A11C1">
      <w:fldChar w:fldCharType="end"/>
    </w:r>
  </w:p>
  <w:p w:rsidR="00A2748C" w:rsidRPr="003A11C1" w:rsidRDefault="00A2748C" w:rsidP="00A2748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E4C9A32"/>
    <w:lvl w:ilvl="0" w:tplc="0E42792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75029677">
    <w:abstractNumId w:val="13"/>
  </w:num>
  <w:num w:numId="2" w16cid:durableId="1535776256">
    <w:abstractNumId w:val="10"/>
  </w:num>
  <w:num w:numId="3" w16cid:durableId="733548765">
    <w:abstractNumId w:val="11"/>
  </w:num>
  <w:num w:numId="4" w16cid:durableId="815074158">
    <w:abstractNumId w:val="12"/>
  </w:num>
  <w:num w:numId="5" w16cid:durableId="560479535">
    <w:abstractNumId w:val="8"/>
  </w:num>
  <w:num w:numId="6" w16cid:durableId="1773936958">
    <w:abstractNumId w:val="3"/>
  </w:num>
  <w:num w:numId="7" w16cid:durableId="151727742">
    <w:abstractNumId w:val="2"/>
  </w:num>
  <w:num w:numId="8" w16cid:durableId="1619292685">
    <w:abstractNumId w:val="1"/>
  </w:num>
  <w:num w:numId="9" w16cid:durableId="684984916">
    <w:abstractNumId w:val="0"/>
  </w:num>
  <w:num w:numId="10" w16cid:durableId="1738237685">
    <w:abstractNumId w:val="9"/>
  </w:num>
  <w:num w:numId="11" w16cid:durableId="201096526">
    <w:abstractNumId w:val="7"/>
  </w:num>
  <w:num w:numId="12" w16cid:durableId="1533959607">
    <w:abstractNumId w:val="6"/>
  </w:num>
  <w:num w:numId="13" w16cid:durableId="1936088811">
    <w:abstractNumId w:val="5"/>
  </w:num>
  <w:num w:numId="14" w16cid:durableId="949165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6"/>
  </w:docVars>
  <w:rsids>
    <w:rsidRoot w:val="00E97720"/>
    <w:rsid w:val="00031E51"/>
    <w:rsid w:val="00064BC3"/>
    <w:rsid w:val="00066775"/>
    <w:rsid w:val="00072FB9"/>
    <w:rsid w:val="000A5CBF"/>
    <w:rsid w:val="00100531"/>
    <w:rsid w:val="00192B17"/>
    <w:rsid w:val="001E5C09"/>
    <w:rsid w:val="00201DFB"/>
    <w:rsid w:val="00204A63"/>
    <w:rsid w:val="00212E80"/>
    <w:rsid w:val="00212FF1"/>
    <w:rsid w:val="00230193"/>
    <w:rsid w:val="0025068A"/>
    <w:rsid w:val="002818D3"/>
    <w:rsid w:val="002C4208"/>
    <w:rsid w:val="002D11A8"/>
    <w:rsid w:val="002D7A43"/>
    <w:rsid w:val="002E3F79"/>
    <w:rsid w:val="00320A30"/>
    <w:rsid w:val="00323E8C"/>
    <w:rsid w:val="00373AC7"/>
    <w:rsid w:val="003A11C1"/>
    <w:rsid w:val="003B77DD"/>
    <w:rsid w:val="00445271"/>
    <w:rsid w:val="004A0504"/>
    <w:rsid w:val="004C6889"/>
    <w:rsid w:val="004E38D9"/>
    <w:rsid w:val="006236D0"/>
    <w:rsid w:val="006E302D"/>
    <w:rsid w:val="00740D6D"/>
    <w:rsid w:val="00794149"/>
    <w:rsid w:val="007A6F6E"/>
    <w:rsid w:val="007B67A7"/>
    <w:rsid w:val="007C6092"/>
    <w:rsid w:val="007E1AA4"/>
    <w:rsid w:val="007E5664"/>
    <w:rsid w:val="0088169B"/>
    <w:rsid w:val="009375D3"/>
    <w:rsid w:val="00A053C6"/>
    <w:rsid w:val="00A2748C"/>
    <w:rsid w:val="00A31C28"/>
    <w:rsid w:val="00A63BD5"/>
    <w:rsid w:val="00A77527"/>
    <w:rsid w:val="00B073E4"/>
    <w:rsid w:val="00B13BF0"/>
    <w:rsid w:val="00C01784"/>
    <w:rsid w:val="00C1285C"/>
    <w:rsid w:val="00C27B7D"/>
    <w:rsid w:val="00C42C2F"/>
    <w:rsid w:val="00C57C0D"/>
    <w:rsid w:val="00D1174F"/>
    <w:rsid w:val="00D6260D"/>
    <w:rsid w:val="00D776D1"/>
    <w:rsid w:val="00DB120C"/>
    <w:rsid w:val="00DC6C70"/>
    <w:rsid w:val="00E22893"/>
    <w:rsid w:val="00E25104"/>
    <w:rsid w:val="00E360DE"/>
    <w:rsid w:val="00E46F0A"/>
    <w:rsid w:val="00E75D28"/>
    <w:rsid w:val="00E84F25"/>
    <w:rsid w:val="00E90872"/>
    <w:rsid w:val="00E97720"/>
    <w:rsid w:val="00ED21CF"/>
    <w:rsid w:val="00F62259"/>
    <w:rsid w:val="00FD0E2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88742B-6FFD-455B-B43D-B32E08E32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2748C"/>
    <w:pPr>
      <w:spacing w:after="250"/>
    </w:pPr>
  </w:style>
  <w:style w:type="paragraph" w:customStyle="1" w:styleId="Hemstlatt">
    <w:name w:val="Hemstl_att"/>
    <w:aliases w:val="HemstPunkt,HemstPunktFlera,HemställansPunkt,Förslagstext"/>
    <w:basedOn w:val="Normal"/>
    <w:next w:val="Normal"/>
    <w:rsid w:val="00A2748C"/>
    <w:pPr>
      <w:keepLines/>
      <w:numPr>
        <w:numId w:val="1"/>
      </w:numPr>
      <w:spacing w:before="0"/>
    </w:pPr>
  </w:style>
  <w:style w:type="paragraph" w:styleId="Ballongtext">
    <w:name w:val="Balloon Text"/>
    <w:basedOn w:val="Normal"/>
    <w:semiHidden/>
    <w:rsid w:val="00A2748C"/>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1938</Words>
  <Characters>11105</Characters>
  <Application>Microsoft Office Word</Application>
  <DocSecurity>4</DocSecurity>
  <Lines>213</Lines>
  <Paragraphs>69</Paragraphs>
  <ScaleCrop>false</ScaleCrop>
  <HeadingPairs>
    <vt:vector size="2" baseType="variant">
      <vt:variant>
        <vt:lpstr>Rubrik</vt:lpstr>
      </vt:variant>
      <vt:variant>
        <vt:i4>1</vt:i4>
      </vt:variant>
    </vt:vector>
  </HeadingPairs>
  <TitlesOfParts>
    <vt:vector size="1" baseType="lpstr">
      <vt:lpstr>U312</vt:lpstr>
    </vt:vector>
  </TitlesOfParts>
  <Company>Riksdagen</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U312</dc:title>
  <dc:subject>U312</dc:subject>
  <dc:creator>Riksdagen</dc:creator>
  <cp:keywords>Riksdagen</cp:keywords>
  <dc:description/>
  <cp:lastModifiedBy>Lars Brink</cp:lastModifiedBy>
  <cp:revision>2</cp:revision>
  <cp:lastPrinted>2005-10-26T11:20:00Z</cp:lastPrinted>
  <dcterms:created xsi:type="dcterms:W3CDTF">2025-12-16T21:49:00Z</dcterms:created>
  <dcterms:modified xsi:type="dcterms:W3CDTF">2025-12-16T21:49:00Z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mot2000_423_2005-10-26</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HA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Turkiet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Turkiet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v603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Alice Åström m.fl. (v)</vt:lpwstr>
  </property>
  <property fmtid="{D5CDD505-2E9C-101B-9397-08002B2CF9AE}" pid="26" name="MotionarLista">
    <vt:lpwstr>Åström, Alice (v)\Hoffmann, Ulla (v)\Jóhannesson, Berit (v)\Lundström, Sten (v)\Rosengren, Per (v)\Thorborg, Karin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Alice Åström (v), Ulla Hoffmann (v), Berit Jóhannesson (v), Sten Lundström (v), Per Rosengren (v), Karin Thorborg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inger.diaz@riksdagen.se</vt:lpwstr>
  </property>
  <property fmtid="{D5CDD505-2E9C-101B-9397-08002B2CF9AE}" pid="45" name="ReservUID">
    <vt:lpwstr>louise edlund</vt:lpwstr>
  </property>
  <property fmtid="{D5CDD505-2E9C-101B-9397-08002B2CF9AE}" pid="46" name="MotionID">
    <vt:lpwstr>20052006000000000118000006030075</vt:lpwstr>
  </property>
  <property fmtid="{D5CDD505-2E9C-101B-9397-08002B2CF9AE}" pid="47" name="datum">
    <vt:lpwstr>051005</vt:lpwstr>
  </property>
  <property fmtid="{D5CDD505-2E9C-101B-9397-08002B2CF9AE}" pid="48" name="avsändar-e-post">
    <vt:lpwstr>inger.diaz@riksdagen.se</vt:lpwstr>
  </property>
  <property fmtid="{D5CDD505-2E9C-101B-9397-08002B2CF9AE}" pid="49" name="id">
    <vt:lpwstr>20052006000000000118000006030075</vt:lpwstr>
  </property>
  <property fmtid="{D5CDD505-2E9C-101B-9397-08002B2CF9AE}" pid="50" name="nummer">
    <vt:lpwstr>312</vt:lpwstr>
  </property>
  <property fmtid="{D5CDD505-2E9C-101B-9397-08002B2CF9AE}" pid="51" name="utskottsbeteckning">
    <vt:lpwstr>U</vt:lpwstr>
  </property>
</Properties>
</file>