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84D59" w:rsidTr="006F3BEE">
        <w:tc>
          <w:tcPr>
            <w:tcW w:w="2268" w:type="dxa"/>
          </w:tcPr>
          <w:p w:rsidR="00584D59" w:rsidRDefault="00584D59"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584D59" w:rsidRPr="00B872EB" w:rsidRDefault="00584D59" w:rsidP="00B872EB">
            <w:pPr>
              <w:framePr w:w="5035" w:h="1644" w:wrap="notBeside" w:vAnchor="page" w:hAnchor="page" w:x="6573" w:y="721"/>
              <w:jc w:val="right"/>
              <w:rPr>
                <w:rFonts w:ascii="TradeGothic" w:hAnsi="TradeGothic"/>
                <w:sz w:val="18"/>
              </w:rPr>
            </w:pPr>
          </w:p>
        </w:tc>
      </w:tr>
      <w:tr w:rsidR="00584D59" w:rsidTr="006F3BEE">
        <w:tc>
          <w:tcPr>
            <w:tcW w:w="5267" w:type="dxa"/>
            <w:gridSpan w:val="3"/>
          </w:tcPr>
          <w:p w:rsidR="00584D59" w:rsidRDefault="00584D5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84D59" w:rsidTr="006F3BEE">
        <w:tc>
          <w:tcPr>
            <w:tcW w:w="3402" w:type="dxa"/>
            <w:gridSpan w:val="2"/>
          </w:tcPr>
          <w:p w:rsidR="00584D59" w:rsidRDefault="00584D59" w:rsidP="007242A3">
            <w:pPr>
              <w:framePr w:w="5035" w:h="1644" w:wrap="notBeside" w:vAnchor="page" w:hAnchor="page" w:x="6573" w:y="721"/>
            </w:pPr>
          </w:p>
        </w:tc>
        <w:tc>
          <w:tcPr>
            <w:tcW w:w="1865" w:type="dxa"/>
          </w:tcPr>
          <w:p w:rsidR="00584D59" w:rsidRDefault="00584D59" w:rsidP="007242A3">
            <w:pPr>
              <w:framePr w:w="5035" w:h="1644" w:wrap="notBeside" w:vAnchor="page" w:hAnchor="page" w:x="6573" w:y="721"/>
            </w:pPr>
          </w:p>
        </w:tc>
      </w:tr>
      <w:tr w:rsidR="00584D59" w:rsidTr="006F3BEE">
        <w:tc>
          <w:tcPr>
            <w:tcW w:w="2268" w:type="dxa"/>
          </w:tcPr>
          <w:p w:rsidR="00584D59" w:rsidRDefault="00584D59" w:rsidP="007242A3">
            <w:pPr>
              <w:framePr w:w="5035" w:h="1644" w:wrap="notBeside" w:vAnchor="page" w:hAnchor="page" w:x="6573" w:y="721"/>
            </w:pPr>
            <w:r>
              <w:t>2013-11-20</w:t>
            </w:r>
          </w:p>
        </w:tc>
        <w:tc>
          <w:tcPr>
            <w:tcW w:w="2999" w:type="dxa"/>
            <w:gridSpan w:val="2"/>
          </w:tcPr>
          <w:p w:rsidR="00584D59" w:rsidRPr="00ED583F" w:rsidRDefault="00584D59" w:rsidP="007242A3">
            <w:pPr>
              <w:framePr w:w="5035" w:h="1644" w:wrap="notBeside" w:vAnchor="page" w:hAnchor="page" w:x="6573" w:y="721"/>
              <w:rPr>
                <w:sz w:val="20"/>
              </w:rPr>
            </w:pPr>
          </w:p>
        </w:tc>
      </w:tr>
      <w:tr w:rsidR="00584D59" w:rsidTr="006F3BEE">
        <w:tc>
          <w:tcPr>
            <w:tcW w:w="2268" w:type="dxa"/>
          </w:tcPr>
          <w:p w:rsidR="00584D59" w:rsidRDefault="00584D59" w:rsidP="007242A3">
            <w:pPr>
              <w:framePr w:w="5035" w:h="1644" w:wrap="notBeside" w:vAnchor="page" w:hAnchor="page" w:x="6573" w:y="721"/>
            </w:pPr>
          </w:p>
        </w:tc>
        <w:tc>
          <w:tcPr>
            <w:tcW w:w="2999" w:type="dxa"/>
            <w:gridSpan w:val="2"/>
          </w:tcPr>
          <w:p w:rsidR="00584D59" w:rsidRDefault="00584D59" w:rsidP="007242A3">
            <w:pPr>
              <w:framePr w:w="5035" w:h="1644" w:wrap="notBeside" w:vAnchor="page" w:hAnchor="page" w:x="6573" w:y="721"/>
            </w:pPr>
          </w:p>
        </w:tc>
      </w:tr>
    </w:tbl>
    <w:tbl>
      <w:tblPr>
        <w:tblW w:w="0" w:type="auto"/>
        <w:tblLayout w:type="fixed"/>
        <w:tblLook w:val="0000"/>
      </w:tblPr>
      <w:tblGrid>
        <w:gridCol w:w="4911"/>
      </w:tblGrid>
      <w:tr w:rsidR="00584D59">
        <w:trPr>
          <w:trHeight w:val="284"/>
        </w:trPr>
        <w:tc>
          <w:tcPr>
            <w:tcW w:w="4911" w:type="dxa"/>
          </w:tcPr>
          <w:p w:rsidR="00584D59" w:rsidRDefault="00584D59">
            <w:pPr>
              <w:pStyle w:val="Avsndare"/>
              <w:framePr w:h="2483" w:wrap="notBeside" w:x="1504"/>
              <w:rPr>
                <w:b/>
                <w:i w:val="0"/>
                <w:sz w:val="22"/>
              </w:rPr>
            </w:pPr>
            <w:r>
              <w:rPr>
                <w:b/>
                <w:i w:val="0"/>
                <w:sz w:val="22"/>
              </w:rPr>
              <w:t>Näringsdepartementet</w:t>
            </w:r>
          </w:p>
        </w:tc>
      </w:tr>
      <w:tr w:rsidR="00584D59">
        <w:trPr>
          <w:trHeight w:val="284"/>
        </w:trPr>
        <w:tc>
          <w:tcPr>
            <w:tcW w:w="4911" w:type="dxa"/>
          </w:tcPr>
          <w:p w:rsidR="00584D59" w:rsidRDefault="00584D59">
            <w:pPr>
              <w:pStyle w:val="Avsndare"/>
              <w:framePr w:h="2483" w:wrap="notBeside" w:x="1504"/>
              <w:rPr>
                <w:bCs/>
                <w:iCs/>
              </w:rPr>
            </w:pPr>
          </w:p>
        </w:tc>
      </w:tr>
      <w:tr w:rsidR="00584D59">
        <w:trPr>
          <w:trHeight w:val="284"/>
        </w:trPr>
        <w:tc>
          <w:tcPr>
            <w:tcW w:w="4911" w:type="dxa"/>
          </w:tcPr>
          <w:p w:rsidR="00584D59" w:rsidRDefault="00584D59">
            <w:pPr>
              <w:pStyle w:val="Avsndare"/>
              <w:framePr w:h="2483" w:wrap="notBeside" w:x="1504"/>
              <w:rPr>
                <w:bCs/>
                <w:iCs/>
              </w:rPr>
            </w:pPr>
            <w:r>
              <w:rPr>
                <w:bCs/>
                <w:iCs/>
              </w:rPr>
              <w:t>Internationella sekretariatet</w:t>
            </w:r>
          </w:p>
        </w:tc>
      </w:tr>
      <w:tr w:rsidR="00584D59">
        <w:trPr>
          <w:trHeight w:val="284"/>
        </w:trPr>
        <w:tc>
          <w:tcPr>
            <w:tcW w:w="4911" w:type="dxa"/>
          </w:tcPr>
          <w:p w:rsidR="00584D59" w:rsidRDefault="00584D59">
            <w:pPr>
              <w:pStyle w:val="Avsndare"/>
              <w:framePr w:h="2483" w:wrap="notBeside" w:x="1504"/>
              <w:rPr>
                <w:bCs/>
                <w:iCs/>
              </w:rPr>
            </w:pPr>
          </w:p>
        </w:tc>
      </w:tr>
      <w:tr w:rsidR="00584D59">
        <w:trPr>
          <w:trHeight w:val="284"/>
        </w:trPr>
        <w:tc>
          <w:tcPr>
            <w:tcW w:w="4911" w:type="dxa"/>
          </w:tcPr>
          <w:p w:rsidR="00584D59" w:rsidRDefault="00584D59">
            <w:pPr>
              <w:pStyle w:val="Avsndare"/>
              <w:framePr w:h="2483" w:wrap="notBeside" w:x="1504"/>
              <w:rPr>
                <w:bCs/>
                <w:iCs/>
              </w:rPr>
            </w:pPr>
          </w:p>
        </w:tc>
      </w:tr>
      <w:tr w:rsidR="00584D59">
        <w:trPr>
          <w:trHeight w:val="284"/>
        </w:trPr>
        <w:tc>
          <w:tcPr>
            <w:tcW w:w="4911" w:type="dxa"/>
          </w:tcPr>
          <w:p w:rsidR="00584D59" w:rsidRDefault="00584D59">
            <w:pPr>
              <w:pStyle w:val="Avsndare"/>
              <w:framePr w:h="2483" w:wrap="notBeside" w:x="1504"/>
              <w:rPr>
                <w:bCs/>
                <w:iCs/>
              </w:rPr>
            </w:pPr>
          </w:p>
        </w:tc>
      </w:tr>
      <w:tr w:rsidR="00584D59">
        <w:trPr>
          <w:trHeight w:val="284"/>
        </w:trPr>
        <w:tc>
          <w:tcPr>
            <w:tcW w:w="4911" w:type="dxa"/>
          </w:tcPr>
          <w:p w:rsidR="00584D59" w:rsidRDefault="00584D59">
            <w:pPr>
              <w:pStyle w:val="Avsndare"/>
              <w:framePr w:h="2483" w:wrap="notBeside" w:x="1504"/>
              <w:rPr>
                <w:bCs/>
                <w:iCs/>
              </w:rPr>
            </w:pPr>
          </w:p>
        </w:tc>
      </w:tr>
      <w:tr w:rsidR="00584D59">
        <w:trPr>
          <w:trHeight w:val="284"/>
        </w:trPr>
        <w:tc>
          <w:tcPr>
            <w:tcW w:w="4911" w:type="dxa"/>
          </w:tcPr>
          <w:p w:rsidR="00584D59" w:rsidRDefault="00584D59">
            <w:pPr>
              <w:pStyle w:val="Avsndare"/>
              <w:framePr w:h="2483" w:wrap="notBeside" w:x="1504"/>
              <w:rPr>
                <w:bCs/>
                <w:iCs/>
              </w:rPr>
            </w:pPr>
          </w:p>
        </w:tc>
      </w:tr>
      <w:tr w:rsidR="00584D59">
        <w:trPr>
          <w:trHeight w:val="284"/>
        </w:trPr>
        <w:tc>
          <w:tcPr>
            <w:tcW w:w="4911" w:type="dxa"/>
          </w:tcPr>
          <w:p w:rsidR="00584D59" w:rsidRDefault="00584D59">
            <w:pPr>
              <w:pStyle w:val="Avsndare"/>
              <w:framePr w:h="2483" w:wrap="notBeside" w:x="1504"/>
              <w:rPr>
                <w:bCs/>
                <w:iCs/>
              </w:rPr>
            </w:pPr>
          </w:p>
        </w:tc>
      </w:tr>
    </w:tbl>
    <w:p w:rsidR="00584D59" w:rsidRPr="006F3BEE" w:rsidRDefault="00584D59">
      <w:pPr>
        <w:framePr w:w="4400" w:h="2523" w:wrap="notBeside" w:vAnchor="page" w:hAnchor="page" w:x="6453" w:y="2445"/>
        <w:ind w:left="142"/>
        <w:rPr>
          <w:b/>
        </w:rPr>
      </w:pPr>
    </w:p>
    <w:p w:rsidR="00584D59" w:rsidRDefault="00584D59">
      <w:pPr>
        <w:pStyle w:val="RKrubrik"/>
        <w:pBdr>
          <w:bottom w:val="single" w:sz="6" w:space="1" w:color="auto"/>
        </w:pBdr>
      </w:pPr>
      <w:bookmarkStart w:id="1" w:name="bRubrik"/>
      <w:bookmarkEnd w:id="1"/>
      <w:r>
        <w:t>Konurrenkraftrådets möte 2-3 december 2013</w:t>
      </w:r>
    </w:p>
    <w:p w:rsidR="00584D59" w:rsidRDefault="00584D59">
      <w:pPr>
        <w:pStyle w:val="RKnormal"/>
      </w:pPr>
    </w:p>
    <w:p w:rsidR="00584D59" w:rsidRDefault="00584D59">
      <w:pPr>
        <w:pStyle w:val="RKnormal"/>
      </w:pPr>
      <w:r>
        <w:t>Dagordningspunkt 7 (a)</w:t>
      </w:r>
    </w:p>
    <w:p w:rsidR="00584D59" w:rsidRDefault="00584D59">
      <w:pPr>
        <w:pStyle w:val="RKnormal"/>
      </w:pPr>
    </w:p>
    <w:p w:rsidR="00584D59" w:rsidRPr="00140EC5" w:rsidRDefault="00584D59" w:rsidP="00C902C5">
      <w:pPr>
        <w:overflowPunct/>
        <w:autoSpaceDE/>
        <w:autoSpaceDN/>
        <w:adjustRightInd/>
        <w:spacing w:line="240" w:lineRule="auto"/>
        <w:textAlignment w:val="auto"/>
        <w:rPr>
          <w:rFonts w:ascii="Times New Roman" w:hAnsi="Times New Roman"/>
          <w:bCs/>
          <w:szCs w:val="24"/>
        </w:rPr>
      </w:pPr>
      <w:r w:rsidRPr="00140EC5">
        <w:rPr>
          <w:rFonts w:ascii="Times New Roman" w:hAnsi="Times New Roman"/>
          <w:bCs/>
          <w:szCs w:val="24"/>
        </w:rPr>
        <w:t xml:space="preserve">Bidrag till den Europeiska Terminen och kommande möten </w:t>
      </w:r>
      <w:r>
        <w:rPr>
          <w:rFonts w:ascii="Times New Roman" w:hAnsi="Times New Roman"/>
          <w:bCs/>
          <w:szCs w:val="24"/>
        </w:rPr>
        <w:t>i</w:t>
      </w:r>
      <w:r w:rsidRPr="00140EC5">
        <w:rPr>
          <w:rFonts w:ascii="Times New Roman" w:hAnsi="Times New Roman"/>
          <w:bCs/>
          <w:szCs w:val="24"/>
        </w:rPr>
        <w:t xml:space="preserve"> Europeiska rådet </w:t>
      </w:r>
    </w:p>
    <w:p w:rsidR="00584D59" w:rsidRPr="003A07BF" w:rsidRDefault="00584D59" w:rsidP="00C902C5">
      <w:pPr>
        <w:numPr>
          <w:ilvl w:val="0"/>
          <w:numId w:val="4"/>
        </w:numPr>
        <w:overflowPunct/>
        <w:autoSpaceDE/>
        <w:autoSpaceDN/>
        <w:adjustRightInd/>
        <w:spacing w:line="240" w:lineRule="auto"/>
        <w:jc w:val="both"/>
        <w:textAlignment w:val="auto"/>
        <w:outlineLvl w:val="1"/>
        <w:rPr>
          <w:rFonts w:ascii="Times New Roman" w:hAnsi="Times New Roman"/>
          <w:bCs/>
          <w:szCs w:val="24"/>
        </w:rPr>
      </w:pPr>
      <w:r w:rsidRPr="003A07BF">
        <w:rPr>
          <w:rFonts w:ascii="Times New Roman" w:hAnsi="Times New Roman"/>
          <w:bCs/>
          <w:i/>
          <w:szCs w:val="24"/>
        </w:rPr>
        <w:t>Diskussionspunkt</w:t>
      </w:r>
    </w:p>
    <w:p w:rsidR="00584D59" w:rsidRPr="00140EC5" w:rsidRDefault="00584D59" w:rsidP="00C902C5">
      <w:pPr>
        <w:numPr>
          <w:ilvl w:val="0"/>
          <w:numId w:val="2"/>
        </w:numPr>
        <w:overflowPunct/>
        <w:autoSpaceDE/>
        <w:autoSpaceDN/>
        <w:adjustRightInd/>
        <w:spacing w:line="240" w:lineRule="auto"/>
        <w:textAlignment w:val="auto"/>
        <w:outlineLvl w:val="0"/>
        <w:rPr>
          <w:rFonts w:ascii="Times New Roman" w:hAnsi="Times New Roman"/>
          <w:bCs/>
          <w:szCs w:val="24"/>
        </w:rPr>
      </w:pPr>
      <w:r w:rsidRPr="00140EC5">
        <w:rPr>
          <w:rFonts w:ascii="Times New Roman" w:hAnsi="Times New Roman"/>
          <w:bCs/>
          <w:szCs w:val="24"/>
        </w:rPr>
        <w:t xml:space="preserve">Meddelande från kommissionen om den årliga tillväxtrapporten 2014 och </w:t>
      </w:r>
      <w:r>
        <w:rPr>
          <w:rFonts w:ascii="Times New Roman" w:hAnsi="Times New Roman"/>
          <w:bCs/>
          <w:szCs w:val="24"/>
        </w:rPr>
        <w:t xml:space="preserve">den </w:t>
      </w:r>
      <w:r w:rsidRPr="00140EC5">
        <w:rPr>
          <w:rFonts w:ascii="Times New Roman" w:hAnsi="Times New Roman"/>
          <w:bCs/>
          <w:szCs w:val="24"/>
        </w:rPr>
        <w:t xml:space="preserve">årliga </w:t>
      </w:r>
      <w:r w:rsidRPr="00037D1C">
        <w:rPr>
          <w:rFonts w:ascii="Times New Roman" w:hAnsi="Times New Roman"/>
          <w:bCs/>
          <w:szCs w:val="24"/>
        </w:rPr>
        <w:t>integrationsrapport</w:t>
      </w:r>
      <w:r>
        <w:rPr>
          <w:rFonts w:ascii="Times New Roman" w:hAnsi="Times New Roman"/>
          <w:bCs/>
          <w:szCs w:val="24"/>
        </w:rPr>
        <w:t>en</w:t>
      </w:r>
      <w:r w:rsidRPr="00037D1C">
        <w:rPr>
          <w:rFonts w:ascii="Times New Roman" w:hAnsi="Times New Roman"/>
          <w:bCs/>
          <w:szCs w:val="24"/>
        </w:rPr>
        <w:t xml:space="preserve"> för den inre marknaden</w:t>
      </w:r>
      <w:r w:rsidRPr="00140EC5">
        <w:rPr>
          <w:rFonts w:ascii="Times New Roman" w:hAnsi="Times New Roman"/>
          <w:bCs/>
          <w:szCs w:val="24"/>
        </w:rPr>
        <w:t xml:space="preserve">2014 </w:t>
      </w:r>
    </w:p>
    <w:p w:rsidR="00584D59" w:rsidRPr="00140EC5" w:rsidRDefault="00584D59" w:rsidP="00C902C5">
      <w:pPr>
        <w:overflowPunct/>
        <w:autoSpaceDE/>
        <w:autoSpaceDN/>
        <w:adjustRightInd/>
        <w:spacing w:line="240" w:lineRule="auto"/>
        <w:ind w:left="927"/>
        <w:textAlignment w:val="auto"/>
        <w:outlineLvl w:val="0"/>
        <w:rPr>
          <w:rFonts w:ascii="Times New Roman" w:hAnsi="Times New Roman"/>
          <w:bCs/>
          <w:szCs w:val="24"/>
        </w:rPr>
      </w:pPr>
    </w:p>
    <w:p w:rsidR="00584D59" w:rsidRDefault="00584D59" w:rsidP="00C902C5">
      <w:pPr>
        <w:numPr>
          <w:ilvl w:val="0"/>
          <w:numId w:val="3"/>
        </w:numPr>
        <w:overflowPunct/>
        <w:autoSpaceDE/>
        <w:autoSpaceDN/>
        <w:adjustRightInd/>
        <w:spacing w:line="240" w:lineRule="auto"/>
        <w:textAlignment w:val="auto"/>
        <w:outlineLvl w:val="1"/>
        <w:rPr>
          <w:rFonts w:ascii="Times New Roman" w:hAnsi="Times New Roman"/>
          <w:i/>
          <w:szCs w:val="24"/>
        </w:rPr>
      </w:pPr>
      <w:r w:rsidRPr="00140EC5">
        <w:rPr>
          <w:rFonts w:ascii="Times New Roman" w:hAnsi="Times New Roman"/>
          <w:i/>
          <w:szCs w:val="24"/>
        </w:rPr>
        <w:t>Presentation av kommissionen</w:t>
      </w:r>
    </w:p>
    <w:p w:rsidR="00584D59" w:rsidRDefault="00584D59">
      <w:pPr>
        <w:pStyle w:val="RKnormal"/>
      </w:pPr>
    </w:p>
    <w:p w:rsidR="00584D59" w:rsidRPr="006F3BEE" w:rsidRDefault="00584D59" w:rsidP="006F3BEE">
      <w:pPr>
        <w:pStyle w:val="RKnormal"/>
        <w:rPr>
          <w:i/>
        </w:rPr>
      </w:pPr>
      <w:r>
        <w:t xml:space="preserve">Dokument: </w:t>
      </w:r>
      <w:r w:rsidRPr="006F3BEE">
        <w:t xml:space="preserve">16173/13, 15803/13, 16171/13 </w:t>
      </w:r>
    </w:p>
    <w:p w:rsidR="00584D59" w:rsidRDefault="00584D59">
      <w:pPr>
        <w:pStyle w:val="RKnormal"/>
      </w:pPr>
    </w:p>
    <w:p w:rsidR="00584D59" w:rsidRDefault="00584D59">
      <w:pPr>
        <w:pStyle w:val="RKnormal"/>
      </w:pPr>
      <w:r>
        <w:t>Tidigare behandlad vid samråd med EU-nämnden: -</w:t>
      </w:r>
    </w:p>
    <w:p w:rsidR="00584D59" w:rsidRDefault="00584D59">
      <w:pPr>
        <w:pStyle w:val="RKnormal"/>
      </w:pPr>
    </w:p>
    <w:p w:rsidR="00584D59" w:rsidRDefault="00584D59">
      <w:pPr>
        <w:pStyle w:val="RKrubrik"/>
      </w:pPr>
      <w:r>
        <w:t>Bakgrund</w:t>
      </w:r>
    </w:p>
    <w:p w:rsidR="00584D59" w:rsidRDefault="00584D59">
      <w:pPr>
        <w:pStyle w:val="RKnormal"/>
      </w:pPr>
    </w:p>
    <w:p w:rsidR="00584D59" w:rsidRPr="006F3BEE" w:rsidRDefault="00584D59" w:rsidP="006F3BEE">
      <w:pPr>
        <w:pStyle w:val="RKnormal"/>
      </w:pPr>
      <w:r w:rsidRPr="006F3BEE">
        <w:t>Under dagordningspunkten kommer kommissionen att presentera den årliga tillväxtrapporten och integrationsrapporten för den inre marknaden.Ordförandeskapet väntas därefter inbjuda till diskussion med utgångspunkt i frågorna i dokument 16173/13 och mot bakgrund av de tre rådsslutsatser på området för industriinremarknad och smart lagstiftning, vilka behandlas i separata PM till Riksdagen avseende dagordningspunkt 7 b-d.</w:t>
      </w:r>
    </w:p>
    <w:p w:rsidR="00584D59" w:rsidRDefault="00584D59">
      <w:pPr>
        <w:pStyle w:val="RKnormal"/>
      </w:pPr>
    </w:p>
    <w:p w:rsidR="00584D59" w:rsidRDefault="00584D59">
      <w:pPr>
        <w:pStyle w:val="RKrubrik"/>
      </w:pPr>
      <w:r>
        <w:t>Rättslig grund och beslutsförfarande</w:t>
      </w:r>
    </w:p>
    <w:p w:rsidR="00584D59" w:rsidRDefault="00584D59">
      <w:pPr>
        <w:pStyle w:val="RKnormal"/>
      </w:pPr>
      <w:r w:rsidRPr="006F3BEE">
        <w:t>Ej rele</w:t>
      </w:r>
      <w:r>
        <w:t>vant – endast diskussionspunkt.</w:t>
      </w:r>
    </w:p>
    <w:p w:rsidR="00584D59" w:rsidRDefault="00584D59">
      <w:pPr>
        <w:pStyle w:val="RKrubrik"/>
        <w:rPr>
          <w:i/>
          <w:iCs/>
        </w:rPr>
      </w:pPr>
      <w:r>
        <w:rPr>
          <w:i/>
          <w:iCs/>
        </w:rPr>
        <w:t>Svensk ståndpunkt</w:t>
      </w:r>
    </w:p>
    <w:p w:rsidR="00584D59" w:rsidRPr="006F3BEE" w:rsidRDefault="00584D59" w:rsidP="006F3BEE">
      <w:pPr>
        <w:pStyle w:val="RKnormal"/>
      </w:pPr>
      <w:r w:rsidRPr="006F3BEE">
        <w:t>Regeringen välkomnar kommissionens information rörande den årliga tillväxtrapporten och integrationsrapporten för den inre marknaden</w:t>
      </w:r>
      <w:r w:rsidRPr="00C61E2A">
        <w:t>och välkomnar en diskussion som bidrag till den Europeiska terminen och kommande Europeiska råd.</w:t>
      </w:r>
    </w:p>
    <w:p w:rsidR="00584D59" w:rsidRPr="006F3BEE" w:rsidRDefault="00584D59" w:rsidP="006F3BEE">
      <w:pPr>
        <w:pStyle w:val="RKnormal"/>
      </w:pPr>
    </w:p>
    <w:p w:rsidR="00584D59" w:rsidRPr="006F3BEE" w:rsidRDefault="00584D59" w:rsidP="006F3BEE">
      <w:pPr>
        <w:pStyle w:val="RKnormal"/>
      </w:pPr>
      <w:r w:rsidRPr="006F3BEE">
        <w:t>Regeringen föreslår att SE i diskussionen kan lyfta fram följande huvudbudskap;</w:t>
      </w:r>
    </w:p>
    <w:p w:rsidR="00584D59" w:rsidRPr="006F3BEE" w:rsidRDefault="00584D59" w:rsidP="006F3BEE">
      <w:pPr>
        <w:pStyle w:val="RKnormal"/>
      </w:pPr>
    </w:p>
    <w:p w:rsidR="00584D59" w:rsidRPr="006F3BEE" w:rsidRDefault="00584D59" w:rsidP="006F3BEE">
      <w:pPr>
        <w:pStyle w:val="RKnormal"/>
      </w:pPr>
      <w:r w:rsidRPr="006F3BEE">
        <w:t>- Europas framtida konkurrenskraft ligger i att ställa om till en långsiktigt hållbar och resurseffektiv ekonomi i syfte att svara mot växande efterfrågan och samhälleliga utmaningar.</w:t>
      </w:r>
    </w:p>
    <w:p w:rsidR="00584D59" w:rsidRPr="006F3BEE" w:rsidRDefault="00584D59" w:rsidP="006F3BEE">
      <w:pPr>
        <w:pStyle w:val="RKnormal"/>
      </w:pPr>
    </w:p>
    <w:p w:rsidR="00584D59" w:rsidRPr="006F3BEE" w:rsidRDefault="00584D59" w:rsidP="006F3BEE">
      <w:pPr>
        <w:pStyle w:val="RKnormal"/>
      </w:pPr>
      <w:r w:rsidRPr="006F3BEE">
        <w:t>- Politiken skall tillhandahålla förutsättningar för</w:t>
      </w:r>
      <w:r>
        <w:t xml:space="preserve"> långsiktigt</w:t>
      </w:r>
      <w:r w:rsidRPr="006F3BEE">
        <w:t xml:space="preserve"> goda ramvillkor för företag och företagande bl.a. genom smart lagstiftning och tillämpning av ”tänk småskaligt först” principen. </w:t>
      </w:r>
    </w:p>
    <w:p w:rsidR="00584D59" w:rsidRPr="006F3BEE" w:rsidRDefault="00584D59" w:rsidP="006F3BEE">
      <w:pPr>
        <w:pStyle w:val="RKnormal"/>
      </w:pPr>
    </w:p>
    <w:p w:rsidR="00584D59" w:rsidRPr="006F3BEE" w:rsidRDefault="00584D59" w:rsidP="006F3BEE">
      <w:pPr>
        <w:pStyle w:val="RKnormal"/>
      </w:pPr>
      <w:r w:rsidRPr="006F3BEE">
        <w:t>- Europa ska konkurrera med sin starka innovationskraft i framtiden. Betydelsen av såväl nationella satsningar på forskning och innovation, som satsningar på EU-nivå inom ramen för en oförändrad utgiftsnivå, bör därmed understrykas.</w:t>
      </w:r>
    </w:p>
    <w:p w:rsidR="00584D59" w:rsidRPr="006F3BEE" w:rsidRDefault="00584D59" w:rsidP="006F3BEE">
      <w:pPr>
        <w:pStyle w:val="RKnormal"/>
      </w:pPr>
    </w:p>
    <w:p w:rsidR="00584D59" w:rsidRPr="006F3BEE" w:rsidRDefault="00584D59" w:rsidP="006F3BEE">
      <w:pPr>
        <w:pStyle w:val="RKnormal"/>
      </w:pPr>
      <w:r w:rsidRPr="006F3BEE">
        <w:t>- Vikten av fri och öppen handel bör lyftas fram tydligare som ett centralt tillväxtområde. En öppen handel mot tredje länder är en förutsättning för ett starkt och konkurrenskraftigt Europa.</w:t>
      </w:r>
    </w:p>
    <w:p w:rsidR="00584D59" w:rsidRPr="006F3BEE" w:rsidRDefault="00584D59" w:rsidP="006F3BEE">
      <w:pPr>
        <w:pStyle w:val="RKnormal"/>
      </w:pPr>
    </w:p>
    <w:p w:rsidR="00584D59" w:rsidRPr="006F3BEE" w:rsidRDefault="00584D59" w:rsidP="00E23FED">
      <w:pPr>
        <w:pStyle w:val="RKnormal"/>
      </w:pPr>
      <w:r>
        <w:t>-</w:t>
      </w:r>
      <w:r w:rsidRPr="006F3BEE">
        <w:t>Fokus bör ges till åtgärder inom områden som snabbast genererar stärkt sysselsättning och tillväxt och i sammanhanget särskilt beakta tjänstehandelns och den digitala marknadens betydelse.</w:t>
      </w:r>
    </w:p>
    <w:p w:rsidR="00584D59" w:rsidRPr="006F3BEE" w:rsidRDefault="00584D59" w:rsidP="006F3BEE">
      <w:pPr>
        <w:pStyle w:val="RKnormal"/>
      </w:pPr>
    </w:p>
    <w:p w:rsidR="00584D59" w:rsidRPr="006F3BEE" w:rsidRDefault="00584D59" w:rsidP="00E23FED">
      <w:pPr>
        <w:pStyle w:val="RKnormal"/>
      </w:pPr>
      <w:r>
        <w:t>-</w:t>
      </w:r>
      <w:r w:rsidRPr="006F3BEE">
        <w:t>Kvinnors företagande och arbetsmarknadsdeltagande är viktiga faktorer för tillväxt.</w:t>
      </w:r>
    </w:p>
    <w:p w:rsidR="00584D59" w:rsidRPr="006F3BEE" w:rsidRDefault="00584D59" w:rsidP="006F3BEE">
      <w:pPr>
        <w:pStyle w:val="RKnormal"/>
      </w:pPr>
    </w:p>
    <w:p w:rsidR="00584D59" w:rsidRPr="006F3BEE" w:rsidRDefault="00584D59" w:rsidP="00E23FED">
      <w:pPr>
        <w:pStyle w:val="RKnormal"/>
      </w:pPr>
      <w:r>
        <w:t>-</w:t>
      </w:r>
      <w:r w:rsidRPr="006F3BEE">
        <w:t xml:space="preserve">Stärkt tillämpning av den inre marknadens regelverk är centralt både för att främja sysselsättning och för att stärka tillväxten. Det är därför angeläget att dessa frågor behandlas inom ramen för terminen. </w:t>
      </w:r>
    </w:p>
    <w:p w:rsidR="00584D59" w:rsidRPr="006F3BEE" w:rsidRDefault="00584D59" w:rsidP="006F3BEE">
      <w:pPr>
        <w:pStyle w:val="RKnormal"/>
      </w:pPr>
    </w:p>
    <w:p w:rsidR="00584D59" w:rsidRPr="006F3BEE" w:rsidRDefault="00584D59" w:rsidP="00E23FED">
      <w:pPr>
        <w:pStyle w:val="RKnormal"/>
      </w:pPr>
      <w:r>
        <w:t>-</w:t>
      </w:r>
      <w:r w:rsidRPr="006F3BEE">
        <w:t xml:space="preserve">Vikten av att alla medlemsstater genomför gemensamt beslutade rättsakter i tid är centralt. Ett samstämmigt och korrekt genomförande och tillämpning är grundläggande för den inre marknadens funktion och för att lagstiftningen ska uppnå sitt syfte. </w:t>
      </w:r>
    </w:p>
    <w:p w:rsidR="00584D59" w:rsidRPr="006F3BEE" w:rsidRDefault="00584D59" w:rsidP="006F3BEE">
      <w:pPr>
        <w:pStyle w:val="RKnormal"/>
      </w:pPr>
    </w:p>
    <w:p w:rsidR="00584D59" w:rsidRDefault="00584D59">
      <w:pPr>
        <w:pStyle w:val="RKrubrik"/>
      </w:pPr>
      <w:r>
        <w:t>Europaparlamentets inställning</w:t>
      </w:r>
    </w:p>
    <w:p w:rsidR="00584D59" w:rsidRDefault="00584D59">
      <w:pPr>
        <w:pStyle w:val="RKnormal"/>
      </w:pPr>
      <w:r>
        <w:t>-</w:t>
      </w:r>
    </w:p>
    <w:p w:rsidR="00584D59" w:rsidRDefault="00584D59">
      <w:pPr>
        <w:pStyle w:val="RKrubrik"/>
        <w:rPr>
          <w:i/>
          <w:iCs/>
        </w:rPr>
      </w:pPr>
      <w:r>
        <w:rPr>
          <w:i/>
          <w:iCs/>
        </w:rPr>
        <w:t>Förslaget</w:t>
      </w:r>
    </w:p>
    <w:p w:rsidR="00584D59" w:rsidRPr="00C902C5" w:rsidRDefault="00584D59" w:rsidP="00C902C5">
      <w:pPr>
        <w:pStyle w:val="RKnormal"/>
      </w:pPr>
      <w:r w:rsidRPr="00C902C5">
        <w:t>Den 13 november 2013 presenterade kommissionen sin årliga tillväxtrapport för 2014. Rapporten anger förslag till övergripande prioriteringar för den ekonomiska politiken och sysselsättningspolitiken för de kommande 12 månaderna inom ramen för den europeiska terminen 2014.  Medlemsstaterna uppmanas att återigen fokusera på att driva differentierad, tillväxtfrämjande finanspolitisk konsolidering, återgå till en stabilare lånemarknad, främja tillväxt och konkurrenskraft, bekämpa arbetslösheten och de sociala konsekvenserna av krisen och att modernisera den offentliga förvaltningen. Den viktigaste prioriteringen är att skapa tillväxt och konkurrenskraft.</w:t>
      </w:r>
    </w:p>
    <w:p w:rsidR="00584D59" w:rsidRPr="00C902C5" w:rsidRDefault="00584D59" w:rsidP="00C902C5">
      <w:pPr>
        <w:pStyle w:val="RKnormal"/>
      </w:pPr>
    </w:p>
    <w:p w:rsidR="00584D59" w:rsidRPr="00C902C5" w:rsidRDefault="00584D59" w:rsidP="00C902C5">
      <w:pPr>
        <w:pStyle w:val="RKnormal"/>
      </w:pPr>
      <w:r w:rsidRPr="00C902C5">
        <w:t xml:space="preserve">I samband med den årliga tillväxtrapporten presenterade kommissionen för andra året en integrationsrapport för den inre marknaden. Rapporten bidrar till tillväxtrapportens övergripande prioriteringar och inför framtagandet av landspecifika rekommendationer inom ramen för den europeiska terminen. </w:t>
      </w:r>
    </w:p>
    <w:p w:rsidR="00584D59" w:rsidRPr="00C902C5" w:rsidRDefault="00584D59" w:rsidP="00C902C5">
      <w:pPr>
        <w:pStyle w:val="RKnormal"/>
        <w:rPr>
          <w:i/>
        </w:rPr>
      </w:pPr>
    </w:p>
    <w:p w:rsidR="00584D59" w:rsidRPr="00C902C5" w:rsidRDefault="00584D59" w:rsidP="00C902C5">
      <w:pPr>
        <w:pStyle w:val="RKnormal"/>
      </w:pPr>
      <w:r w:rsidRPr="00C902C5">
        <w:t xml:space="preserve">Integrationsrapporten fokuserar liksom föregående år på tre nyckelområden där tillväxtpotentialen bedöms störst; tjänster, nätverkstjänster och den digitala ekonomin. Nytt för i år är att kommissionen lägger till finansiella tjänster. Som en första utgångspunkt i integrationsrapporten hänvisas till betydelsen av ett genomförande enligt tidsplan av gemensamt beslutade rättsakter på inre marknadsområdet samt en korrekt efterlevnad av regelverket. Därefter presenterar kommissionen en analys av påbörjade reformer och flaskhalsar som återstår för vissa allmänna delar av tjänstemarknaderna, för finansiella tjänster samt inom energi-, transport- och de s.k. digitala marknaderna (s.k. nätverkstjänster). De hinder för ökad integration som genomgående identifierats är bl.a. ett behov av ökat marknadstillträde, brist på konkurrens på befintliga marknader samt ett korrekt genomförande enligt tidsplan av gemensamt beslutade rättsakter. </w:t>
      </w:r>
    </w:p>
    <w:p w:rsidR="00584D59" w:rsidRPr="00C902C5" w:rsidRDefault="00584D59" w:rsidP="00C902C5">
      <w:pPr>
        <w:pStyle w:val="RKnormal"/>
      </w:pPr>
    </w:p>
    <w:p w:rsidR="00584D59" w:rsidRPr="00C902C5" w:rsidRDefault="00584D59" w:rsidP="00C902C5">
      <w:pPr>
        <w:pStyle w:val="RKnormal"/>
      </w:pPr>
      <w:r w:rsidRPr="00C902C5">
        <w:t>Det litauiska ordförandeskapet har inför mötet presenterat ett underlag som vägledning inför rådsdiskussionen med två frågeställningar som berör konkurrenskraftsministrarnas ansvarsområden;</w:t>
      </w:r>
    </w:p>
    <w:p w:rsidR="00584D59" w:rsidRPr="00C902C5" w:rsidRDefault="00584D59" w:rsidP="00C902C5">
      <w:pPr>
        <w:pStyle w:val="RKnormal"/>
      </w:pPr>
      <w:r w:rsidRPr="00C902C5">
        <w:t>- Vilka områden inom Konkurrenskraftsrådets ansvarsområde med mest positiv effekt på konkurrenskraften skulle vara lämpliga för närmare ekonomisk-politisk samordning, inklusive föremål för löpande övervakning av framsteg i  strukturreformsarbetet ?</w:t>
      </w:r>
    </w:p>
    <w:p w:rsidR="00584D59" w:rsidRPr="00C902C5" w:rsidRDefault="00584D59" w:rsidP="00C902C5">
      <w:pPr>
        <w:pStyle w:val="RKnormal"/>
      </w:pPr>
      <w:r w:rsidRPr="00C902C5">
        <w:t>- Utifrån förhandlingarna om rådslutsatser och diskussioner med berörda, vilka är de tre huvudbudskapen från KKR inför Europeiska rådet i februari med syfte att främja industriell konkurrenskraft i Europa?</w:t>
      </w:r>
    </w:p>
    <w:p w:rsidR="00584D59" w:rsidRDefault="00584D59">
      <w:pPr>
        <w:pStyle w:val="RKnormal"/>
      </w:pPr>
    </w:p>
    <w:p w:rsidR="00584D59" w:rsidRDefault="00584D59">
      <w:pPr>
        <w:pStyle w:val="RKrubrik"/>
        <w:rPr>
          <w:i/>
          <w:iCs/>
        </w:rPr>
      </w:pPr>
      <w:r>
        <w:rPr>
          <w:i/>
          <w:iCs/>
        </w:rPr>
        <w:t>Gällande svenska regler och förslagets effekter på dessa</w:t>
      </w:r>
    </w:p>
    <w:p w:rsidR="00584D59" w:rsidRDefault="00584D59">
      <w:pPr>
        <w:pStyle w:val="RKnormal"/>
      </w:pPr>
      <w:r>
        <w:t>-</w:t>
      </w:r>
    </w:p>
    <w:p w:rsidR="00584D59" w:rsidRDefault="00584D59">
      <w:pPr>
        <w:pStyle w:val="RKrubrik"/>
      </w:pPr>
      <w:r>
        <w:t>Ekonomiska konsekvenser</w:t>
      </w:r>
    </w:p>
    <w:p w:rsidR="00584D59" w:rsidRPr="00E23FED" w:rsidRDefault="00584D59" w:rsidP="00E23FED">
      <w:pPr>
        <w:pStyle w:val="RKnormal"/>
      </w:pPr>
      <w:r w:rsidRPr="00E23FED">
        <w:t>Ej relevant – endast diskussionspunkt.</w:t>
      </w:r>
    </w:p>
    <w:p w:rsidR="00584D59" w:rsidRDefault="00584D59">
      <w:pPr>
        <w:pStyle w:val="RKnormal"/>
      </w:pPr>
    </w:p>
    <w:p w:rsidR="00584D59" w:rsidRDefault="00584D59">
      <w:pPr>
        <w:pStyle w:val="RKrubrik"/>
      </w:pPr>
      <w:r>
        <w:t>Övrigt</w:t>
      </w:r>
    </w:p>
    <w:p w:rsidR="00584D59" w:rsidRDefault="00584D59">
      <w:pPr>
        <w:pStyle w:val="RKnormal"/>
      </w:pPr>
    </w:p>
    <w:p w:rsidR="00584D59" w:rsidRDefault="00584D59">
      <w:pPr>
        <w:pStyle w:val="RKnormal"/>
        <w:rPr>
          <w:i/>
          <w:iCs/>
        </w:rPr>
      </w:pPr>
    </w:p>
    <w:p w:rsidR="00584D59" w:rsidRDefault="00584D59">
      <w:pPr>
        <w:pStyle w:val="RKnormal"/>
        <w:ind w:left="-1134"/>
      </w:pPr>
    </w:p>
    <w:p w:rsidR="00584D59" w:rsidRDefault="00584D59">
      <w:pPr>
        <w:pStyle w:val="RKrubrik"/>
        <w:spacing w:before="0" w:after="0"/>
      </w:pPr>
    </w:p>
    <w:p w:rsidR="00584D59" w:rsidRDefault="00584D59">
      <w:pPr>
        <w:pStyle w:val="RKnormal"/>
      </w:pPr>
    </w:p>
    <w:sectPr w:rsidR="00584D59" w:rsidSect="00355C1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59" w:rsidRDefault="00584D59">
      <w:r>
        <w:separator/>
      </w:r>
    </w:p>
  </w:endnote>
  <w:endnote w:type="continuationSeparator" w:id="1">
    <w:p w:rsidR="00584D59" w:rsidRDefault="00584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59" w:rsidRDefault="00584D59">
      <w:r>
        <w:separator/>
      </w:r>
    </w:p>
  </w:footnote>
  <w:footnote w:type="continuationSeparator" w:id="1">
    <w:p w:rsidR="00584D59" w:rsidRDefault="00584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59" w:rsidRDefault="00584D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84D59">
      <w:trPr>
        <w:cantSplit/>
      </w:trPr>
      <w:tc>
        <w:tcPr>
          <w:tcW w:w="3119" w:type="dxa"/>
        </w:tcPr>
        <w:p w:rsidR="00584D59" w:rsidRDefault="00584D59">
          <w:pPr>
            <w:pStyle w:val="Header"/>
            <w:spacing w:line="200" w:lineRule="atLeast"/>
            <w:ind w:right="357"/>
            <w:rPr>
              <w:rFonts w:ascii="TradeGothic" w:hAnsi="TradeGothic"/>
              <w:b/>
              <w:bCs/>
              <w:sz w:val="16"/>
            </w:rPr>
          </w:pPr>
        </w:p>
      </w:tc>
      <w:tc>
        <w:tcPr>
          <w:tcW w:w="4111" w:type="dxa"/>
          <w:tcMar>
            <w:left w:w="567" w:type="dxa"/>
          </w:tcMar>
        </w:tcPr>
        <w:p w:rsidR="00584D59" w:rsidRDefault="00584D59">
          <w:pPr>
            <w:pStyle w:val="Header"/>
            <w:ind w:right="360"/>
          </w:pPr>
        </w:p>
      </w:tc>
      <w:tc>
        <w:tcPr>
          <w:tcW w:w="1525" w:type="dxa"/>
        </w:tcPr>
        <w:p w:rsidR="00584D59" w:rsidRDefault="00584D59">
          <w:pPr>
            <w:pStyle w:val="Header"/>
            <w:ind w:right="360"/>
          </w:pPr>
        </w:p>
      </w:tc>
    </w:tr>
  </w:tbl>
  <w:p w:rsidR="00584D59" w:rsidRDefault="00584D5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59" w:rsidRDefault="00584D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584D59">
      <w:trPr>
        <w:cantSplit/>
      </w:trPr>
      <w:tc>
        <w:tcPr>
          <w:tcW w:w="3119" w:type="dxa"/>
        </w:tcPr>
        <w:p w:rsidR="00584D59" w:rsidRDefault="00584D59">
          <w:pPr>
            <w:pStyle w:val="Header"/>
            <w:spacing w:line="200" w:lineRule="atLeast"/>
            <w:ind w:right="357"/>
            <w:rPr>
              <w:rFonts w:ascii="TradeGothic" w:hAnsi="TradeGothic"/>
              <w:b/>
              <w:bCs/>
              <w:sz w:val="16"/>
            </w:rPr>
          </w:pPr>
        </w:p>
      </w:tc>
      <w:tc>
        <w:tcPr>
          <w:tcW w:w="4111" w:type="dxa"/>
          <w:tcMar>
            <w:left w:w="567" w:type="dxa"/>
          </w:tcMar>
        </w:tcPr>
        <w:p w:rsidR="00584D59" w:rsidRDefault="00584D59">
          <w:pPr>
            <w:pStyle w:val="Header"/>
            <w:ind w:right="360"/>
          </w:pPr>
        </w:p>
      </w:tc>
      <w:tc>
        <w:tcPr>
          <w:tcW w:w="1525" w:type="dxa"/>
        </w:tcPr>
        <w:p w:rsidR="00584D59" w:rsidRDefault="00584D59">
          <w:pPr>
            <w:pStyle w:val="Header"/>
            <w:ind w:right="360"/>
          </w:pPr>
        </w:p>
      </w:tc>
    </w:tr>
  </w:tbl>
  <w:p w:rsidR="00584D59" w:rsidRDefault="00584D5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D59" w:rsidRDefault="00584D59">
    <w:pPr>
      <w:framePr w:w="2948" w:h="1321" w:hRule="exact" w:wrap="notBeside" w:vAnchor="page" w:hAnchor="page" w:x="1362" w:y="653"/>
    </w:pPr>
    <w:r w:rsidRPr="00347C0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84D59" w:rsidRDefault="00584D59">
    <w:pPr>
      <w:pStyle w:val="RKrubrik"/>
      <w:keepNext w:val="0"/>
      <w:tabs>
        <w:tab w:val="clear" w:pos="1134"/>
        <w:tab w:val="clear" w:pos="2835"/>
      </w:tabs>
      <w:spacing w:before="0" w:after="0" w:line="320" w:lineRule="atLeast"/>
      <w:rPr>
        <w:bCs/>
      </w:rPr>
    </w:pPr>
  </w:p>
  <w:p w:rsidR="00584D59" w:rsidRDefault="00584D59">
    <w:pPr>
      <w:rPr>
        <w:rFonts w:ascii="TradeGothic" w:hAnsi="TradeGothic"/>
        <w:b/>
        <w:bCs/>
        <w:spacing w:val="12"/>
        <w:sz w:val="22"/>
      </w:rPr>
    </w:pPr>
  </w:p>
  <w:p w:rsidR="00584D59" w:rsidRDefault="00584D59">
    <w:pPr>
      <w:pStyle w:val="RKrubrik"/>
      <w:keepNext w:val="0"/>
      <w:tabs>
        <w:tab w:val="clear" w:pos="1134"/>
        <w:tab w:val="clear" w:pos="2835"/>
      </w:tabs>
      <w:spacing w:before="0" w:after="0" w:line="320" w:lineRule="atLeast"/>
      <w:rPr>
        <w:bCs/>
      </w:rPr>
    </w:pPr>
  </w:p>
  <w:p w:rsidR="00584D59" w:rsidRDefault="00584D5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666"/>
    <w:multiLevelType w:val="hybridMultilevel"/>
    <w:tmpl w:val="D14E186E"/>
    <w:lvl w:ilvl="0" w:tplc="4064CECA">
      <w:start w:val="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8394BC9"/>
    <w:multiLevelType w:val="hybridMultilevel"/>
    <w:tmpl w:val="76E0FD20"/>
    <w:lvl w:ilvl="0" w:tplc="0F966C42">
      <w:start w:val="1"/>
      <w:numFmt w:val="bullet"/>
      <w:lvlText w:val="-"/>
      <w:lvlJc w:val="left"/>
      <w:pPr>
        <w:ind w:left="1494" w:hanging="360"/>
      </w:pPr>
      <w:rPr>
        <w:rFonts w:ascii="Times New Roman" w:eastAsia="Times New Roman" w:hAnsi="Times New Roman" w:hint="default"/>
      </w:rPr>
    </w:lvl>
    <w:lvl w:ilvl="1" w:tplc="041D0003" w:tentative="1">
      <w:start w:val="1"/>
      <w:numFmt w:val="bullet"/>
      <w:lvlText w:val="o"/>
      <w:lvlJc w:val="left"/>
      <w:pPr>
        <w:ind w:left="2214" w:hanging="360"/>
      </w:pPr>
      <w:rPr>
        <w:rFonts w:ascii="Courier New" w:hAnsi="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nsid w:val="5A3A3D1B"/>
    <w:multiLevelType w:val="hybridMultilevel"/>
    <w:tmpl w:val="D65C4022"/>
    <w:lvl w:ilvl="0" w:tplc="95406108">
      <w:start w:val="1"/>
      <w:numFmt w:val="lowerLetter"/>
      <w:lvlText w:val="(%1)"/>
      <w:lvlJc w:val="left"/>
      <w:pPr>
        <w:ind w:left="927" w:hanging="360"/>
      </w:pPr>
      <w:rPr>
        <w:rFonts w:cs="Times New Roman" w:hint="default"/>
      </w:rPr>
    </w:lvl>
    <w:lvl w:ilvl="1" w:tplc="041D0019" w:tentative="1">
      <w:start w:val="1"/>
      <w:numFmt w:val="lowerLetter"/>
      <w:lvlText w:val="%2."/>
      <w:lvlJc w:val="left"/>
      <w:pPr>
        <w:ind w:left="1647" w:hanging="360"/>
      </w:pPr>
      <w:rPr>
        <w:rFonts w:cs="Times New Roman"/>
      </w:rPr>
    </w:lvl>
    <w:lvl w:ilvl="2" w:tplc="041D001B" w:tentative="1">
      <w:start w:val="1"/>
      <w:numFmt w:val="lowerRoman"/>
      <w:lvlText w:val="%3."/>
      <w:lvlJc w:val="right"/>
      <w:pPr>
        <w:ind w:left="2367" w:hanging="180"/>
      </w:pPr>
      <w:rPr>
        <w:rFonts w:cs="Times New Roman"/>
      </w:rPr>
    </w:lvl>
    <w:lvl w:ilvl="3" w:tplc="041D000F" w:tentative="1">
      <w:start w:val="1"/>
      <w:numFmt w:val="decimal"/>
      <w:lvlText w:val="%4."/>
      <w:lvlJc w:val="left"/>
      <w:pPr>
        <w:ind w:left="3087" w:hanging="360"/>
      </w:pPr>
      <w:rPr>
        <w:rFonts w:cs="Times New Roman"/>
      </w:rPr>
    </w:lvl>
    <w:lvl w:ilvl="4" w:tplc="041D0019" w:tentative="1">
      <w:start w:val="1"/>
      <w:numFmt w:val="lowerLetter"/>
      <w:lvlText w:val="%5."/>
      <w:lvlJc w:val="left"/>
      <w:pPr>
        <w:ind w:left="3807" w:hanging="360"/>
      </w:pPr>
      <w:rPr>
        <w:rFonts w:cs="Times New Roman"/>
      </w:rPr>
    </w:lvl>
    <w:lvl w:ilvl="5" w:tplc="041D001B" w:tentative="1">
      <w:start w:val="1"/>
      <w:numFmt w:val="lowerRoman"/>
      <w:lvlText w:val="%6."/>
      <w:lvlJc w:val="right"/>
      <w:pPr>
        <w:ind w:left="4527" w:hanging="180"/>
      </w:pPr>
      <w:rPr>
        <w:rFonts w:cs="Times New Roman"/>
      </w:rPr>
    </w:lvl>
    <w:lvl w:ilvl="6" w:tplc="041D000F" w:tentative="1">
      <w:start w:val="1"/>
      <w:numFmt w:val="decimal"/>
      <w:lvlText w:val="%7."/>
      <w:lvlJc w:val="left"/>
      <w:pPr>
        <w:ind w:left="5247" w:hanging="360"/>
      </w:pPr>
      <w:rPr>
        <w:rFonts w:cs="Times New Roman"/>
      </w:rPr>
    </w:lvl>
    <w:lvl w:ilvl="7" w:tplc="041D0019" w:tentative="1">
      <w:start w:val="1"/>
      <w:numFmt w:val="lowerLetter"/>
      <w:lvlText w:val="%8."/>
      <w:lvlJc w:val="left"/>
      <w:pPr>
        <w:ind w:left="5967" w:hanging="360"/>
      </w:pPr>
      <w:rPr>
        <w:rFonts w:cs="Times New Roman"/>
      </w:rPr>
    </w:lvl>
    <w:lvl w:ilvl="8" w:tplc="041D001B" w:tentative="1">
      <w:start w:val="1"/>
      <w:numFmt w:val="lowerRoman"/>
      <w:lvlText w:val="%9."/>
      <w:lvlJc w:val="right"/>
      <w:pPr>
        <w:ind w:left="6687" w:hanging="180"/>
      </w:pPr>
      <w:rPr>
        <w:rFonts w:cs="Times New Roman"/>
      </w:rPr>
    </w:lvl>
  </w:abstractNum>
  <w:abstractNum w:abstractNumId="3">
    <w:nsid w:val="6E4A5462"/>
    <w:multiLevelType w:val="hybridMultilevel"/>
    <w:tmpl w:val="A886CAB2"/>
    <w:lvl w:ilvl="0" w:tplc="4064CECA">
      <w:start w:val="1"/>
      <w:numFmt w:val="bullet"/>
      <w:lvlText w:val="-"/>
      <w:lvlJc w:val="left"/>
      <w:pPr>
        <w:ind w:left="1494" w:hanging="360"/>
      </w:pPr>
      <w:rPr>
        <w:rFonts w:ascii="Times New Roman" w:eastAsia="Times New Roman" w:hAnsi="Times New Roman" w:hint="default"/>
      </w:rPr>
    </w:lvl>
    <w:lvl w:ilvl="1" w:tplc="041D0003" w:tentative="1">
      <w:start w:val="1"/>
      <w:numFmt w:val="bullet"/>
      <w:lvlText w:val="o"/>
      <w:lvlJc w:val="left"/>
      <w:pPr>
        <w:ind w:left="2214" w:hanging="360"/>
      </w:pPr>
      <w:rPr>
        <w:rFonts w:ascii="Courier New" w:hAnsi="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hint="default"/>
      </w:rPr>
    </w:lvl>
    <w:lvl w:ilvl="8" w:tplc="041D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6F3BEE"/>
    <w:rsid w:val="00037D1C"/>
    <w:rsid w:val="00140EC5"/>
    <w:rsid w:val="00150384"/>
    <w:rsid w:val="00160901"/>
    <w:rsid w:val="001805B7"/>
    <w:rsid w:val="00323DDF"/>
    <w:rsid w:val="00347C07"/>
    <w:rsid w:val="00355C1F"/>
    <w:rsid w:val="00367B1C"/>
    <w:rsid w:val="003A07BF"/>
    <w:rsid w:val="004A328D"/>
    <w:rsid w:val="00584D59"/>
    <w:rsid w:val="0058762B"/>
    <w:rsid w:val="006E4E11"/>
    <w:rsid w:val="006F3BEE"/>
    <w:rsid w:val="007242A3"/>
    <w:rsid w:val="00792C9F"/>
    <w:rsid w:val="007A6855"/>
    <w:rsid w:val="0092027A"/>
    <w:rsid w:val="009343F5"/>
    <w:rsid w:val="00955E31"/>
    <w:rsid w:val="00992E72"/>
    <w:rsid w:val="00AF26D1"/>
    <w:rsid w:val="00B353C5"/>
    <w:rsid w:val="00B872EB"/>
    <w:rsid w:val="00C61E2A"/>
    <w:rsid w:val="00C902C5"/>
    <w:rsid w:val="00D06286"/>
    <w:rsid w:val="00D133D7"/>
    <w:rsid w:val="00E23FED"/>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1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355C1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355C1F"/>
    <w:pPr>
      <w:spacing w:before="360"/>
      <w:outlineLvl w:val="1"/>
    </w:pPr>
  </w:style>
  <w:style w:type="paragraph" w:styleId="Heading3">
    <w:name w:val="heading 3"/>
    <w:basedOn w:val="Heading2"/>
    <w:next w:val="RKnormal"/>
    <w:link w:val="Heading3Char"/>
    <w:uiPriority w:val="99"/>
    <w:qFormat/>
    <w:rsid w:val="00355C1F"/>
    <w:pPr>
      <w:spacing w:after="120" w:line="240" w:lineRule="atLeast"/>
      <w:outlineLvl w:val="2"/>
    </w:pPr>
    <w:rPr>
      <w:b w:val="0"/>
    </w:rPr>
  </w:style>
  <w:style w:type="paragraph" w:styleId="Heading4">
    <w:name w:val="heading 4"/>
    <w:basedOn w:val="Heading3"/>
    <w:next w:val="RKnormal"/>
    <w:link w:val="Heading4Char"/>
    <w:uiPriority w:val="99"/>
    <w:qFormat/>
    <w:rsid w:val="00355C1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26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D526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D526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D526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355C1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55C1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D5260"/>
    <w:rPr>
      <w:rFonts w:ascii="OrigGarmnd BT" w:hAnsi="OrigGarmnd BT"/>
      <w:sz w:val="24"/>
      <w:szCs w:val="20"/>
      <w:lang w:eastAsia="en-US"/>
    </w:rPr>
  </w:style>
  <w:style w:type="paragraph" w:styleId="Header">
    <w:name w:val="header"/>
    <w:basedOn w:val="Normal"/>
    <w:link w:val="HeaderChar"/>
    <w:uiPriority w:val="99"/>
    <w:rsid w:val="00355C1F"/>
    <w:pPr>
      <w:tabs>
        <w:tab w:val="center" w:pos="4153"/>
        <w:tab w:val="right" w:pos="8306"/>
      </w:tabs>
    </w:pPr>
  </w:style>
  <w:style w:type="character" w:customStyle="1" w:styleId="HeaderChar">
    <w:name w:val="Header Char"/>
    <w:basedOn w:val="DefaultParagraphFont"/>
    <w:link w:val="Header"/>
    <w:uiPriority w:val="99"/>
    <w:semiHidden/>
    <w:rsid w:val="00CD526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355C1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55C1F"/>
    <w:rPr>
      <w:rFonts w:cs="Times New Roman"/>
    </w:rPr>
  </w:style>
  <w:style w:type="paragraph" w:styleId="BalloonText">
    <w:name w:val="Balloon Text"/>
    <w:basedOn w:val="Normal"/>
    <w:link w:val="BalloonTextChar"/>
    <w:uiPriority w:val="99"/>
    <w:rsid w:val="00C61E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61E2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709</Words>
  <Characters>4914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Johan Stålhammar</dc:creator>
  <cp:keywords/>
  <dc:description/>
  <cp:lastModifiedBy>jb0525aa</cp:lastModifiedBy>
  <cp:revision>2</cp:revision>
  <cp:lastPrinted>2013-11-25T11:50:00Z</cp:lastPrinted>
  <dcterms:created xsi:type="dcterms:W3CDTF">2013-11-25T11:50:00Z</dcterms:created>
  <dcterms:modified xsi:type="dcterms:W3CDTF">2013-11-25T11:50:00Z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e55f1e7f-3fc5-4538-b5b1-7dffbd7693f4</vt:lpwstr>
  </property>
  <property fmtid="{D5CDD505-2E9C-101B-9397-08002B2CF9AE}" pid="7" name="Departementsenhet">
    <vt:lpwstr/>
  </property>
  <property fmtid="{D5CDD505-2E9C-101B-9397-08002B2CF9AE}" pid="8" name="Aktivitetskategori">
    <vt:lpwstr/>
  </property>
  <property fmtid="{D5CDD505-2E9C-101B-9397-08002B2CF9AE}" pid="9" name="RKOrdnaCheckInComment">
    <vt:lpwstr/>
  </property>
  <property fmtid="{D5CDD505-2E9C-101B-9397-08002B2CF9AE}" pid="10" name="RKOrdnaClass">
    <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0</vt:lpwstr>
  </property>
  <property fmtid="{D5CDD505-2E9C-101B-9397-08002B2CF9AE}" pid="14" name="Diarienummer">
    <vt:lpwstr/>
  </property>
  <property fmtid="{D5CDD505-2E9C-101B-9397-08002B2CF9AE}" pid="15" name="c9cd366cc722410295b9eacffbd73909">
    <vt:lpwstr/>
  </property>
  <property fmtid="{D5CDD505-2E9C-101B-9397-08002B2CF9AE}" pid="16" name="TaxCatchAll">
    <vt:lpwstr/>
  </property>
  <property fmtid="{D5CDD505-2E9C-101B-9397-08002B2CF9AE}" pid="17" name="_dlc_DocId">
    <vt:lpwstr>W2C5EU7TYCK3-13-528</vt:lpwstr>
  </property>
  <property fmtid="{D5CDD505-2E9C-101B-9397-08002B2CF9AE}" pid="18" name="_dlc_DocIdUrl">
    <vt:lpwstr>http://rkdhs-ud/enhet/fim/29_30_maj/_layouts/DocIdRedir.aspx?ID=W2C5EU7TYCK3-13-528, W2C5EU7TYCK3-13-528</vt:lpwstr>
  </property>
</Properties>
</file>