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532E45">
        <w:tblPrEx>
          <w:tblCellMar>
            <w:top w:w="0" w:type="dxa"/>
            <w:bottom w:w="0" w:type="dxa"/>
          </w:tblCellMar>
        </w:tblPrEx>
        <w:tc>
          <w:tcPr>
            <w:tcW w:w="2268" w:type="dxa"/>
          </w:tcPr>
          <w:p w:rsidR="006E4E11" w:rsidRPr="00532E4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532E45" w:rsidRDefault="006E4E11" w:rsidP="007242A3">
            <w:pPr>
              <w:framePr w:w="5035" w:h="1644" w:wrap="notBeside" w:vAnchor="page" w:hAnchor="page" w:x="6573" w:y="721"/>
              <w:rPr>
                <w:rFonts w:ascii="TradeGothic" w:hAnsi="TradeGothic"/>
                <w:i/>
                <w:sz w:val="18"/>
              </w:rPr>
            </w:pPr>
          </w:p>
        </w:tc>
      </w:tr>
      <w:tr w:rsidR="006E4E11" w:rsidRPr="00532E45">
        <w:tblPrEx>
          <w:tblCellMar>
            <w:top w:w="0" w:type="dxa"/>
            <w:bottom w:w="0" w:type="dxa"/>
          </w:tblCellMar>
        </w:tblPrEx>
        <w:tc>
          <w:tcPr>
            <w:tcW w:w="2268" w:type="dxa"/>
          </w:tcPr>
          <w:p w:rsidR="006E4E11" w:rsidRPr="00532E45" w:rsidRDefault="00856A3C" w:rsidP="007242A3">
            <w:pPr>
              <w:framePr w:w="5035" w:h="1644" w:wrap="notBeside" w:vAnchor="page" w:hAnchor="page" w:x="6573" w:y="721"/>
              <w:rPr>
                <w:rFonts w:ascii="TradeGothic" w:hAnsi="TradeGothic"/>
                <w:b/>
                <w:sz w:val="22"/>
              </w:rPr>
            </w:pPr>
            <w:r w:rsidRPr="00532E45">
              <w:rPr>
                <w:rFonts w:ascii="TradeGothic" w:hAnsi="TradeGothic"/>
                <w:b/>
                <w:sz w:val="22"/>
              </w:rPr>
              <w:t xml:space="preserve">Annoteringar </w:t>
            </w:r>
          </w:p>
        </w:tc>
        <w:tc>
          <w:tcPr>
            <w:tcW w:w="2999" w:type="dxa"/>
            <w:gridSpan w:val="2"/>
          </w:tcPr>
          <w:p w:rsidR="006E4E11" w:rsidRPr="00532E45" w:rsidRDefault="006E4E11" w:rsidP="007242A3">
            <w:pPr>
              <w:framePr w:w="5035" w:h="1644" w:wrap="notBeside" w:vAnchor="page" w:hAnchor="page" w:x="6573" w:y="721"/>
              <w:rPr>
                <w:rFonts w:ascii="TradeGothic" w:hAnsi="TradeGothic"/>
                <w:b/>
                <w:sz w:val="22"/>
              </w:rPr>
            </w:pPr>
          </w:p>
        </w:tc>
      </w:tr>
      <w:tr w:rsidR="006E4E11" w:rsidRPr="00532E45">
        <w:tblPrEx>
          <w:tblCellMar>
            <w:top w:w="0" w:type="dxa"/>
            <w:bottom w:w="0" w:type="dxa"/>
          </w:tblCellMar>
        </w:tblPrEx>
        <w:tc>
          <w:tcPr>
            <w:tcW w:w="3402" w:type="dxa"/>
            <w:gridSpan w:val="2"/>
          </w:tcPr>
          <w:p w:rsidR="006E4E11" w:rsidRPr="00532E45" w:rsidRDefault="006E4E11" w:rsidP="007242A3">
            <w:pPr>
              <w:framePr w:w="5035" w:h="1644" w:wrap="notBeside" w:vAnchor="page" w:hAnchor="page" w:x="6573" w:y="721"/>
            </w:pPr>
          </w:p>
        </w:tc>
        <w:tc>
          <w:tcPr>
            <w:tcW w:w="1865" w:type="dxa"/>
          </w:tcPr>
          <w:p w:rsidR="006E4E11" w:rsidRPr="00532E45" w:rsidRDefault="006E4E11" w:rsidP="007242A3">
            <w:pPr>
              <w:framePr w:w="5035" w:h="1644" w:wrap="notBeside" w:vAnchor="page" w:hAnchor="page" w:x="6573" w:y="721"/>
            </w:pPr>
          </w:p>
        </w:tc>
      </w:tr>
      <w:tr w:rsidR="006E4E11" w:rsidRPr="00532E45">
        <w:tblPrEx>
          <w:tblCellMar>
            <w:top w:w="0" w:type="dxa"/>
            <w:bottom w:w="0" w:type="dxa"/>
          </w:tblCellMar>
        </w:tblPrEx>
        <w:tc>
          <w:tcPr>
            <w:tcW w:w="2268" w:type="dxa"/>
          </w:tcPr>
          <w:p w:rsidR="006E4E11" w:rsidRPr="00532E45" w:rsidRDefault="00856A3C" w:rsidP="007242A3">
            <w:pPr>
              <w:framePr w:w="5035" w:h="1644" w:wrap="notBeside" w:vAnchor="page" w:hAnchor="page" w:x="6573" w:y="721"/>
            </w:pPr>
            <w:r w:rsidRPr="00532E45">
              <w:t>200</w:t>
            </w:r>
            <w:r w:rsidR="009741D0" w:rsidRPr="00532E45">
              <w:t>9-0</w:t>
            </w:r>
            <w:r w:rsidR="00BD3D81" w:rsidRPr="00532E45">
              <w:t>6-01</w:t>
            </w:r>
          </w:p>
        </w:tc>
        <w:tc>
          <w:tcPr>
            <w:tcW w:w="2999" w:type="dxa"/>
            <w:gridSpan w:val="2"/>
          </w:tcPr>
          <w:p w:rsidR="006E4E11" w:rsidRPr="00532E45" w:rsidRDefault="006E4E11" w:rsidP="007242A3">
            <w:pPr>
              <w:framePr w:w="5035" w:h="1644" w:wrap="notBeside" w:vAnchor="page" w:hAnchor="page" w:x="6573" w:y="721"/>
            </w:pPr>
          </w:p>
        </w:tc>
      </w:tr>
      <w:tr w:rsidR="006E4E11" w:rsidRPr="00532E45">
        <w:tblPrEx>
          <w:tblCellMar>
            <w:top w:w="0" w:type="dxa"/>
            <w:bottom w:w="0" w:type="dxa"/>
          </w:tblCellMar>
        </w:tblPrEx>
        <w:tc>
          <w:tcPr>
            <w:tcW w:w="2268" w:type="dxa"/>
          </w:tcPr>
          <w:p w:rsidR="006E4E11" w:rsidRPr="00532E45" w:rsidRDefault="006E4E11" w:rsidP="007242A3">
            <w:pPr>
              <w:framePr w:w="5035" w:h="1644" w:wrap="notBeside" w:vAnchor="page" w:hAnchor="page" w:x="6573" w:y="721"/>
            </w:pPr>
          </w:p>
        </w:tc>
        <w:tc>
          <w:tcPr>
            <w:tcW w:w="2999" w:type="dxa"/>
            <w:gridSpan w:val="2"/>
          </w:tcPr>
          <w:p w:rsidR="006E4E11" w:rsidRPr="00532E4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532E45">
        <w:tblPrEx>
          <w:tblCellMar>
            <w:top w:w="0" w:type="dxa"/>
            <w:bottom w:w="0" w:type="dxa"/>
          </w:tblCellMar>
        </w:tblPrEx>
        <w:trPr>
          <w:trHeight w:val="284"/>
        </w:trPr>
        <w:tc>
          <w:tcPr>
            <w:tcW w:w="4911" w:type="dxa"/>
          </w:tcPr>
          <w:p w:rsidR="006E4E11" w:rsidRPr="00532E45" w:rsidRDefault="00856A3C">
            <w:pPr>
              <w:pStyle w:val="Avsndare"/>
              <w:framePr w:h="2483" w:wrap="notBeside" w:x="1504"/>
              <w:rPr>
                <w:b/>
                <w:i w:val="0"/>
                <w:sz w:val="22"/>
              </w:rPr>
            </w:pPr>
            <w:r w:rsidRPr="00532E45">
              <w:rPr>
                <w:b/>
                <w:i w:val="0"/>
                <w:sz w:val="22"/>
              </w:rPr>
              <w:t>Finansdepartementet</w:t>
            </w:r>
          </w:p>
        </w:tc>
      </w:tr>
      <w:tr w:rsidR="006E4E11" w:rsidRPr="00532E45">
        <w:tblPrEx>
          <w:tblCellMar>
            <w:top w:w="0" w:type="dxa"/>
            <w:bottom w:w="0" w:type="dxa"/>
          </w:tblCellMar>
        </w:tblPrEx>
        <w:trPr>
          <w:trHeight w:val="284"/>
        </w:trPr>
        <w:tc>
          <w:tcPr>
            <w:tcW w:w="4911" w:type="dxa"/>
          </w:tcPr>
          <w:p w:rsidR="006E4E11" w:rsidRPr="00532E45" w:rsidRDefault="006E4E11">
            <w:pPr>
              <w:pStyle w:val="Avsndare"/>
              <w:framePr w:h="2483" w:wrap="notBeside" w:x="1504"/>
              <w:rPr>
                <w:bCs/>
                <w:iCs/>
              </w:rPr>
            </w:pPr>
          </w:p>
        </w:tc>
      </w:tr>
      <w:tr w:rsidR="006E4E11" w:rsidRPr="00532E45">
        <w:tblPrEx>
          <w:tblCellMar>
            <w:top w:w="0" w:type="dxa"/>
            <w:bottom w:w="0" w:type="dxa"/>
          </w:tblCellMar>
        </w:tblPrEx>
        <w:trPr>
          <w:trHeight w:val="284"/>
        </w:trPr>
        <w:tc>
          <w:tcPr>
            <w:tcW w:w="4911" w:type="dxa"/>
          </w:tcPr>
          <w:p w:rsidR="006E4E11" w:rsidRPr="00532E45" w:rsidRDefault="006E4E11">
            <w:pPr>
              <w:pStyle w:val="Avsndare"/>
              <w:framePr w:h="2483" w:wrap="notBeside" w:x="1504"/>
              <w:rPr>
                <w:bCs/>
                <w:iCs/>
              </w:rPr>
            </w:pPr>
          </w:p>
        </w:tc>
      </w:tr>
      <w:tr w:rsidR="006E4E11" w:rsidRPr="00532E45">
        <w:tblPrEx>
          <w:tblCellMar>
            <w:top w:w="0" w:type="dxa"/>
            <w:bottom w:w="0" w:type="dxa"/>
          </w:tblCellMar>
        </w:tblPrEx>
        <w:trPr>
          <w:trHeight w:val="284"/>
        </w:trPr>
        <w:tc>
          <w:tcPr>
            <w:tcW w:w="4911" w:type="dxa"/>
          </w:tcPr>
          <w:p w:rsidR="006E4E11" w:rsidRPr="00532E45" w:rsidRDefault="00856A3C">
            <w:pPr>
              <w:pStyle w:val="Avsndare"/>
              <w:framePr w:h="2483" w:wrap="notBeside" w:x="1504"/>
              <w:rPr>
                <w:bCs/>
                <w:iCs/>
              </w:rPr>
            </w:pPr>
            <w:r w:rsidRPr="00532E45">
              <w:rPr>
                <w:bCs/>
                <w:iCs/>
              </w:rPr>
              <w:t>Peter Holmgren</w:t>
            </w:r>
          </w:p>
        </w:tc>
      </w:tr>
      <w:tr w:rsidR="006E4E11" w:rsidRPr="00532E45">
        <w:tblPrEx>
          <w:tblCellMar>
            <w:top w:w="0" w:type="dxa"/>
            <w:bottom w:w="0" w:type="dxa"/>
          </w:tblCellMar>
        </w:tblPrEx>
        <w:trPr>
          <w:trHeight w:val="284"/>
        </w:trPr>
        <w:tc>
          <w:tcPr>
            <w:tcW w:w="4911" w:type="dxa"/>
          </w:tcPr>
          <w:p w:rsidR="006E4E11" w:rsidRPr="00532E45" w:rsidRDefault="006E4E11">
            <w:pPr>
              <w:pStyle w:val="Avsndare"/>
              <w:framePr w:h="2483" w:wrap="notBeside" w:x="1504"/>
              <w:rPr>
                <w:bCs/>
                <w:iCs/>
              </w:rPr>
            </w:pPr>
          </w:p>
        </w:tc>
      </w:tr>
      <w:tr w:rsidR="006E4E11" w:rsidRPr="00532E45">
        <w:tblPrEx>
          <w:tblCellMar>
            <w:top w:w="0" w:type="dxa"/>
            <w:bottom w:w="0" w:type="dxa"/>
          </w:tblCellMar>
        </w:tblPrEx>
        <w:trPr>
          <w:trHeight w:val="284"/>
        </w:trPr>
        <w:tc>
          <w:tcPr>
            <w:tcW w:w="4911" w:type="dxa"/>
          </w:tcPr>
          <w:p w:rsidR="006E4E11" w:rsidRPr="00532E45" w:rsidRDefault="006E4E11">
            <w:pPr>
              <w:pStyle w:val="Avsndare"/>
              <w:framePr w:h="2483" w:wrap="notBeside" w:x="1504"/>
              <w:rPr>
                <w:bCs/>
                <w:iCs/>
              </w:rPr>
            </w:pPr>
          </w:p>
        </w:tc>
      </w:tr>
    </w:tbl>
    <w:p w:rsidR="00856A3C" w:rsidRPr="00532E45" w:rsidRDefault="00856A3C">
      <w:pPr>
        <w:framePr w:w="4400" w:h="2523" w:wrap="notBeside" w:vAnchor="page" w:hAnchor="page" w:x="6453" w:y="2445"/>
        <w:ind w:left="142"/>
      </w:pPr>
    </w:p>
    <w:p w:rsidR="00856A3C" w:rsidRPr="00532E45" w:rsidRDefault="00856A3C">
      <w:pPr>
        <w:framePr w:w="4400" w:h="2523" w:wrap="notBeside" w:vAnchor="page" w:hAnchor="page" w:x="6453" w:y="2445"/>
        <w:ind w:left="142"/>
      </w:pPr>
    </w:p>
    <w:p w:rsidR="00856A3C" w:rsidRPr="00532E45" w:rsidRDefault="00856A3C">
      <w:pPr>
        <w:framePr w:w="4400" w:h="2523" w:wrap="notBeside" w:vAnchor="page" w:hAnchor="page" w:x="6453" w:y="2445"/>
        <w:ind w:left="142"/>
      </w:pPr>
    </w:p>
    <w:p w:rsidR="00DC63EC" w:rsidRPr="00532E45" w:rsidRDefault="00856A3C">
      <w:pPr>
        <w:framePr w:w="4400" w:h="2523" w:wrap="notBeside" w:vAnchor="page" w:hAnchor="page" w:x="6453" w:y="2445"/>
        <w:ind w:left="142"/>
      </w:pPr>
      <w:r w:rsidRPr="00532E45">
        <w:t xml:space="preserve">Ekofinrådets möte </w:t>
      </w:r>
      <w:r w:rsidR="00D07381" w:rsidRPr="00532E45">
        <w:t xml:space="preserve">i </w:t>
      </w:r>
      <w:r w:rsidR="00DC63EC" w:rsidRPr="00532E45">
        <w:t xml:space="preserve">Luxemburg </w:t>
      </w:r>
    </w:p>
    <w:p w:rsidR="006E4E11" w:rsidRPr="00532E45" w:rsidRDefault="00856A3C">
      <w:pPr>
        <w:framePr w:w="4400" w:h="2523" w:wrap="notBeside" w:vAnchor="page" w:hAnchor="page" w:x="6453" w:y="2445"/>
        <w:ind w:left="142"/>
      </w:pPr>
      <w:r w:rsidRPr="00532E45">
        <w:t xml:space="preserve">den </w:t>
      </w:r>
      <w:r w:rsidR="00DC63EC" w:rsidRPr="00532E45">
        <w:t xml:space="preserve">9 juni </w:t>
      </w:r>
      <w:r w:rsidR="009741D0" w:rsidRPr="00532E45">
        <w:t>2009</w:t>
      </w:r>
    </w:p>
    <w:p w:rsidR="006E4E11" w:rsidRPr="00532E45" w:rsidRDefault="00856A3C" w:rsidP="00856A3C">
      <w:pPr>
        <w:pStyle w:val="RKrubrik"/>
        <w:pBdr>
          <w:bottom w:val="single" w:sz="4" w:space="1" w:color="000000"/>
        </w:pBdr>
        <w:spacing w:before="0" w:after="0"/>
      </w:pPr>
      <w:r w:rsidRPr="00532E45">
        <w:t>Kommentera</w:t>
      </w:r>
      <w:r w:rsidR="004706A2" w:rsidRPr="00532E45">
        <w:t>d</w:t>
      </w:r>
      <w:r w:rsidRPr="00532E45">
        <w:t xml:space="preserve"> dagordning</w:t>
      </w:r>
    </w:p>
    <w:p w:rsidR="006E4E11" w:rsidRPr="00532E45" w:rsidRDefault="004706A2">
      <w:pPr>
        <w:pStyle w:val="RKnormal"/>
        <w:rPr>
          <w:sz w:val="20"/>
        </w:rPr>
      </w:pPr>
      <w:r w:rsidRPr="00532E45">
        <w:rPr>
          <w:sz w:val="20"/>
        </w:rPr>
        <w:t xml:space="preserve">- enligt den preliminära dagordning som framkom vid Coreper den </w:t>
      </w:r>
      <w:r w:rsidR="00DC63EC" w:rsidRPr="00532E45">
        <w:rPr>
          <w:sz w:val="20"/>
        </w:rPr>
        <w:t>27 maj</w:t>
      </w:r>
    </w:p>
    <w:p w:rsidR="004706A2" w:rsidRPr="00532E45" w:rsidRDefault="004706A2" w:rsidP="00856A3C">
      <w:pPr>
        <w:pStyle w:val="RKnormal"/>
        <w:tabs>
          <w:tab w:val="clear" w:pos="2835"/>
          <w:tab w:val="left" w:pos="1701"/>
        </w:tabs>
        <w:rPr>
          <w:b/>
        </w:rPr>
      </w:pPr>
    </w:p>
    <w:p w:rsidR="006E4E11" w:rsidRPr="00532E45" w:rsidRDefault="00856A3C" w:rsidP="00856A3C">
      <w:pPr>
        <w:pStyle w:val="RKnormal"/>
        <w:tabs>
          <w:tab w:val="clear" w:pos="2835"/>
          <w:tab w:val="left" w:pos="1701"/>
        </w:tabs>
        <w:rPr>
          <w:b/>
        </w:rPr>
      </w:pPr>
      <w:r w:rsidRPr="00532E45">
        <w:rPr>
          <w:b/>
        </w:rPr>
        <w:t>1.</w:t>
      </w:r>
      <w:r w:rsidRPr="00532E45">
        <w:rPr>
          <w:b/>
        </w:rPr>
        <w:tab/>
        <w:t>Antagande av den preliminära dagordningen</w:t>
      </w:r>
    </w:p>
    <w:p w:rsidR="001F2632" w:rsidRPr="00532E45" w:rsidRDefault="001F2632" w:rsidP="00856A3C">
      <w:pPr>
        <w:pStyle w:val="RKnormal"/>
        <w:tabs>
          <w:tab w:val="clear" w:pos="2835"/>
          <w:tab w:val="left" w:pos="1701"/>
        </w:tabs>
      </w:pPr>
    </w:p>
    <w:p w:rsidR="00614600" w:rsidRPr="00532E45" w:rsidRDefault="00614600" w:rsidP="00856A3C">
      <w:pPr>
        <w:pStyle w:val="RKnormal"/>
        <w:tabs>
          <w:tab w:val="clear" w:pos="2835"/>
          <w:tab w:val="left" w:pos="1701"/>
        </w:tabs>
      </w:pPr>
    </w:p>
    <w:p w:rsidR="00856A3C" w:rsidRPr="00532E45" w:rsidRDefault="00856A3C" w:rsidP="00856A3C">
      <w:pPr>
        <w:pStyle w:val="RKnormal"/>
        <w:tabs>
          <w:tab w:val="clear" w:pos="2835"/>
          <w:tab w:val="left" w:pos="1701"/>
        </w:tabs>
        <w:rPr>
          <w:b/>
        </w:rPr>
      </w:pPr>
      <w:r w:rsidRPr="00532E45">
        <w:rPr>
          <w:b/>
        </w:rPr>
        <w:t>2.</w:t>
      </w:r>
      <w:r w:rsidRPr="00532E45">
        <w:rPr>
          <w:b/>
        </w:rPr>
        <w:tab/>
        <w:t>Godkännande av listan över A-punkter</w:t>
      </w:r>
    </w:p>
    <w:p w:rsidR="00856A3C" w:rsidRPr="00532E45" w:rsidRDefault="00856A3C" w:rsidP="00856A3C">
      <w:pPr>
        <w:pStyle w:val="RKnormal"/>
        <w:tabs>
          <w:tab w:val="clear" w:pos="2835"/>
          <w:tab w:val="left" w:pos="1701"/>
        </w:tabs>
      </w:pPr>
    </w:p>
    <w:p w:rsidR="00F93711" w:rsidRPr="00532E45" w:rsidRDefault="00DC63EC" w:rsidP="00F93711">
      <w:pPr>
        <w:tabs>
          <w:tab w:val="left" w:pos="2835"/>
        </w:tabs>
        <w:overflowPunct/>
        <w:spacing w:line="240" w:lineRule="auto"/>
        <w:textAlignment w:val="auto"/>
        <w:rPr>
          <w:rFonts w:cs="OrigGarmnd BT"/>
          <w:color w:val="000000"/>
          <w:szCs w:val="24"/>
          <w:lang w:eastAsia="sv-SE"/>
        </w:rPr>
      </w:pPr>
      <w:r w:rsidRPr="00532E45">
        <w:rPr>
          <w:rFonts w:cs="OrigGarmnd BT"/>
          <w:color w:val="000000"/>
          <w:szCs w:val="24"/>
          <w:lang w:eastAsia="sv-SE"/>
        </w:rPr>
        <w:t>Inga möjliga a-punkter är ännu kända.</w:t>
      </w:r>
    </w:p>
    <w:p w:rsidR="00DC63EC" w:rsidRPr="00532E45" w:rsidRDefault="00DC63EC" w:rsidP="00F93711">
      <w:pPr>
        <w:tabs>
          <w:tab w:val="left" w:pos="2835"/>
        </w:tabs>
        <w:overflowPunct/>
        <w:spacing w:line="240" w:lineRule="auto"/>
        <w:textAlignment w:val="auto"/>
        <w:rPr>
          <w:rFonts w:cs="OrigGarmnd BT"/>
          <w:color w:val="000000"/>
          <w:szCs w:val="24"/>
          <w:lang w:eastAsia="sv-SE"/>
        </w:rPr>
      </w:pPr>
    </w:p>
    <w:p w:rsidR="00212FBE" w:rsidRPr="00532E45" w:rsidRDefault="00212FBE" w:rsidP="00856A3C">
      <w:pPr>
        <w:pStyle w:val="RKnormal"/>
        <w:tabs>
          <w:tab w:val="clear" w:pos="2835"/>
          <w:tab w:val="left" w:pos="1701"/>
        </w:tabs>
        <w:rPr>
          <w:b/>
          <w:lang w:eastAsia="sv-SE"/>
        </w:rPr>
      </w:pPr>
    </w:p>
    <w:p w:rsidR="006C2CE8" w:rsidRPr="00532E45" w:rsidRDefault="006C2CE8" w:rsidP="00856A3C">
      <w:pPr>
        <w:pStyle w:val="RKnormal"/>
        <w:tabs>
          <w:tab w:val="clear" w:pos="2835"/>
          <w:tab w:val="left" w:pos="1701"/>
        </w:tabs>
        <w:rPr>
          <w:b/>
        </w:rPr>
      </w:pPr>
      <w:r w:rsidRPr="00532E45">
        <w:rPr>
          <w:b/>
        </w:rPr>
        <w:t>3.</w:t>
      </w:r>
      <w:r w:rsidRPr="00532E45">
        <w:rPr>
          <w:b/>
        </w:rPr>
        <w:tab/>
      </w:r>
      <w:r w:rsidR="00DC63EC" w:rsidRPr="00532E45">
        <w:rPr>
          <w:b/>
        </w:rPr>
        <w:t>E</w:t>
      </w:r>
      <w:r w:rsidR="004A4918" w:rsidRPr="00532E45">
        <w:rPr>
          <w:b/>
        </w:rPr>
        <w:t>konomisk</w:t>
      </w:r>
      <w:r w:rsidR="00DC63EC" w:rsidRPr="00532E45">
        <w:rPr>
          <w:b/>
        </w:rPr>
        <w:t xml:space="preserve"> o</w:t>
      </w:r>
      <w:r w:rsidR="004A4918" w:rsidRPr="00532E45">
        <w:rPr>
          <w:b/>
        </w:rPr>
        <w:t>ch finansiell</w:t>
      </w:r>
      <w:r w:rsidR="00DC63EC" w:rsidRPr="00532E45">
        <w:rPr>
          <w:b/>
        </w:rPr>
        <w:t xml:space="preserve"> utveckling</w:t>
      </w:r>
    </w:p>
    <w:p w:rsidR="00DC63EC" w:rsidRPr="00532E45" w:rsidRDefault="00DC63EC" w:rsidP="00856A3C">
      <w:pPr>
        <w:pStyle w:val="RKnormal"/>
        <w:tabs>
          <w:tab w:val="clear" w:pos="2835"/>
          <w:tab w:val="left" w:pos="1701"/>
        </w:tabs>
        <w:rPr>
          <w:b/>
        </w:rPr>
      </w:pPr>
    </w:p>
    <w:p w:rsidR="00DC63EC" w:rsidRPr="00532E45" w:rsidRDefault="00DC63EC" w:rsidP="00856A3C">
      <w:pPr>
        <w:pStyle w:val="RKnormal"/>
        <w:tabs>
          <w:tab w:val="clear" w:pos="2835"/>
          <w:tab w:val="left" w:pos="1701"/>
        </w:tabs>
        <w:rPr>
          <w:b/>
        </w:rPr>
      </w:pPr>
      <w:r w:rsidRPr="00532E45">
        <w:rPr>
          <w:b/>
        </w:rPr>
        <w:t>3.1   Uppdatering av det ekonomiska läget</w:t>
      </w:r>
    </w:p>
    <w:p w:rsidR="00DC63EC" w:rsidRPr="00532E45" w:rsidRDefault="00DC63EC" w:rsidP="00856A3C">
      <w:pPr>
        <w:pStyle w:val="RKnormal"/>
        <w:tabs>
          <w:tab w:val="clear" w:pos="2835"/>
          <w:tab w:val="left" w:pos="1701"/>
        </w:tabs>
        <w:rPr>
          <w:i/>
        </w:rPr>
      </w:pPr>
      <w:r w:rsidRPr="00532E45">
        <w:rPr>
          <w:i/>
        </w:rPr>
        <w:t xml:space="preserve">         - meningsutbyte</w:t>
      </w:r>
    </w:p>
    <w:p w:rsidR="006C48A2" w:rsidRPr="00532E45" w:rsidRDefault="006C48A2" w:rsidP="00856A3C">
      <w:pPr>
        <w:pStyle w:val="RKnormal"/>
        <w:tabs>
          <w:tab w:val="clear" w:pos="2835"/>
          <w:tab w:val="left" w:pos="1701"/>
        </w:tabs>
      </w:pPr>
    </w:p>
    <w:p w:rsidR="00DC63EC" w:rsidRPr="00532E45" w:rsidRDefault="006C48A2" w:rsidP="00856A3C">
      <w:pPr>
        <w:pStyle w:val="RKnormal"/>
        <w:tabs>
          <w:tab w:val="clear" w:pos="2835"/>
          <w:tab w:val="left" w:pos="1701"/>
        </w:tabs>
      </w:pPr>
      <w:r w:rsidRPr="00532E45">
        <w:t>Sedvanlig genomgång av det ekonomisk och finansiella läget baserat på muntliga redogörelser av ekonomikommissionären Almunia, ECB-chefen Trichet och EFK-ordföranden Wieser.</w:t>
      </w:r>
    </w:p>
    <w:p w:rsidR="006C48A2" w:rsidRPr="00532E45" w:rsidRDefault="006C48A2" w:rsidP="00856A3C">
      <w:pPr>
        <w:pStyle w:val="RKnormal"/>
        <w:tabs>
          <w:tab w:val="clear" w:pos="2835"/>
          <w:tab w:val="left" w:pos="1701"/>
        </w:tabs>
      </w:pPr>
    </w:p>
    <w:p w:rsidR="006C48A2" w:rsidRPr="00532E45" w:rsidRDefault="006C48A2" w:rsidP="00856A3C">
      <w:pPr>
        <w:pStyle w:val="RKnormal"/>
        <w:tabs>
          <w:tab w:val="clear" w:pos="2835"/>
          <w:tab w:val="left" w:pos="1701"/>
        </w:tabs>
      </w:pPr>
    </w:p>
    <w:p w:rsidR="002C5487" w:rsidRPr="00532E45" w:rsidRDefault="002C5487" w:rsidP="002C5487">
      <w:pPr>
        <w:pStyle w:val="RKnormal"/>
        <w:tabs>
          <w:tab w:val="clear" w:pos="2835"/>
          <w:tab w:val="left" w:pos="1701"/>
        </w:tabs>
        <w:rPr>
          <w:b/>
        </w:rPr>
      </w:pPr>
      <w:r w:rsidRPr="00532E45">
        <w:rPr>
          <w:b/>
        </w:rPr>
        <w:t>3.2   Internationella redovisningsstandarder (IFRS)</w:t>
      </w:r>
    </w:p>
    <w:p w:rsidR="002C5487" w:rsidRPr="00532E45" w:rsidRDefault="002C5487" w:rsidP="002C5487">
      <w:pPr>
        <w:pStyle w:val="RKnormal"/>
        <w:tabs>
          <w:tab w:val="clear" w:pos="2835"/>
          <w:tab w:val="left" w:pos="1701"/>
        </w:tabs>
        <w:rPr>
          <w:i/>
        </w:rPr>
      </w:pPr>
      <w:r w:rsidRPr="00532E45">
        <w:rPr>
          <w:i/>
        </w:rPr>
        <w:t xml:space="preserve">         - meningsutbyte</w:t>
      </w:r>
    </w:p>
    <w:p w:rsidR="002C5487" w:rsidRPr="00532E45" w:rsidRDefault="002C5487" w:rsidP="002C5487"/>
    <w:p w:rsidR="002C5487" w:rsidRPr="00532E45" w:rsidRDefault="002C5487" w:rsidP="002C5487">
      <w:r w:rsidRPr="00532E45">
        <w:t>Mot bakgrund av den finansiella krisen pågår en översyn av de internationella redovisningsstandarder (IFRS</w:t>
      </w:r>
      <w:r w:rsidRPr="00532E45">
        <w:rPr>
          <w:rStyle w:val="Fotnotsreferens"/>
        </w:rPr>
        <w:footnoteReference w:id="1"/>
      </w:r>
      <w:r w:rsidRPr="00532E45">
        <w:t xml:space="preserve">) som rör redovisning och värdering av finansiella instrument. Det är angeläget att EU fortsätter att  arbeta för en global redovisningsstandard som kan accepteras av börser och finansiella aktörer världen över. Detta är också i linje med de mål som G20 har formulerat. </w:t>
      </w:r>
    </w:p>
    <w:p w:rsidR="0064202A" w:rsidRPr="00532E45" w:rsidRDefault="0064202A" w:rsidP="00856A3C">
      <w:pPr>
        <w:pStyle w:val="RKnormal"/>
        <w:tabs>
          <w:tab w:val="clear" w:pos="2835"/>
          <w:tab w:val="left" w:pos="1701"/>
        </w:tabs>
      </w:pPr>
    </w:p>
    <w:p w:rsidR="00DC63EC" w:rsidRPr="00532E45" w:rsidRDefault="00DC63EC" w:rsidP="00856A3C">
      <w:pPr>
        <w:pStyle w:val="RKnormal"/>
        <w:tabs>
          <w:tab w:val="clear" w:pos="2835"/>
          <w:tab w:val="left" w:pos="1701"/>
        </w:tabs>
      </w:pPr>
    </w:p>
    <w:p w:rsidR="002C5487" w:rsidRPr="00532E45" w:rsidRDefault="002C5487" w:rsidP="00856A3C">
      <w:pPr>
        <w:pStyle w:val="RKnormal"/>
        <w:tabs>
          <w:tab w:val="clear" w:pos="2835"/>
          <w:tab w:val="left" w:pos="1701"/>
        </w:tabs>
      </w:pPr>
    </w:p>
    <w:p w:rsidR="002C5487" w:rsidRPr="00532E45" w:rsidRDefault="002C5487" w:rsidP="00856A3C">
      <w:pPr>
        <w:pStyle w:val="RKnormal"/>
        <w:tabs>
          <w:tab w:val="clear" w:pos="2835"/>
          <w:tab w:val="left" w:pos="1701"/>
        </w:tabs>
      </w:pPr>
    </w:p>
    <w:p w:rsidR="00DC63EC" w:rsidRPr="00532E45" w:rsidRDefault="008717CA" w:rsidP="00856A3C">
      <w:pPr>
        <w:pStyle w:val="RKnormal"/>
        <w:tabs>
          <w:tab w:val="clear" w:pos="2835"/>
          <w:tab w:val="left" w:pos="1701"/>
        </w:tabs>
        <w:rPr>
          <w:b/>
        </w:rPr>
      </w:pPr>
      <w:r w:rsidRPr="00532E45">
        <w:rPr>
          <w:b/>
        </w:rPr>
        <w:lastRenderedPageBreak/>
        <w:t>4</w:t>
      </w:r>
      <w:r w:rsidR="009741D0" w:rsidRPr="00532E45">
        <w:rPr>
          <w:b/>
        </w:rPr>
        <w:t>.</w:t>
      </w:r>
      <w:r w:rsidR="009741D0" w:rsidRPr="00532E45">
        <w:rPr>
          <w:b/>
        </w:rPr>
        <w:tab/>
      </w:r>
      <w:r w:rsidR="00DC63EC" w:rsidRPr="00532E45">
        <w:rPr>
          <w:b/>
        </w:rPr>
        <w:t>Förberedelser inför Europeisk rådet 18-19 juni</w:t>
      </w:r>
    </w:p>
    <w:p w:rsidR="009837F5" w:rsidRPr="00532E45" w:rsidRDefault="009837F5" w:rsidP="009837F5">
      <w:pPr>
        <w:pStyle w:val="RKnormal"/>
        <w:rPr>
          <w:bCs/>
          <w:color w:val="000000"/>
          <w:lang w:eastAsia="sv-SE"/>
        </w:rPr>
      </w:pPr>
    </w:p>
    <w:p w:rsidR="00DC63EC" w:rsidRPr="00532E45" w:rsidRDefault="00DC63EC" w:rsidP="009837F5">
      <w:pPr>
        <w:pStyle w:val="RKnormal"/>
        <w:rPr>
          <w:b/>
          <w:bCs/>
          <w:color w:val="000000"/>
          <w:lang w:eastAsia="sv-SE"/>
        </w:rPr>
      </w:pPr>
      <w:r w:rsidRPr="00532E45">
        <w:rPr>
          <w:b/>
          <w:bCs/>
          <w:color w:val="000000"/>
          <w:lang w:eastAsia="sv-SE"/>
        </w:rPr>
        <w:t>4.1   Europeiskt system för finanstillsyn</w:t>
      </w:r>
    </w:p>
    <w:p w:rsidR="00DC63EC" w:rsidRPr="00532E45" w:rsidRDefault="00DC63EC" w:rsidP="009837F5">
      <w:pPr>
        <w:pStyle w:val="RKnormal"/>
        <w:rPr>
          <w:bCs/>
          <w:i/>
          <w:color w:val="000000"/>
          <w:lang w:eastAsia="sv-SE"/>
        </w:rPr>
      </w:pPr>
      <w:r w:rsidRPr="00532E45">
        <w:rPr>
          <w:bCs/>
          <w:i/>
          <w:color w:val="000000"/>
          <w:lang w:eastAsia="sv-SE"/>
        </w:rPr>
        <w:t xml:space="preserve">         - rådets slutsatser </w:t>
      </w:r>
    </w:p>
    <w:p w:rsidR="00AB70BA" w:rsidRPr="00532E45" w:rsidRDefault="00AB70BA" w:rsidP="00AB70BA">
      <w:pPr>
        <w:pStyle w:val="RKnormal"/>
      </w:pPr>
    </w:p>
    <w:p w:rsidR="00995713" w:rsidRPr="00532E45" w:rsidRDefault="00995713" w:rsidP="00995713">
      <w:pPr>
        <w:pStyle w:val="RKnormal"/>
      </w:pPr>
      <w:r w:rsidRPr="00532E45">
        <w:t xml:space="preserve">Ekofinrådet ska anta slutsatser inför Europeiska Rådet i juni 2009. Kommissionen har den 27 maj 2009 publicerat ett meddelande ”European Financial Supervision” (COM (2009) 252 final). I detta meddelande föreslår kommissionen att det införs en ny struktur för europeisk finansiell tillsyn bestående av två pelare enligt följande: </w:t>
      </w:r>
    </w:p>
    <w:p w:rsidR="00995713" w:rsidRPr="00532E45" w:rsidRDefault="00995713" w:rsidP="00995713">
      <w:pPr>
        <w:pStyle w:val="RKnormal"/>
      </w:pPr>
    </w:p>
    <w:p w:rsidR="00995713" w:rsidRPr="00532E45" w:rsidRDefault="00995713" w:rsidP="00995713">
      <w:pPr>
        <w:pStyle w:val="RKnormal"/>
      </w:pPr>
      <w:r w:rsidRPr="00532E45">
        <w:t>Ett organ på makronivå, European Systemic Risk Council (ESRC), och ett nätverk på mikronivå, European System of Financial Supervisors (ESFS), bestående av nationella tillsynsmyndigheter och tre nya europeiska tillsynsmyndigheter motsvarande dagens s k nivå 3-kommittéer, men med utökade befogenheter.</w:t>
      </w:r>
    </w:p>
    <w:p w:rsidR="00995713" w:rsidRPr="00532E45" w:rsidRDefault="00995713" w:rsidP="00995713">
      <w:pPr>
        <w:pStyle w:val="RKnormal"/>
      </w:pPr>
    </w:p>
    <w:p w:rsidR="00995713" w:rsidRPr="00532E45" w:rsidRDefault="00995713" w:rsidP="00995713">
      <w:pPr>
        <w:pStyle w:val="RKnormal"/>
      </w:pPr>
      <w:r w:rsidRPr="00532E45">
        <w:t>Den finansiella krisen har visat att det finns brister i tillsynen över finansiella företag inom EU. Ett arbete har därför påbörjats för att etablera en ny förstärkt tillsynsstruktur. Att nå en lösning i denna fråga kommer att ha hög prioritet under det kommande svenska ordförandeskapet.</w:t>
      </w:r>
    </w:p>
    <w:p w:rsidR="00DC63EC" w:rsidRPr="00532E45" w:rsidRDefault="00DC63EC" w:rsidP="009837F5">
      <w:pPr>
        <w:pStyle w:val="RKnormal"/>
        <w:rPr>
          <w:bCs/>
          <w:color w:val="000000"/>
          <w:lang w:eastAsia="sv-SE"/>
        </w:rPr>
      </w:pPr>
    </w:p>
    <w:p w:rsidR="00DC63EC" w:rsidRPr="00532E45" w:rsidRDefault="00DC63EC" w:rsidP="009837F5">
      <w:pPr>
        <w:pStyle w:val="RKnormal"/>
        <w:rPr>
          <w:bCs/>
          <w:color w:val="000000"/>
          <w:lang w:eastAsia="sv-SE"/>
        </w:rPr>
      </w:pPr>
      <w:r w:rsidRPr="00532E45">
        <w:rPr>
          <w:bCs/>
          <w:color w:val="000000"/>
          <w:lang w:eastAsia="sv-SE"/>
        </w:rPr>
        <w:t xml:space="preserve">  </w:t>
      </w:r>
    </w:p>
    <w:p w:rsidR="009837F5" w:rsidRPr="00532E45" w:rsidRDefault="00DC63EC" w:rsidP="009837F5">
      <w:pPr>
        <w:pStyle w:val="RKnormal"/>
        <w:rPr>
          <w:b/>
        </w:rPr>
      </w:pPr>
      <w:r w:rsidRPr="00532E45">
        <w:rPr>
          <w:b/>
        </w:rPr>
        <w:t>4.2   Genomförandet av åter</w:t>
      </w:r>
      <w:r w:rsidR="00545E82" w:rsidRPr="00532E45">
        <w:rPr>
          <w:b/>
        </w:rPr>
        <w:t>hämtningsplanen</w:t>
      </w:r>
      <w:r w:rsidRPr="00532E45">
        <w:rPr>
          <w:b/>
        </w:rPr>
        <w:t xml:space="preserve"> (EERP)</w:t>
      </w:r>
    </w:p>
    <w:p w:rsidR="00DC63EC" w:rsidRPr="00532E45" w:rsidRDefault="00DC63EC" w:rsidP="009837F5">
      <w:pPr>
        <w:pStyle w:val="RKnormal"/>
        <w:rPr>
          <w:i/>
        </w:rPr>
      </w:pPr>
      <w:r w:rsidRPr="00532E45">
        <w:rPr>
          <w:i/>
        </w:rPr>
        <w:t xml:space="preserve">         - rådets rapport </w:t>
      </w:r>
    </w:p>
    <w:p w:rsidR="008717CA" w:rsidRPr="00532E45" w:rsidRDefault="008717CA" w:rsidP="008717CA">
      <w:pPr>
        <w:pStyle w:val="RKnormal"/>
        <w:tabs>
          <w:tab w:val="clear" w:pos="2835"/>
          <w:tab w:val="left" w:pos="1701"/>
        </w:tabs>
        <w:rPr>
          <w:rFonts w:ascii="Tms Rmn" w:hAnsi="Tms Rmn"/>
          <w:lang w:eastAsia="sv-SE"/>
        </w:rPr>
      </w:pPr>
    </w:p>
    <w:p w:rsidR="001825B9" w:rsidRPr="00532E45" w:rsidRDefault="001825B9" w:rsidP="001825B9">
      <w:pPr>
        <w:tabs>
          <w:tab w:val="left" w:pos="2835"/>
        </w:tabs>
        <w:overflowPunct/>
        <w:spacing w:line="240" w:lineRule="auto"/>
        <w:textAlignment w:val="auto"/>
        <w:rPr>
          <w:rFonts w:cs="OrigGarmnd BT"/>
          <w:color w:val="000000"/>
          <w:szCs w:val="24"/>
          <w:lang w:eastAsia="sv-SE"/>
        </w:rPr>
      </w:pPr>
      <w:r w:rsidRPr="00532E45">
        <w:rPr>
          <w:rFonts w:cs="OrigGarmnd BT"/>
          <w:color w:val="000000"/>
          <w:szCs w:val="24"/>
          <w:lang w:eastAsia="sv-SE"/>
        </w:rPr>
        <w:t xml:space="preserve">Rådet ska anta en rapport till Europeiska rådet om genomförandet av EU:s ekonomiska återhämtningsplan (EERP) baserad på kommissionens utvärdering. </w:t>
      </w:r>
    </w:p>
    <w:p w:rsidR="001825B9" w:rsidRPr="00532E45" w:rsidRDefault="001825B9" w:rsidP="001825B9">
      <w:pPr>
        <w:tabs>
          <w:tab w:val="left" w:pos="2835"/>
        </w:tabs>
        <w:overflowPunct/>
        <w:spacing w:line="240" w:lineRule="auto"/>
        <w:textAlignment w:val="auto"/>
        <w:rPr>
          <w:rFonts w:cs="OrigGarmnd BT"/>
          <w:color w:val="000000"/>
          <w:szCs w:val="24"/>
          <w:lang w:eastAsia="sv-SE"/>
        </w:rPr>
      </w:pPr>
    </w:p>
    <w:p w:rsidR="001825B9" w:rsidRPr="00532E45" w:rsidRDefault="001825B9" w:rsidP="001825B9">
      <w:pPr>
        <w:tabs>
          <w:tab w:val="left" w:pos="2835"/>
        </w:tabs>
        <w:overflowPunct/>
        <w:spacing w:line="240" w:lineRule="auto"/>
        <w:textAlignment w:val="auto"/>
        <w:rPr>
          <w:rFonts w:cs="OrigGarmnd BT"/>
          <w:color w:val="000000"/>
          <w:szCs w:val="24"/>
          <w:lang w:eastAsia="sv-SE"/>
        </w:rPr>
      </w:pPr>
      <w:r w:rsidRPr="00532E45">
        <w:rPr>
          <w:rFonts w:cs="OrigGarmnd BT"/>
          <w:color w:val="000000"/>
          <w:szCs w:val="24"/>
          <w:lang w:eastAsia="sv-SE"/>
        </w:rPr>
        <w:t>Utvärderingen visar att åtgärderna generellt sett har fått effekt, varit riktade mot de grupper och sektorer som drabbats värst av krisen samt att de varit förenliga med långsiktiga målsättningar. Fortsatt utvärdering behövs bl.a. av effekten av de åtgärder som syftat till att underlätta tillgången på finansiering för företag. Utmaningen är nu att försäkra att tillfälliga stimulansåtgärder inte blir permanenta. Slutligen är det nödvändigt att arbeta för att den tillfälligt högre arbetslösheten inte leder till permanent lägre sysselsättning.</w:t>
      </w:r>
    </w:p>
    <w:p w:rsidR="001825B9" w:rsidRPr="00532E45" w:rsidRDefault="001825B9" w:rsidP="001825B9">
      <w:pPr>
        <w:tabs>
          <w:tab w:val="left" w:pos="2835"/>
        </w:tabs>
        <w:overflowPunct/>
        <w:spacing w:line="240" w:lineRule="auto"/>
        <w:textAlignment w:val="auto"/>
        <w:rPr>
          <w:rFonts w:cs="OrigGarmnd BT"/>
          <w:color w:val="000000"/>
          <w:szCs w:val="24"/>
          <w:lang w:eastAsia="sv-SE"/>
        </w:rPr>
      </w:pPr>
    </w:p>
    <w:p w:rsidR="00C7443C" w:rsidRPr="00532E45" w:rsidRDefault="00C7443C" w:rsidP="001825B9">
      <w:pPr>
        <w:tabs>
          <w:tab w:val="left" w:pos="2835"/>
        </w:tabs>
        <w:overflowPunct/>
        <w:spacing w:line="240" w:lineRule="auto"/>
        <w:textAlignment w:val="auto"/>
        <w:rPr>
          <w:rFonts w:cs="OrigGarmnd BT"/>
          <w:color w:val="000000"/>
          <w:szCs w:val="24"/>
          <w:lang w:eastAsia="sv-SE"/>
        </w:rPr>
      </w:pPr>
      <w:r w:rsidRPr="00532E45">
        <w:rPr>
          <w:rFonts w:cs="OrigGarmnd BT"/>
          <w:color w:val="000000"/>
          <w:szCs w:val="24"/>
          <w:lang w:eastAsia="sv-SE"/>
        </w:rPr>
        <w:t>Det är angeläget att denna slags utvärderings görs och blir föremål för diskussioner i rådet.</w:t>
      </w:r>
    </w:p>
    <w:p w:rsidR="001825B9" w:rsidRPr="00532E45" w:rsidRDefault="001825B9" w:rsidP="001825B9">
      <w:pPr>
        <w:tabs>
          <w:tab w:val="left" w:pos="2835"/>
        </w:tabs>
        <w:overflowPunct/>
        <w:spacing w:line="240" w:lineRule="auto"/>
        <w:textAlignment w:val="auto"/>
        <w:rPr>
          <w:rFonts w:cs="OrigGarmnd BT"/>
          <w:color w:val="000000"/>
          <w:szCs w:val="24"/>
          <w:lang w:eastAsia="sv-SE"/>
        </w:rPr>
      </w:pPr>
    </w:p>
    <w:p w:rsidR="006C48A2" w:rsidRPr="00532E45" w:rsidRDefault="006C48A2" w:rsidP="008717CA">
      <w:pPr>
        <w:pStyle w:val="RKnormal"/>
        <w:tabs>
          <w:tab w:val="clear" w:pos="2835"/>
          <w:tab w:val="left" w:pos="1701"/>
        </w:tabs>
        <w:rPr>
          <w:rFonts w:ascii="Tms Rmn" w:hAnsi="Tms Rmn"/>
          <w:lang w:eastAsia="sv-SE"/>
        </w:rPr>
      </w:pPr>
    </w:p>
    <w:p w:rsidR="002C5487" w:rsidRPr="00532E45" w:rsidRDefault="002C5487" w:rsidP="008717CA">
      <w:pPr>
        <w:pStyle w:val="RKnormal"/>
        <w:tabs>
          <w:tab w:val="clear" w:pos="2835"/>
          <w:tab w:val="left" w:pos="1701"/>
        </w:tabs>
        <w:rPr>
          <w:rFonts w:ascii="Tms Rmn" w:hAnsi="Tms Rmn"/>
          <w:lang w:eastAsia="sv-SE"/>
        </w:rPr>
      </w:pPr>
    </w:p>
    <w:p w:rsidR="002C5487" w:rsidRPr="00532E45" w:rsidRDefault="002C5487" w:rsidP="008717CA">
      <w:pPr>
        <w:pStyle w:val="RKnormal"/>
        <w:tabs>
          <w:tab w:val="clear" w:pos="2835"/>
          <w:tab w:val="left" w:pos="1701"/>
        </w:tabs>
        <w:rPr>
          <w:rFonts w:ascii="Tms Rmn" w:hAnsi="Tms Rmn"/>
          <w:lang w:eastAsia="sv-SE"/>
        </w:rPr>
      </w:pPr>
    </w:p>
    <w:p w:rsidR="002C5487" w:rsidRPr="00532E45" w:rsidRDefault="002C5487" w:rsidP="008717CA">
      <w:pPr>
        <w:pStyle w:val="RKnormal"/>
        <w:tabs>
          <w:tab w:val="clear" w:pos="2835"/>
          <w:tab w:val="left" w:pos="1701"/>
        </w:tabs>
        <w:rPr>
          <w:rFonts w:ascii="Tms Rmn" w:hAnsi="Tms Rmn"/>
          <w:lang w:eastAsia="sv-SE"/>
        </w:rPr>
      </w:pPr>
    </w:p>
    <w:p w:rsidR="002C5487" w:rsidRPr="00532E45" w:rsidRDefault="002C5487" w:rsidP="008717CA">
      <w:pPr>
        <w:pStyle w:val="RKnormal"/>
        <w:tabs>
          <w:tab w:val="clear" w:pos="2835"/>
          <w:tab w:val="left" w:pos="1701"/>
        </w:tabs>
        <w:rPr>
          <w:rFonts w:ascii="Tms Rmn" w:hAnsi="Tms Rmn"/>
          <w:lang w:eastAsia="sv-SE"/>
        </w:rPr>
      </w:pPr>
    </w:p>
    <w:p w:rsidR="002C5487" w:rsidRPr="00532E45" w:rsidRDefault="002C5487" w:rsidP="008717CA">
      <w:pPr>
        <w:pStyle w:val="RKnormal"/>
        <w:tabs>
          <w:tab w:val="clear" w:pos="2835"/>
          <w:tab w:val="left" w:pos="1701"/>
        </w:tabs>
        <w:rPr>
          <w:rFonts w:ascii="Tms Rmn" w:hAnsi="Tms Rmn"/>
          <w:lang w:eastAsia="sv-SE"/>
        </w:rPr>
      </w:pPr>
    </w:p>
    <w:p w:rsidR="00DC63EC" w:rsidRPr="00532E45" w:rsidRDefault="002C5487" w:rsidP="008717CA">
      <w:pPr>
        <w:pStyle w:val="RKnormal"/>
        <w:tabs>
          <w:tab w:val="clear" w:pos="2835"/>
          <w:tab w:val="left" w:pos="1701"/>
        </w:tabs>
        <w:rPr>
          <w:b/>
          <w:lang w:eastAsia="sv-SE"/>
        </w:rPr>
      </w:pPr>
      <w:r w:rsidRPr="00532E45">
        <w:rPr>
          <w:b/>
          <w:lang w:eastAsia="sv-SE"/>
        </w:rPr>
        <w:t>4</w:t>
      </w:r>
      <w:r w:rsidR="00DC63EC" w:rsidRPr="00532E45">
        <w:rPr>
          <w:b/>
          <w:lang w:eastAsia="sv-SE"/>
        </w:rPr>
        <w:t xml:space="preserve">.3   </w:t>
      </w:r>
      <w:r w:rsidR="004B75F9" w:rsidRPr="00532E45">
        <w:rPr>
          <w:b/>
          <w:lang w:eastAsia="sv-SE"/>
        </w:rPr>
        <w:t xml:space="preserve">Program </w:t>
      </w:r>
      <w:r w:rsidR="00DC63EC" w:rsidRPr="00532E45">
        <w:rPr>
          <w:b/>
          <w:lang w:eastAsia="sv-SE"/>
        </w:rPr>
        <w:t>för bankstöd</w:t>
      </w:r>
    </w:p>
    <w:p w:rsidR="00DC63EC" w:rsidRPr="00532E45" w:rsidRDefault="00DC63EC" w:rsidP="008717CA">
      <w:pPr>
        <w:pStyle w:val="RKnormal"/>
        <w:tabs>
          <w:tab w:val="clear" w:pos="2835"/>
          <w:tab w:val="left" w:pos="1701"/>
        </w:tabs>
        <w:rPr>
          <w:i/>
          <w:lang w:eastAsia="sv-SE"/>
        </w:rPr>
      </w:pPr>
      <w:r w:rsidRPr="00532E45">
        <w:rPr>
          <w:i/>
          <w:lang w:eastAsia="sv-SE"/>
        </w:rPr>
        <w:t xml:space="preserve">         - rådets rapport</w:t>
      </w:r>
    </w:p>
    <w:p w:rsidR="00DC63EC" w:rsidRPr="00532E45" w:rsidRDefault="00DC63EC" w:rsidP="008717CA">
      <w:pPr>
        <w:pStyle w:val="RKnormal"/>
        <w:tabs>
          <w:tab w:val="clear" w:pos="2835"/>
          <w:tab w:val="left" w:pos="1701"/>
        </w:tabs>
        <w:rPr>
          <w:lang w:eastAsia="sv-SE"/>
        </w:rPr>
      </w:pPr>
    </w:p>
    <w:p w:rsidR="000B649B" w:rsidRPr="00532E45" w:rsidRDefault="000B649B" w:rsidP="000B649B">
      <w:pPr>
        <w:pStyle w:val="RKnormal"/>
      </w:pPr>
      <w:r w:rsidRPr="00532E45">
        <w:t xml:space="preserve">Ekofinrådet ska anta en rapport till Europeiska rådets möte senare i juni </w:t>
      </w:r>
      <w:r w:rsidR="00EA2F67" w:rsidRPr="00532E45">
        <w:t xml:space="preserve">om program </w:t>
      </w:r>
      <w:r w:rsidRPr="00532E45">
        <w:t>f</w:t>
      </w:r>
      <w:r w:rsidR="00EA2F67" w:rsidRPr="00532E45">
        <w:t xml:space="preserve">ör </w:t>
      </w:r>
      <w:r w:rsidRPr="00532E45">
        <w:t xml:space="preserve">bankstöd. När stödåtgärderna för banksektorn inom EU infördes under hösten har detta skett mot bakgrund av ett europeiskt regelverk i form av meddelanden från kommissionen om tillämpning av statsstödsreglerna och riktlinjer för prissättning av statligt stöd från ECB. Avsikten har varit att dessa regelverk ska ses över efter det att sex månader har förflutit. En översyn har nu gjorts av kommissionen och ECB som bl.a. innehåller förslag bl.a. till reviderad prissättning av statliga garantier. Dessutom har en slutrapport kommit från den </w:t>
      </w:r>
      <w:r w:rsidR="00EA2F67" w:rsidRPr="00532E45">
        <w:t>arbetsgrupp (</w:t>
      </w:r>
      <w:r w:rsidRPr="00532E45">
        <w:t>”task force”</w:t>
      </w:r>
      <w:r w:rsidR="00EA2F67" w:rsidRPr="00532E45">
        <w:t>)</w:t>
      </w:r>
      <w:r w:rsidRPr="00532E45">
        <w:t xml:space="preserve"> som på svenskt initiativ har bildats för att utvärdera effekterna av vidtagna stödåtgärder. Ärendet avser att samla detta i en rapport från Ekofin till Europeiska Rådet.</w:t>
      </w:r>
    </w:p>
    <w:p w:rsidR="000B649B" w:rsidRPr="00532E45" w:rsidRDefault="000B649B" w:rsidP="000B649B">
      <w:pPr>
        <w:pStyle w:val="RKnormal"/>
      </w:pPr>
    </w:p>
    <w:p w:rsidR="000B649B" w:rsidRPr="00532E45" w:rsidRDefault="00995713" w:rsidP="000B649B">
      <w:pPr>
        <w:pStyle w:val="RKnormal"/>
      </w:pPr>
      <w:r w:rsidRPr="00532E45">
        <w:t xml:space="preserve">Det är angeläget med en </w:t>
      </w:r>
      <w:r w:rsidR="000B649B" w:rsidRPr="00532E45">
        <w:t xml:space="preserve">översyn av de åtgärder som har vidtagits för att stärka banksektorn och därmed värna kreditgivningen till företag och hushåll.  </w:t>
      </w:r>
      <w:r w:rsidRPr="00532E45">
        <w:t>K</w:t>
      </w:r>
      <w:r w:rsidR="000B649B" w:rsidRPr="00532E45">
        <w:t xml:space="preserve">risen </w:t>
      </w:r>
      <w:r w:rsidRPr="00532E45">
        <w:t xml:space="preserve">har </w:t>
      </w:r>
      <w:r w:rsidR="000B649B" w:rsidRPr="00532E45">
        <w:t xml:space="preserve">delvis skiftat fokus sedan man kom överens om åtgärderna, inte minst för att det har blivit tydligare att krisen nu snarast handlar om </w:t>
      </w:r>
      <w:r w:rsidRPr="00532E45">
        <w:t xml:space="preserve">negativa </w:t>
      </w:r>
      <w:r w:rsidR="000B649B" w:rsidRPr="00532E45">
        <w:t>effekter på realekonomin</w:t>
      </w:r>
      <w:r w:rsidRPr="00532E45">
        <w:t>. D</w:t>
      </w:r>
      <w:r w:rsidR="000B649B" w:rsidRPr="00532E45">
        <w:t xml:space="preserve">etta är ett skäl till att utformningen av riktlinjerna behöver förändras. Särskilt gäller detta riktlinjerna för utformning av de statliga garantiprogrammen där regeringen anser att prissättningen är en stor anledning till att programmen hittills enbart har utnyttjats i mindre grad. Avgiften </w:t>
      </w:r>
      <w:r w:rsidRPr="00532E45">
        <w:t xml:space="preserve">borde därför kunna sänkas i linje med vad </w:t>
      </w:r>
      <w:r w:rsidR="000B649B" w:rsidRPr="00532E45">
        <w:t>ECB framhåller</w:t>
      </w:r>
      <w:r w:rsidRPr="00532E45">
        <w:t xml:space="preserve">. Kommissionen förespråkar en hög avgiftsnivå </w:t>
      </w:r>
      <w:r w:rsidR="000B649B" w:rsidRPr="00532E45">
        <w:t xml:space="preserve">för att påbörja en avveckling av garantiprogrammen. </w:t>
      </w:r>
      <w:r w:rsidRPr="00532E45">
        <w:t>S</w:t>
      </w:r>
      <w:r w:rsidR="000B649B" w:rsidRPr="00532E45">
        <w:t xml:space="preserve">ituationen på finansmarknaden och för kreditgivningen visar </w:t>
      </w:r>
      <w:r w:rsidRPr="00532E45">
        <w:t xml:space="preserve">nu </w:t>
      </w:r>
      <w:r w:rsidR="000B649B" w:rsidRPr="00532E45">
        <w:t xml:space="preserve">tecken på förbättring. Det är dock viktigt att inte dra alltför snabba slutsatser av detta då erfarenheterna från krisen visar att situationen kan ändras snabbt och förbättringarna till stor del beror just på det statliga stöd som har lämnats. </w:t>
      </w:r>
    </w:p>
    <w:p w:rsidR="000B649B" w:rsidRPr="00532E45" w:rsidRDefault="000B649B" w:rsidP="008717CA">
      <w:pPr>
        <w:pStyle w:val="RKnormal"/>
        <w:tabs>
          <w:tab w:val="clear" w:pos="2835"/>
          <w:tab w:val="left" w:pos="1701"/>
        </w:tabs>
        <w:rPr>
          <w:lang w:eastAsia="sv-SE"/>
        </w:rPr>
      </w:pPr>
    </w:p>
    <w:p w:rsidR="000B649B" w:rsidRPr="00532E45" w:rsidRDefault="000B649B" w:rsidP="008717CA">
      <w:pPr>
        <w:pStyle w:val="RKnormal"/>
        <w:tabs>
          <w:tab w:val="clear" w:pos="2835"/>
          <w:tab w:val="left" w:pos="1701"/>
        </w:tabs>
        <w:rPr>
          <w:lang w:eastAsia="sv-SE"/>
        </w:rPr>
      </w:pPr>
    </w:p>
    <w:p w:rsidR="00DC63EC" w:rsidRPr="00532E45" w:rsidRDefault="00DC63EC" w:rsidP="008717CA">
      <w:pPr>
        <w:pStyle w:val="RKnormal"/>
        <w:tabs>
          <w:tab w:val="clear" w:pos="2835"/>
          <w:tab w:val="left" w:pos="1701"/>
        </w:tabs>
        <w:rPr>
          <w:b/>
          <w:lang w:eastAsia="sv-SE"/>
        </w:rPr>
      </w:pPr>
      <w:r w:rsidRPr="00532E45">
        <w:rPr>
          <w:b/>
          <w:lang w:eastAsia="sv-SE"/>
        </w:rPr>
        <w:t>4.4   Internationell finansiering av klimatförändringar</w:t>
      </w:r>
    </w:p>
    <w:p w:rsidR="00DC63EC" w:rsidRPr="00532E45" w:rsidRDefault="00DC63EC" w:rsidP="008717CA">
      <w:pPr>
        <w:pStyle w:val="RKnormal"/>
        <w:tabs>
          <w:tab w:val="clear" w:pos="2835"/>
          <w:tab w:val="left" w:pos="1701"/>
        </w:tabs>
        <w:rPr>
          <w:i/>
          <w:lang w:eastAsia="sv-SE"/>
        </w:rPr>
      </w:pPr>
      <w:r w:rsidRPr="00532E45">
        <w:rPr>
          <w:i/>
          <w:lang w:eastAsia="sv-SE"/>
        </w:rPr>
        <w:t xml:space="preserve">         - rådets slutsatser</w:t>
      </w:r>
    </w:p>
    <w:p w:rsidR="00DC63EC" w:rsidRPr="00532E45" w:rsidRDefault="00DC63EC" w:rsidP="008717CA">
      <w:pPr>
        <w:pStyle w:val="RKnormal"/>
        <w:tabs>
          <w:tab w:val="clear" w:pos="2835"/>
          <w:tab w:val="left" w:pos="1701"/>
        </w:tabs>
        <w:rPr>
          <w:lang w:eastAsia="sv-SE"/>
        </w:rPr>
      </w:pPr>
    </w:p>
    <w:p w:rsidR="005A4388" w:rsidRPr="00532E45" w:rsidRDefault="005A4388" w:rsidP="005A4388">
      <w:pPr>
        <w:tabs>
          <w:tab w:val="left" w:pos="2835"/>
        </w:tabs>
        <w:rPr>
          <w:rFonts w:cs="OrigGarmnd BT"/>
          <w:color w:val="000000"/>
        </w:rPr>
      </w:pPr>
      <w:r w:rsidRPr="00532E45">
        <w:rPr>
          <w:rFonts w:cs="OrigGarmnd BT"/>
          <w:color w:val="000000"/>
        </w:rPr>
        <w:t xml:space="preserve">Rådet ska anta slutsatser rörande EU:s syn på finansiering av klimatåtgärder i utvecklingsländerna vilket kommer att bli ett av Ekofins bidrag till Europeiska rådet den 18-19 juni. </w:t>
      </w:r>
    </w:p>
    <w:p w:rsidR="005A4388" w:rsidRPr="00532E45" w:rsidRDefault="005A4388" w:rsidP="005A4388">
      <w:pPr>
        <w:tabs>
          <w:tab w:val="left" w:pos="2835"/>
        </w:tabs>
        <w:rPr>
          <w:rFonts w:cs="OrigGarmnd BT"/>
          <w:color w:val="000000"/>
        </w:rPr>
      </w:pPr>
    </w:p>
    <w:p w:rsidR="005A4388" w:rsidRPr="00532E45" w:rsidRDefault="005A4388" w:rsidP="005A4388">
      <w:pPr>
        <w:tabs>
          <w:tab w:val="left" w:pos="2835"/>
        </w:tabs>
        <w:rPr>
          <w:rFonts w:cs="OrigGarmnd BT"/>
          <w:color w:val="000000"/>
        </w:rPr>
      </w:pPr>
      <w:r w:rsidRPr="00532E45">
        <w:rPr>
          <w:rFonts w:cs="OrigGarmnd BT"/>
          <w:color w:val="000000"/>
        </w:rPr>
        <w:t xml:space="preserve">Ekofinrådet har arbetat vidare på de finansieringsfrågor som Europeiska rådet pekade ut i mars. Slutsatserna från detta arbete väntas fokusera på ett antal centrala frågor kring den finansiella arkitekturen. Bland annat väntas frågor kring finansieringskällor samt vilka kriterier som bör gälla för en bidragsnyckel. Slutsatserna väntas även kommenterar ett förslag gällande s.k. ”Low carbon development strategies” samt hur dessa strategier kan mätas, rapporteras och verifieras. Även väntas riktlinjer om att i första hand befintliga institutioner och mekanismer bör användas för den internationella finansiering av klimatåtgärder.    </w:t>
      </w:r>
    </w:p>
    <w:p w:rsidR="005A4388" w:rsidRPr="00532E45" w:rsidRDefault="005A4388" w:rsidP="005A4388">
      <w:pPr>
        <w:tabs>
          <w:tab w:val="left" w:pos="2835"/>
        </w:tabs>
        <w:rPr>
          <w:rFonts w:cs="OrigGarmnd BT"/>
          <w:color w:val="000000"/>
        </w:rPr>
      </w:pPr>
    </w:p>
    <w:p w:rsidR="005A4388" w:rsidRPr="00532E45" w:rsidRDefault="005A4388" w:rsidP="005A4388">
      <w:pPr>
        <w:tabs>
          <w:tab w:val="left" w:pos="2835"/>
        </w:tabs>
        <w:rPr>
          <w:rFonts w:cs="OrigGarmnd BT"/>
          <w:color w:val="000000"/>
        </w:rPr>
      </w:pPr>
      <w:r w:rsidRPr="00532E45">
        <w:rPr>
          <w:rFonts w:cs="OrigGarmnd BT"/>
          <w:color w:val="000000"/>
        </w:rPr>
        <w:t>Som inkommande ordförande land anser regeringen att det är centralt att arbetet med finansieringsfrågan kommer så långt som möjligt eftersom detta är en nyckelfråga i de internationella klimatförhandlingarna.</w:t>
      </w:r>
    </w:p>
    <w:p w:rsidR="00206039" w:rsidRPr="00532E45" w:rsidRDefault="00206039" w:rsidP="00206039">
      <w:pPr>
        <w:pStyle w:val="RKnormal"/>
        <w:rPr>
          <w:lang w:eastAsia="sv-SE"/>
        </w:rPr>
      </w:pPr>
    </w:p>
    <w:p w:rsidR="004C635B" w:rsidRPr="00532E45" w:rsidRDefault="004C635B" w:rsidP="00591CD1">
      <w:pPr>
        <w:rPr>
          <w:b/>
        </w:rPr>
      </w:pPr>
    </w:p>
    <w:p w:rsidR="008717CA" w:rsidRPr="00532E45" w:rsidRDefault="00F93711" w:rsidP="00591CD1">
      <w:pPr>
        <w:rPr>
          <w:b/>
        </w:rPr>
      </w:pPr>
      <w:r w:rsidRPr="00532E45">
        <w:rPr>
          <w:b/>
        </w:rPr>
        <w:t>5</w:t>
      </w:r>
      <w:r w:rsidR="00EE7236" w:rsidRPr="00532E45">
        <w:rPr>
          <w:b/>
        </w:rPr>
        <w:t>.</w:t>
      </w:r>
      <w:r w:rsidR="00EE7236" w:rsidRPr="00532E45">
        <w:rPr>
          <w:b/>
        </w:rPr>
        <w:tab/>
      </w:r>
      <w:r w:rsidR="00EE7236" w:rsidRPr="00532E45">
        <w:rPr>
          <w:b/>
        </w:rPr>
        <w:tab/>
        <w:t xml:space="preserve">    </w:t>
      </w:r>
      <w:r w:rsidR="00DC63EC" w:rsidRPr="00532E45">
        <w:rPr>
          <w:b/>
        </w:rPr>
        <w:t>Skatteärenden</w:t>
      </w:r>
    </w:p>
    <w:p w:rsidR="008717CA" w:rsidRPr="00532E45" w:rsidRDefault="008717CA" w:rsidP="00856A3C">
      <w:pPr>
        <w:pStyle w:val="RKnormal"/>
        <w:tabs>
          <w:tab w:val="clear" w:pos="2835"/>
          <w:tab w:val="left" w:pos="1701"/>
        </w:tabs>
      </w:pPr>
    </w:p>
    <w:p w:rsidR="0094141C" w:rsidRPr="00532E45" w:rsidRDefault="00DC63EC" w:rsidP="009C7249">
      <w:pPr>
        <w:pStyle w:val="RKnormal"/>
        <w:tabs>
          <w:tab w:val="clear" w:pos="2835"/>
          <w:tab w:val="left" w:pos="1701"/>
        </w:tabs>
        <w:rPr>
          <w:b/>
        </w:rPr>
      </w:pPr>
      <w:r w:rsidRPr="00532E45">
        <w:rPr>
          <w:b/>
        </w:rPr>
        <w:t>5.1   (ev.) Uppförandekoden för företagsbeskattning</w:t>
      </w:r>
    </w:p>
    <w:p w:rsidR="00DC63EC" w:rsidRPr="00532E45" w:rsidRDefault="00DC63EC" w:rsidP="009C7249">
      <w:pPr>
        <w:pStyle w:val="RKnormal"/>
        <w:tabs>
          <w:tab w:val="clear" w:pos="2835"/>
          <w:tab w:val="left" w:pos="1701"/>
        </w:tabs>
        <w:rPr>
          <w:i/>
        </w:rPr>
      </w:pPr>
      <w:r w:rsidRPr="00532E45">
        <w:rPr>
          <w:i/>
        </w:rPr>
        <w:t xml:space="preserve">         - arbetsgruppens rapport och rådets slutsatser</w:t>
      </w:r>
    </w:p>
    <w:p w:rsidR="00DC63EC" w:rsidRPr="00532E45" w:rsidRDefault="00DC63EC" w:rsidP="009C7249">
      <w:pPr>
        <w:pStyle w:val="RKnormal"/>
        <w:tabs>
          <w:tab w:val="clear" w:pos="2835"/>
          <w:tab w:val="left" w:pos="1701"/>
        </w:tabs>
      </w:pPr>
    </w:p>
    <w:p w:rsidR="003633ED" w:rsidRPr="00532E45" w:rsidRDefault="003633ED" w:rsidP="009C7249">
      <w:pPr>
        <w:pStyle w:val="RKnormal"/>
        <w:tabs>
          <w:tab w:val="clear" w:pos="2835"/>
          <w:tab w:val="left" w:pos="1701"/>
        </w:tabs>
      </w:pPr>
      <w:r w:rsidRPr="00532E45">
        <w:t xml:space="preserve">Rådet ska ta del av den halvårsvis rapporteringen från den arbetsgrupp som administrerar och genomför uppförandekoden på företagsbeskattningens område och på basis av rapporten anta slutsatser. Syftet med koden är att undvika konkurrenssnedvridande skatteregler för företagen genom att identifiera tänkbara sådana och medverka till att dessa kan fasas ut.  Arbetsgruppen rapport föreligger ännu inte.  </w:t>
      </w:r>
    </w:p>
    <w:p w:rsidR="003633ED" w:rsidRPr="00532E45" w:rsidRDefault="003633ED" w:rsidP="009C7249">
      <w:pPr>
        <w:pStyle w:val="RKnormal"/>
        <w:tabs>
          <w:tab w:val="clear" w:pos="2835"/>
          <w:tab w:val="left" w:pos="1701"/>
        </w:tabs>
      </w:pPr>
    </w:p>
    <w:p w:rsidR="003633ED" w:rsidRPr="00532E45" w:rsidRDefault="003633ED" w:rsidP="009C7249">
      <w:pPr>
        <w:pStyle w:val="RKnormal"/>
        <w:tabs>
          <w:tab w:val="clear" w:pos="2835"/>
          <w:tab w:val="left" w:pos="1701"/>
        </w:tabs>
        <w:rPr>
          <w:b/>
        </w:rPr>
      </w:pPr>
    </w:p>
    <w:p w:rsidR="00DC63EC" w:rsidRPr="00532E45" w:rsidRDefault="00DC63EC" w:rsidP="009C7249">
      <w:pPr>
        <w:pStyle w:val="RKnormal"/>
        <w:tabs>
          <w:tab w:val="clear" w:pos="2835"/>
          <w:tab w:val="left" w:pos="1701"/>
        </w:tabs>
        <w:rPr>
          <w:b/>
        </w:rPr>
      </w:pPr>
      <w:r w:rsidRPr="00532E45">
        <w:rPr>
          <w:b/>
        </w:rPr>
        <w:t xml:space="preserve">5.2   God </w:t>
      </w:r>
      <w:r w:rsidR="003633ED" w:rsidRPr="00532E45">
        <w:rPr>
          <w:b/>
        </w:rPr>
        <w:t>förvaltning i skattefrågor</w:t>
      </w:r>
    </w:p>
    <w:p w:rsidR="00DC63EC" w:rsidRPr="00532E45" w:rsidRDefault="00DC63EC" w:rsidP="009C7249">
      <w:pPr>
        <w:pStyle w:val="RKnormal"/>
        <w:tabs>
          <w:tab w:val="clear" w:pos="2835"/>
          <w:tab w:val="left" w:pos="1701"/>
        </w:tabs>
        <w:rPr>
          <w:i/>
        </w:rPr>
      </w:pPr>
      <w:r w:rsidRPr="00532E45">
        <w:rPr>
          <w:i/>
        </w:rPr>
        <w:t xml:space="preserve">         - rådets slutsatser</w:t>
      </w:r>
    </w:p>
    <w:p w:rsidR="00DC63EC" w:rsidRPr="00532E45" w:rsidRDefault="00DC63EC" w:rsidP="009C7249">
      <w:pPr>
        <w:pStyle w:val="RKnormal"/>
        <w:tabs>
          <w:tab w:val="clear" w:pos="2835"/>
          <w:tab w:val="left" w:pos="1701"/>
        </w:tabs>
      </w:pPr>
    </w:p>
    <w:p w:rsidR="00F91C1A" w:rsidRPr="00532E45" w:rsidRDefault="00F91C1A" w:rsidP="009C7249">
      <w:pPr>
        <w:pStyle w:val="RKnormal"/>
        <w:tabs>
          <w:tab w:val="clear" w:pos="2835"/>
          <w:tab w:val="left" w:pos="1701"/>
        </w:tabs>
      </w:pPr>
      <w:r w:rsidRPr="00532E45">
        <w:t>Rådet ska anta slutsatser med riktlinjer för det fortsatta arbete inom några av de frågor som omfattas att principerna för god förvaltning i skattefrågor. Förhandlingar pågår om hur slutsatserna ska formuleras men det står klart att de främst syftar till att driva på arbetet med förslagen till tre reformerade direktiv som reglerar det administrativa samarbetet och informationsutbytet på skatteområdet</w:t>
      </w:r>
    </w:p>
    <w:p w:rsidR="00F91C1A" w:rsidRPr="00532E45" w:rsidRDefault="00F91C1A" w:rsidP="00F91C1A">
      <w:pPr>
        <w:pStyle w:val="RKnormal"/>
      </w:pPr>
    </w:p>
    <w:p w:rsidR="00F91C1A" w:rsidRPr="00532E45" w:rsidRDefault="00F91C1A" w:rsidP="00F91C1A">
      <w:pPr>
        <w:pStyle w:val="RKnormal"/>
      </w:pPr>
      <w:r w:rsidRPr="00532E45">
        <w:t>Vid Ekofinmötet i maj i år presenterade kommissionen ett meddelande om god förvaltning skattefrågor. I meddelandet gavs en överblick över allt arbete som pågår inom EU och som innebär ökad transparens, informationsutbyte och rättvis konkurrens på skatteområdet. Meddelandet välkomnades av Ekofinrådet som avsåg att återkomma i frågan till mötet i juni.</w:t>
      </w:r>
    </w:p>
    <w:p w:rsidR="00F91C1A" w:rsidRPr="00532E45" w:rsidRDefault="00F91C1A" w:rsidP="00F91C1A">
      <w:pPr>
        <w:pStyle w:val="RKnormal"/>
      </w:pPr>
    </w:p>
    <w:p w:rsidR="009D3B8D" w:rsidRPr="00532E45" w:rsidRDefault="009D3B8D" w:rsidP="009D3B8D">
      <w:pPr>
        <w:pStyle w:val="RKnormal"/>
      </w:pPr>
      <w:r w:rsidRPr="00532E45">
        <w:t xml:space="preserve">Slutsatserna syftar till att slå fast OECD:s internationellt vedertagna standard för informationsutbyte. Det arbete som pågår med att utvidga direktivens tillämpningsområden och effektivisera förfarandet kring informationsutbytet framhålls i positiva ordalag. När det specifikt gäller direktivet om beskattning av inkomster från sparande i form av räntebetalningar framhålls de diskussioner som förs och som syftar till försvåra ett kringgående av dessa regler i positiva ordalag. Åtgärder bör vidtas för att direktivet ska få en så lång räckvidd som möjligt i såväl medlemsstater som anslutna tredjeländer. Man förväntar sig en politisk överenskommelse om detta direktiv under hösten 2009. </w:t>
      </w:r>
    </w:p>
    <w:p w:rsidR="00F91C1A" w:rsidRPr="00532E45" w:rsidRDefault="00F91C1A" w:rsidP="00F91C1A">
      <w:pPr>
        <w:pStyle w:val="RKnormal"/>
      </w:pPr>
    </w:p>
    <w:p w:rsidR="00F91C1A" w:rsidRPr="00532E45" w:rsidRDefault="009D3B8D" w:rsidP="00F91C1A">
      <w:pPr>
        <w:pStyle w:val="RKnormal"/>
      </w:pPr>
      <w:r w:rsidRPr="00532E45">
        <w:t>Vidare inbjuder s</w:t>
      </w:r>
      <w:r w:rsidR="00F91C1A" w:rsidRPr="00532E45">
        <w:t xml:space="preserve">lutsatserna det kommande ordförandeskapet att lämna en framstegsrapport om god förvaltning i skattefrågor under hösten 2009.  </w:t>
      </w:r>
      <w:r w:rsidR="00C7443C" w:rsidRPr="00532E45">
        <w:t xml:space="preserve">Det är angeläget att arbetet kan fortsätta med de föreslagna slutsatstera som bas. </w:t>
      </w:r>
    </w:p>
    <w:p w:rsidR="00F91C1A" w:rsidRPr="00532E45" w:rsidRDefault="00F91C1A" w:rsidP="009C7249">
      <w:pPr>
        <w:pStyle w:val="RKnormal"/>
        <w:tabs>
          <w:tab w:val="clear" w:pos="2835"/>
          <w:tab w:val="left" w:pos="1701"/>
        </w:tabs>
      </w:pPr>
    </w:p>
    <w:p w:rsidR="00F91C1A" w:rsidRPr="00532E45" w:rsidRDefault="00F91C1A" w:rsidP="009C7249">
      <w:pPr>
        <w:pStyle w:val="RKnormal"/>
        <w:tabs>
          <w:tab w:val="clear" w:pos="2835"/>
          <w:tab w:val="left" w:pos="1701"/>
        </w:tabs>
      </w:pPr>
    </w:p>
    <w:p w:rsidR="00DC63EC" w:rsidRPr="00532E45" w:rsidRDefault="00DC63EC" w:rsidP="009C7249">
      <w:pPr>
        <w:pStyle w:val="RKnormal"/>
        <w:tabs>
          <w:tab w:val="clear" w:pos="2835"/>
          <w:tab w:val="left" w:pos="1701"/>
        </w:tabs>
        <w:rPr>
          <w:b/>
        </w:rPr>
      </w:pPr>
      <w:r w:rsidRPr="00532E45">
        <w:rPr>
          <w:b/>
        </w:rPr>
        <w:t>5.3   (ev.) Momsskatteundanhållande vid import</w:t>
      </w:r>
    </w:p>
    <w:p w:rsidR="00DC63EC" w:rsidRPr="00532E45" w:rsidRDefault="00DC63EC" w:rsidP="009C7249">
      <w:pPr>
        <w:pStyle w:val="RKnormal"/>
        <w:tabs>
          <w:tab w:val="clear" w:pos="2835"/>
          <w:tab w:val="left" w:pos="1701"/>
        </w:tabs>
        <w:rPr>
          <w:i/>
        </w:rPr>
      </w:pPr>
      <w:r w:rsidRPr="00532E45">
        <w:rPr>
          <w:i/>
        </w:rPr>
        <w:t xml:space="preserve">         - politisk överenskommelse</w:t>
      </w:r>
    </w:p>
    <w:p w:rsidR="00DC63EC" w:rsidRPr="00532E45" w:rsidRDefault="00DC63EC" w:rsidP="009C7249">
      <w:pPr>
        <w:pStyle w:val="RKnormal"/>
        <w:tabs>
          <w:tab w:val="clear" w:pos="2835"/>
          <w:tab w:val="left" w:pos="1701"/>
        </w:tabs>
      </w:pPr>
    </w:p>
    <w:p w:rsidR="00E87A11" w:rsidRPr="00532E45" w:rsidRDefault="00E87A11" w:rsidP="00E87A11">
      <w:pPr>
        <w:pStyle w:val="RKnormal"/>
      </w:pPr>
      <w:r w:rsidRPr="00532E45">
        <w:t xml:space="preserve">Ordförandeskapet har för avsikt att uppnå en politisk överenskommelse om </w:t>
      </w:r>
      <w:r w:rsidRPr="00532E45">
        <w:rPr>
          <w:i/>
        </w:rPr>
        <w:t xml:space="preserve">en del av </w:t>
      </w:r>
      <w:r w:rsidRPr="00532E45">
        <w:t xml:space="preserve">ett förslag från kommissionen som syftar till att bekämpa momsbedrägerier, KOM (2008) 805 (se Faktapromemoria 2008/09:FPM64). Kommissionens förslag består av två delar; en del rörande reglerna för momsfrihet vid import och del rörande solidariskt betalningsansvar. Medlemsstaterna är i princip överens om det förstnämnda förslaget, men de har mycket svårt att komma överens om förslaget rörande solidariskt betalningsansvar. Mot denna bakgrund föreslår ordförandeskapet att en överenskommelse nu ska ingås om förslaget angående reglerna vid import och att kommissionens förslag således ska delas upp i två olika förslag.   </w:t>
      </w:r>
    </w:p>
    <w:p w:rsidR="00E87A11" w:rsidRPr="00532E45" w:rsidRDefault="00E87A11" w:rsidP="00E87A11">
      <w:pPr>
        <w:pStyle w:val="RKnormal"/>
      </w:pPr>
    </w:p>
    <w:p w:rsidR="00E87A11" w:rsidRPr="00532E45" w:rsidRDefault="00E87A11" w:rsidP="00E87A11">
      <w:pPr>
        <w:pStyle w:val="RKnormal"/>
      </w:pPr>
      <w:r w:rsidRPr="00532E45">
        <w:t xml:space="preserve">Kommissionens förslag innebär att nuvarande regler rörande momsfrihet vid import förtydligas och att momsfriheten endast gälla om importören vid importtillfället lämnar uppgift om sitt momsregistreringsnummer (eller skatterepresentantens momsregistreringsnummer) samt köparens momsregistreringsnummer. Vidare ska bevisning presenteras på att varorna ska transporteras till ett annat EU-land. </w:t>
      </w:r>
    </w:p>
    <w:p w:rsidR="00E87A11" w:rsidRPr="00532E45" w:rsidRDefault="00E87A11" w:rsidP="00E87A11">
      <w:pPr>
        <w:pStyle w:val="RKnormal"/>
      </w:pPr>
    </w:p>
    <w:p w:rsidR="00E87A11" w:rsidRPr="00532E45" w:rsidRDefault="00E87A11" w:rsidP="00E87A11">
      <w:pPr>
        <w:pStyle w:val="RKnormal"/>
      </w:pPr>
      <w:r w:rsidRPr="00532E45">
        <w:t>I ordförandeskapets kompromissförslag föreslås att reglerna ska vara minimiregler. Vidare föreslås att importören inte ska behöva lämna bevisning systematiskt, utan endast på begäran av behörig myndighet. I de fall importören vill åberopa en skatterepresentants momsregistrer</w:t>
      </w:r>
      <w:r w:rsidRPr="00532E45">
        <w:softHyphen/>
        <w:t>ings</w:t>
      </w:r>
      <w:r w:rsidRPr="00532E45">
        <w:softHyphen/>
        <w:t>nummer föreslås dessutom, för att momsfrihet ska gälla, att representanten i grunden måste vara betalnings</w:t>
      </w:r>
      <w:r w:rsidRPr="00532E45">
        <w:softHyphen/>
        <w:t xml:space="preserve">skyldig för momsen. Vad avser förslaget om solidariskt betalningsansvar föreslås att rådet ska göra ett uttalande till protokollet som innebär att man åtar sig att fortsätta diskussionerna om detta. </w:t>
      </w:r>
    </w:p>
    <w:p w:rsidR="00E87A11" w:rsidRPr="00532E45" w:rsidRDefault="00E87A11" w:rsidP="00E87A11">
      <w:pPr>
        <w:pStyle w:val="RKnormal"/>
      </w:pPr>
    </w:p>
    <w:p w:rsidR="00E87A11" w:rsidRPr="00532E45" w:rsidRDefault="00C7443C" w:rsidP="00E87A11">
      <w:pPr>
        <w:pStyle w:val="RKnormal"/>
      </w:pPr>
      <w:r w:rsidRPr="00532E45">
        <w:t>Det är angeläget att en kompromiss kan nås.</w:t>
      </w:r>
      <w:r w:rsidR="00E87A11" w:rsidRPr="00532E45">
        <w:t xml:space="preserve">  </w:t>
      </w:r>
    </w:p>
    <w:p w:rsidR="00E87A11" w:rsidRPr="00532E45" w:rsidRDefault="00E87A11" w:rsidP="009C7249">
      <w:pPr>
        <w:pStyle w:val="RKnormal"/>
        <w:tabs>
          <w:tab w:val="clear" w:pos="2835"/>
          <w:tab w:val="left" w:pos="1701"/>
        </w:tabs>
      </w:pPr>
    </w:p>
    <w:p w:rsidR="00E87A11" w:rsidRPr="00532E45" w:rsidRDefault="00E87A11" w:rsidP="009C7249">
      <w:pPr>
        <w:pStyle w:val="RKnormal"/>
        <w:tabs>
          <w:tab w:val="clear" w:pos="2835"/>
          <w:tab w:val="left" w:pos="1701"/>
        </w:tabs>
      </w:pPr>
    </w:p>
    <w:p w:rsidR="00BD3D81" w:rsidRPr="00532E45" w:rsidRDefault="00BD3D81" w:rsidP="009C7249">
      <w:pPr>
        <w:pStyle w:val="RKnormal"/>
        <w:tabs>
          <w:tab w:val="clear" w:pos="2835"/>
          <w:tab w:val="left" w:pos="1701"/>
        </w:tabs>
      </w:pPr>
    </w:p>
    <w:p w:rsidR="00BD3D81" w:rsidRPr="00532E45" w:rsidRDefault="00BD3D81" w:rsidP="009C7249">
      <w:pPr>
        <w:pStyle w:val="RKnormal"/>
        <w:tabs>
          <w:tab w:val="clear" w:pos="2835"/>
          <w:tab w:val="left" w:pos="1701"/>
        </w:tabs>
      </w:pPr>
    </w:p>
    <w:p w:rsidR="00BD3D81" w:rsidRPr="00532E45" w:rsidRDefault="00BD3D81" w:rsidP="009C7249">
      <w:pPr>
        <w:pStyle w:val="RKnormal"/>
        <w:tabs>
          <w:tab w:val="clear" w:pos="2835"/>
          <w:tab w:val="left" w:pos="1701"/>
        </w:tabs>
      </w:pPr>
    </w:p>
    <w:p w:rsidR="00DC63EC" w:rsidRPr="00532E45" w:rsidRDefault="00DC63EC" w:rsidP="009C7249">
      <w:pPr>
        <w:pStyle w:val="RKnormal"/>
        <w:tabs>
          <w:tab w:val="clear" w:pos="2835"/>
          <w:tab w:val="left" w:pos="1701"/>
        </w:tabs>
        <w:rPr>
          <w:b/>
        </w:rPr>
      </w:pPr>
      <w:r w:rsidRPr="00532E45">
        <w:rPr>
          <w:b/>
        </w:rPr>
        <w:t>5.4   (ev.) Moms; tekniska tillägg</w:t>
      </w:r>
    </w:p>
    <w:p w:rsidR="00DC63EC" w:rsidRPr="00532E45" w:rsidRDefault="00DC63EC" w:rsidP="009C7249">
      <w:pPr>
        <w:pStyle w:val="RKnormal"/>
        <w:tabs>
          <w:tab w:val="clear" w:pos="2835"/>
          <w:tab w:val="left" w:pos="1701"/>
        </w:tabs>
        <w:rPr>
          <w:i/>
        </w:rPr>
      </w:pPr>
      <w:r w:rsidRPr="00532E45">
        <w:rPr>
          <w:i/>
        </w:rPr>
        <w:t xml:space="preserve">         - politisk överenskommelse</w:t>
      </w:r>
    </w:p>
    <w:p w:rsidR="00DC63EC" w:rsidRPr="00532E45" w:rsidRDefault="00DC63EC" w:rsidP="009C7249">
      <w:pPr>
        <w:pStyle w:val="RKnormal"/>
        <w:tabs>
          <w:tab w:val="clear" w:pos="2835"/>
          <w:tab w:val="left" w:pos="1701"/>
        </w:tabs>
      </w:pPr>
    </w:p>
    <w:p w:rsidR="00007368" w:rsidRPr="00532E45" w:rsidRDefault="00007368" w:rsidP="00007368">
      <w:pPr>
        <w:pStyle w:val="RKnormal"/>
      </w:pPr>
      <w:r w:rsidRPr="00532E45">
        <w:t>Det finns ett behov av att göra olika punktvisa ”tekniska” ändringar  av momsdirektivet. Kommissionen lämnade därför den 7 novem</w:t>
      </w:r>
      <w:r w:rsidRPr="00532E45">
        <w:softHyphen/>
        <w:t>ber 2007 ett förslag till rådet innehållande fyra olika delförslag, KOM (2007) 677 slutlig (se Faktapromemoria 2007/08:FPM65). Kommissio</w:t>
      </w:r>
      <w:r w:rsidRPr="00532E45">
        <w:softHyphen/>
        <w:t xml:space="preserve">nens förslag har vidare utvidgats när det gäller avdragsrätten för ingående moms. Ordförandeskapet har nu för avsikt att uppnå en politisk överenskommelse om förslaget. </w:t>
      </w:r>
    </w:p>
    <w:p w:rsidR="00007368" w:rsidRPr="00532E45" w:rsidRDefault="00007368" w:rsidP="00007368">
      <w:pPr>
        <w:pStyle w:val="RKnormal"/>
      </w:pPr>
    </w:p>
    <w:p w:rsidR="00007368" w:rsidRPr="00532E45" w:rsidRDefault="00007368" w:rsidP="00007368">
      <w:pPr>
        <w:pStyle w:val="RKnormal"/>
      </w:pPr>
      <w:r w:rsidRPr="00532E45">
        <w:t>Kommissionens förslag innebär bl.a. att de gällande reglerna för i vilket land försäljningar av el och gas ska beskattas utvidgas till att omfatta fler typer av överföringssystem (pipelines etc.) samt fartyg. Reglerna utvid</w:t>
      </w:r>
      <w:r w:rsidRPr="00532E45">
        <w:softHyphen/>
        <w:t>gas även till försäljningar av värme och kyla. Vidare ska försäljningar till s.k. gemensamma företag, som bildats för genomförandet av gemenska</w:t>
      </w:r>
      <w:r w:rsidRPr="00532E45">
        <w:softHyphen/>
        <w:t>pens program för forskning m.m., momsbefrias. Dessutom in</w:t>
      </w:r>
      <w:r w:rsidRPr="00532E45">
        <w:softHyphen/>
        <w:t>förs en begränsning i avdragsrätten för moms som samman</w:t>
      </w:r>
      <w:r w:rsidRPr="00532E45">
        <w:softHyphen/>
        <w:t>hänger med fast egendom, vilken har utvidgats till att avse all slags egendom. Slutligen tas vissa regler för småföretag som Bulgarien och Rumänien beviljats vid EU-inträdet in i momsdirektivet.</w:t>
      </w:r>
    </w:p>
    <w:p w:rsidR="00007368" w:rsidRPr="00532E45" w:rsidRDefault="00007368" w:rsidP="00007368">
      <w:pPr>
        <w:pStyle w:val="RKnormal"/>
      </w:pPr>
    </w:p>
    <w:p w:rsidR="00007368" w:rsidRPr="00532E45" w:rsidRDefault="00C7443C" w:rsidP="00007368">
      <w:pPr>
        <w:pStyle w:val="RKnormal"/>
      </w:pPr>
      <w:r w:rsidRPr="00532E45">
        <w:t>Det är önskvärt att nå en kompromiss i linje med ordförandeskaps förslag.</w:t>
      </w:r>
      <w:r w:rsidR="00007368" w:rsidRPr="00532E45">
        <w:t xml:space="preserve"> </w:t>
      </w:r>
    </w:p>
    <w:p w:rsidR="00DC63EC" w:rsidRPr="00532E45" w:rsidRDefault="00DC63EC" w:rsidP="009C7249">
      <w:pPr>
        <w:pStyle w:val="RKnormal"/>
        <w:tabs>
          <w:tab w:val="clear" w:pos="2835"/>
          <w:tab w:val="left" w:pos="1701"/>
        </w:tabs>
      </w:pPr>
    </w:p>
    <w:p w:rsidR="00007368" w:rsidRPr="00532E45" w:rsidRDefault="00007368" w:rsidP="00856A3C">
      <w:pPr>
        <w:pStyle w:val="RKnormal"/>
        <w:tabs>
          <w:tab w:val="clear" w:pos="2835"/>
          <w:tab w:val="left" w:pos="1701"/>
        </w:tabs>
        <w:rPr>
          <w:b/>
        </w:rPr>
      </w:pPr>
    </w:p>
    <w:p w:rsidR="008717CA" w:rsidRPr="00532E45" w:rsidRDefault="00F93711" w:rsidP="00856A3C">
      <w:pPr>
        <w:pStyle w:val="RKnormal"/>
        <w:tabs>
          <w:tab w:val="clear" w:pos="2835"/>
          <w:tab w:val="left" w:pos="1701"/>
        </w:tabs>
        <w:rPr>
          <w:b/>
        </w:rPr>
      </w:pPr>
      <w:r w:rsidRPr="00532E45">
        <w:rPr>
          <w:b/>
        </w:rPr>
        <w:t>6</w:t>
      </w:r>
      <w:r w:rsidR="00EE7236" w:rsidRPr="00532E45">
        <w:rPr>
          <w:b/>
        </w:rPr>
        <w:t xml:space="preserve">. </w:t>
      </w:r>
      <w:r w:rsidR="00EE7236" w:rsidRPr="00532E45">
        <w:rPr>
          <w:b/>
        </w:rPr>
        <w:tab/>
      </w:r>
      <w:r w:rsidR="00FB216F" w:rsidRPr="00532E45">
        <w:rPr>
          <w:b/>
        </w:rPr>
        <w:t xml:space="preserve">(ev.) </w:t>
      </w:r>
      <w:r w:rsidR="00DC63EC" w:rsidRPr="00532E45">
        <w:rPr>
          <w:b/>
        </w:rPr>
        <w:t>Övriga ärenden</w:t>
      </w:r>
    </w:p>
    <w:p w:rsidR="00DC63EC" w:rsidRPr="00532E45" w:rsidRDefault="00DC63EC" w:rsidP="00856A3C">
      <w:pPr>
        <w:pStyle w:val="RKnormal"/>
        <w:tabs>
          <w:tab w:val="clear" w:pos="2835"/>
          <w:tab w:val="left" w:pos="1701"/>
        </w:tabs>
        <w:rPr>
          <w:b/>
        </w:rPr>
      </w:pPr>
    </w:p>
    <w:p w:rsidR="00DC63EC" w:rsidRPr="00532E45" w:rsidRDefault="00DC63EC" w:rsidP="00856A3C">
      <w:pPr>
        <w:pStyle w:val="RKnormal"/>
        <w:tabs>
          <w:tab w:val="clear" w:pos="2835"/>
          <w:tab w:val="left" w:pos="1701"/>
        </w:tabs>
      </w:pPr>
      <w:r w:rsidRPr="00532E45">
        <w:t xml:space="preserve">Inga övriga ärenden </w:t>
      </w:r>
      <w:r w:rsidR="00B5050B" w:rsidRPr="00532E45">
        <w:t xml:space="preserve">är </w:t>
      </w:r>
      <w:r w:rsidRPr="00532E45">
        <w:t xml:space="preserve">ännu </w:t>
      </w:r>
      <w:r w:rsidR="00B5050B" w:rsidRPr="00532E45">
        <w:t>kända.</w:t>
      </w:r>
    </w:p>
    <w:p w:rsidR="00DC63EC" w:rsidRPr="00532E45" w:rsidRDefault="00DC63EC" w:rsidP="00856A3C">
      <w:pPr>
        <w:pStyle w:val="RKnormal"/>
        <w:tabs>
          <w:tab w:val="clear" w:pos="2835"/>
          <w:tab w:val="left" w:pos="1701"/>
        </w:tabs>
      </w:pPr>
    </w:p>
    <w:p w:rsidR="00DC63EC" w:rsidRPr="00532E45" w:rsidRDefault="00DC63EC" w:rsidP="00856A3C">
      <w:pPr>
        <w:pStyle w:val="RKnormal"/>
        <w:tabs>
          <w:tab w:val="clear" w:pos="2835"/>
          <w:tab w:val="left" w:pos="1701"/>
        </w:tabs>
      </w:pPr>
    </w:p>
    <w:p w:rsidR="00AA7510" w:rsidRPr="00532E45" w:rsidRDefault="00AA7510" w:rsidP="00B23A0A">
      <w:pPr>
        <w:pStyle w:val="RKnormal"/>
        <w:tabs>
          <w:tab w:val="clear" w:pos="2835"/>
          <w:tab w:val="left" w:pos="1701"/>
        </w:tabs>
        <w:jc w:val="center"/>
        <w:rPr>
          <w:b/>
        </w:rPr>
      </w:pPr>
      <w:r w:rsidRPr="00532E45">
        <w:t>_______________________</w:t>
      </w:r>
    </w:p>
    <w:sectPr w:rsidR="00AA7510" w:rsidRPr="00532E4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6EAD" w:rsidRPr="00532E45" w:rsidRDefault="00766EAD">
      <w:r w:rsidRPr="00532E45">
        <w:separator/>
      </w:r>
    </w:p>
  </w:endnote>
  <w:endnote w:type="continuationSeparator" w:id="0">
    <w:p w:rsidR="00766EAD" w:rsidRPr="00532E45" w:rsidRDefault="00766EAD">
      <w:r w:rsidRPr="00532E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6EAD" w:rsidRPr="00532E45" w:rsidRDefault="00766EAD">
      <w:r w:rsidRPr="00532E45">
        <w:separator/>
      </w:r>
    </w:p>
  </w:footnote>
  <w:footnote w:type="continuationSeparator" w:id="0">
    <w:p w:rsidR="00766EAD" w:rsidRPr="00532E45" w:rsidRDefault="00766EAD">
      <w:r w:rsidRPr="00532E45">
        <w:continuationSeparator/>
      </w:r>
    </w:p>
  </w:footnote>
  <w:footnote w:id="1">
    <w:p w:rsidR="002C5487" w:rsidRPr="00532E45" w:rsidRDefault="002C5487" w:rsidP="002C5487">
      <w:pPr>
        <w:pStyle w:val="Fotnotstext"/>
        <w:rPr>
          <w:lang w:val="sv-SE"/>
        </w:rPr>
      </w:pPr>
      <w:r w:rsidRPr="00532E45">
        <w:rPr>
          <w:rStyle w:val="Fotnotsreferens"/>
          <w:lang w:val="sv-SE"/>
        </w:rPr>
        <w:footnoteRef/>
      </w:r>
      <w:r w:rsidRPr="00532E45">
        <w:rPr>
          <w:lang w:val="sv-SE"/>
        </w:rPr>
        <w:t xml:space="preserve"> International Financial Reporting 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19B" w:rsidRPr="00532E45" w:rsidRDefault="00BE019B">
    <w:pPr>
      <w:pStyle w:val="Sidhuvud"/>
      <w:framePr w:wrap="around" w:vAnchor="text" w:hAnchor="margin" w:xAlign="right" w:y="1"/>
      <w:rPr>
        <w:rStyle w:val="Sidnummer"/>
      </w:rPr>
    </w:pPr>
    <w:r w:rsidRPr="00532E45">
      <w:rPr>
        <w:rStyle w:val="Sidnummer"/>
      </w:rPr>
      <w:fldChar w:fldCharType="begin" w:fldLock="1"/>
    </w:r>
    <w:r w:rsidRPr="00532E45">
      <w:rPr>
        <w:rStyle w:val="Sidnummer"/>
      </w:rPr>
      <w:instrText xml:space="preserve">PAGE  </w:instrText>
    </w:r>
    <w:r w:rsidRPr="00532E45">
      <w:rPr>
        <w:rStyle w:val="Sidnummer"/>
      </w:rPr>
      <w:fldChar w:fldCharType="separate"/>
    </w:r>
    <w:r w:rsidR="00BD3D81" w:rsidRPr="00532E45">
      <w:rPr>
        <w:rStyle w:val="Sidnummer"/>
      </w:rPr>
      <w:t>6</w:t>
    </w:r>
    <w:r w:rsidRPr="00532E4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E019B" w:rsidRPr="00532E45">
      <w:tblPrEx>
        <w:tblCellMar>
          <w:top w:w="0" w:type="dxa"/>
          <w:bottom w:w="0" w:type="dxa"/>
        </w:tblCellMar>
      </w:tblPrEx>
      <w:trPr>
        <w:cantSplit/>
      </w:trPr>
      <w:tc>
        <w:tcPr>
          <w:tcW w:w="3119" w:type="dxa"/>
        </w:tcPr>
        <w:p w:rsidR="00BE019B" w:rsidRPr="00532E45" w:rsidRDefault="00BE019B">
          <w:pPr>
            <w:pStyle w:val="Sidhuvud"/>
            <w:spacing w:line="200" w:lineRule="atLeast"/>
            <w:ind w:right="357"/>
            <w:rPr>
              <w:rFonts w:ascii="TradeGothic" w:hAnsi="TradeGothic"/>
              <w:b/>
              <w:bCs/>
              <w:sz w:val="16"/>
            </w:rPr>
          </w:pPr>
        </w:p>
      </w:tc>
      <w:tc>
        <w:tcPr>
          <w:tcW w:w="4111" w:type="dxa"/>
          <w:tcMar>
            <w:left w:w="567" w:type="dxa"/>
          </w:tcMar>
        </w:tcPr>
        <w:p w:rsidR="00BE019B" w:rsidRPr="00532E45" w:rsidRDefault="00BE019B">
          <w:pPr>
            <w:pStyle w:val="Sidhuvud"/>
            <w:ind w:right="360"/>
          </w:pPr>
        </w:p>
      </w:tc>
      <w:tc>
        <w:tcPr>
          <w:tcW w:w="1525" w:type="dxa"/>
        </w:tcPr>
        <w:p w:rsidR="00BE019B" w:rsidRPr="00532E45" w:rsidRDefault="00BE019B">
          <w:pPr>
            <w:pStyle w:val="Sidhuvud"/>
            <w:ind w:right="360"/>
          </w:pPr>
        </w:p>
      </w:tc>
    </w:tr>
  </w:tbl>
  <w:p w:rsidR="00BE019B" w:rsidRPr="00532E45" w:rsidRDefault="00BE019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19B" w:rsidRPr="00532E45" w:rsidRDefault="00BE019B">
    <w:pPr>
      <w:pStyle w:val="Sidhuvud"/>
      <w:framePr w:wrap="around" w:vAnchor="text" w:hAnchor="margin" w:xAlign="right" w:y="1"/>
      <w:rPr>
        <w:rStyle w:val="Sidnummer"/>
      </w:rPr>
    </w:pPr>
    <w:r w:rsidRPr="00532E45">
      <w:rPr>
        <w:rStyle w:val="Sidnummer"/>
      </w:rPr>
      <w:fldChar w:fldCharType="begin" w:fldLock="1"/>
    </w:r>
    <w:r w:rsidRPr="00532E45">
      <w:rPr>
        <w:rStyle w:val="Sidnummer"/>
      </w:rPr>
      <w:instrText xml:space="preserve">PAGE  </w:instrText>
    </w:r>
    <w:r w:rsidRPr="00532E45">
      <w:rPr>
        <w:rStyle w:val="Sidnummer"/>
      </w:rPr>
      <w:fldChar w:fldCharType="separate"/>
    </w:r>
    <w:r w:rsidR="00BD3D81" w:rsidRPr="00532E45">
      <w:rPr>
        <w:rStyle w:val="Sidnummer"/>
      </w:rPr>
      <w:t>5</w:t>
    </w:r>
    <w:r w:rsidRPr="00532E4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E019B" w:rsidRPr="00532E45">
      <w:tblPrEx>
        <w:tblCellMar>
          <w:top w:w="0" w:type="dxa"/>
          <w:bottom w:w="0" w:type="dxa"/>
        </w:tblCellMar>
      </w:tblPrEx>
      <w:trPr>
        <w:cantSplit/>
      </w:trPr>
      <w:tc>
        <w:tcPr>
          <w:tcW w:w="3119" w:type="dxa"/>
        </w:tcPr>
        <w:p w:rsidR="00BE019B" w:rsidRPr="00532E45" w:rsidRDefault="00BE019B">
          <w:pPr>
            <w:pStyle w:val="Sidhuvud"/>
            <w:spacing w:line="200" w:lineRule="atLeast"/>
            <w:ind w:right="357"/>
            <w:rPr>
              <w:rFonts w:ascii="TradeGothic" w:hAnsi="TradeGothic"/>
              <w:b/>
              <w:bCs/>
              <w:sz w:val="16"/>
            </w:rPr>
          </w:pPr>
        </w:p>
      </w:tc>
      <w:tc>
        <w:tcPr>
          <w:tcW w:w="4111" w:type="dxa"/>
          <w:tcMar>
            <w:left w:w="567" w:type="dxa"/>
          </w:tcMar>
        </w:tcPr>
        <w:p w:rsidR="00BE019B" w:rsidRPr="00532E45" w:rsidRDefault="00BE019B">
          <w:pPr>
            <w:pStyle w:val="Sidhuvud"/>
            <w:ind w:right="360"/>
          </w:pPr>
        </w:p>
      </w:tc>
      <w:tc>
        <w:tcPr>
          <w:tcW w:w="1525" w:type="dxa"/>
        </w:tcPr>
        <w:p w:rsidR="00BE019B" w:rsidRPr="00532E45" w:rsidRDefault="00BE019B">
          <w:pPr>
            <w:pStyle w:val="Sidhuvud"/>
            <w:ind w:right="360"/>
          </w:pPr>
        </w:p>
      </w:tc>
    </w:tr>
  </w:tbl>
  <w:p w:rsidR="00BE019B" w:rsidRPr="00532E45" w:rsidRDefault="00BE019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19B" w:rsidRPr="00532E45" w:rsidRDefault="00532E45">
    <w:pPr>
      <w:framePr w:w="2948" w:h="1321" w:hRule="exact" w:wrap="notBeside" w:vAnchor="page" w:hAnchor="page" w:x="1362" w:y="653"/>
    </w:pPr>
    <w:r w:rsidRPr="00532E4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E019B" w:rsidRPr="00532E45" w:rsidRDefault="00BE019B">
    <w:pPr>
      <w:pStyle w:val="RKrubrik"/>
      <w:keepNext w:val="0"/>
      <w:tabs>
        <w:tab w:val="clear" w:pos="1134"/>
        <w:tab w:val="clear" w:pos="2835"/>
      </w:tabs>
      <w:spacing w:before="0" w:after="0" w:line="320" w:lineRule="atLeast"/>
      <w:rPr>
        <w:bCs/>
      </w:rPr>
    </w:pPr>
  </w:p>
  <w:p w:rsidR="00BE019B" w:rsidRPr="00532E45" w:rsidRDefault="00BE019B">
    <w:pPr>
      <w:rPr>
        <w:rFonts w:ascii="TradeGothic" w:hAnsi="TradeGothic"/>
        <w:b/>
        <w:bCs/>
        <w:spacing w:val="12"/>
        <w:sz w:val="22"/>
      </w:rPr>
    </w:pPr>
  </w:p>
  <w:p w:rsidR="00BE019B" w:rsidRPr="00532E45" w:rsidRDefault="00BE019B">
    <w:pPr>
      <w:pStyle w:val="RKrubrik"/>
      <w:keepNext w:val="0"/>
      <w:tabs>
        <w:tab w:val="clear" w:pos="1134"/>
        <w:tab w:val="clear" w:pos="2835"/>
      </w:tabs>
      <w:spacing w:before="0" w:after="0" w:line="320" w:lineRule="atLeast"/>
      <w:rPr>
        <w:bCs/>
      </w:rPr>
    </w:pPr>
  </w:p>
  <w:p w:rsidR="00BE019B" w:rsidRPr="00532E45" w:rsidRDefault="00BE019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4E2AC6"/>
    <w:lvl w:ilvl="0">
      <w:numFmt w:val="bullet"/>
      <w:lvlText w:val="*"/>
      <w:lvlJc w:val="left"/>
    </w:lvl>
  </w:abstractNum>
  <w:abstractNum w:abstractNumId="1" w15:restartNumberingAfterBreak="0">
    <w:nsid w:val="064822AA"/>
    <w:multiLevelType w:val="hybridMultilevel"/>
    <w:tmpl w:val="0AEECBD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CD62F7"/>
    <w:multiLevelType w:val="hybridMultilevel"/>
    <w:tmpl w:val="B8B6C20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4208164">
    <w:abstractNumId w:val="0"/>
    <w:lvlOverride w:ilvl="0">
      <w:lvl w:ilvl="0">
        <w:numFmt w:val="bullet"/>
        <w:lvlText w:val="•"/>
        <w:legacy w:legacy="1" w:legacySpace="0" w:legacyIndent="0"/>
        <w:lvlJc w:val="left"/>
        <w:rPr>
          <w:rFonts w:ascii="Helv" w:hAnsi="Helv" w:hint="default"/>
        </w:rPr>
      </w:lvl>
    </w:lvlOverride>
  </w:num>
  <w:num w:numId="2" w16cid:durableId="2050953401">
    <w:abstractNumId w:val="1"/>
  </w:num>
  <w:num w:numId="3" w16cid:durableId="832179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02D5D"/>
    <w:rsid w:val="00002E7D"/>
    <w:rsid w:val="00004CC6"/>
    <w:rsid w:val="00007368"/>
    <w:rsid w:val="00016ADD"/>
    <w:rsid w:val="000368BF"/>
    <w:rsid w:val="00041195"/>
    <w:rsid w:val="00045C74"/>
    <w:rsid w:val="00060F7D"/>
    <w:rsid w:val="00065C80"/>
    <w:rsid w:val="0007009C"/>
    <w:rsid w:val="00085088"/>
    <w:rsid w:val="00092356"/>
    <w:rsid w:val="000A5F32"/>
    <w:rsid w:val="000B1526"/>
    <w:rsid w:val="000B649B"/>
    <w:rsid w:val="000F7186"/>
    <w:rsid w:val="000F7A65"/>
    <w:rsid w:val="00104C19"/>
    <w:rsid w:val="00113C40"/>
    <w:rsid w:val="0012466B"/>
    <w:rsid w:val="0013172C"/>
    <w:rsid w:val="00132043"/>
    <w:rsid w:val="00150384"/>
    <w:rsid w:val="00155665"/>
    <w:rsid w:val="00165A4C"/>
    <w:rsid w:val="001805B7"/>
    <w:rsid w:val="001825B9"/>
    <w:rsid w:val="00191AFB"/>
    <w:rsid w:val="001D1830"/>
    <w:rsid w:val="001D758A"/>
    <w:rsid w:val="001E4118"/>
    <w:rsid w:val="001E567E"/>
    <w:rsid w:val="001F2632"/>
    <w:rsid w:val="00202F66"/>
    <w:rsid w:val="00206039"/>
    <w:rsid w:val="00212FBE"/>
    <w:rsid w:val="00214E8E"/>
    <w:rsid w:val="00225C96"/>
    <w:rsid w:val="002506E6"/>
    <w:rsid w:val="00270280"/>
    <w:rsid w:val="002971F6"/>
    <w:rsid w:val="002C5487"/>
    <w:rsid w:val="002C54FD"/>
    <w:rsid w:val="002C7698"/>
    <w:rsid w:val="002D197A"/>
    <w:rsid w:val="002F1897"/>
    <w:rsid w:val="002F2F1E"/>
    <w:rsid w:val="00310545"/>
    <w:rsid w:val="003115C5"/>
    <w:rsid w:val="00330369"/>
    <w:rsid w:val="00362206"/>
    <w:rsid w:val="003629A1"/>
    <w:rsid w:val="003633ED"/>
    <w:rsid w:val="00380C68"/>
    <w:rsid w:val="00383698"/>
    <w:rsid w:val="003B4309"/>
    <w:rsid w:val="003B49FE"/>
    <w:rsid w:val="003B6E61"/>
    <w:rsid w:val="003C38B6"/>
    <w:rsid w:val="003D45A4"/>
    <w:rsid w:val="003E5ABF"/>
    <w:rsid w:val="003F436C"/>
    <w:rsid w:val="00403A3B"/>
    <w:rsid w:val="004072F9"/>
    <w:rsid w:val="00411F39"/>
    <w:rsid w:val="0043370C"/>
    <w:rsid w:val="004629C8"/>
    <w:rsid w:val="00466549"/>
    <w:rsid w:val="004706A2"/>
    <w:rsid w:val="00473305"/>
    <w:rsid w:val="00475844"/>
    <w:rsid w:val="004A328D"/>
    <w:rsid w:val="004A4918"/>
    <w:rsid w:val="004A743A"/>
    <w:rsid w:val="004B5D98"/>
    <w:rsid w:val="004B75EE"/>
    <w:rsid w:val="004B75F9"/>
    <w:rsid w:val="004C635B"/>
    <w:rsid w:val="00500962"/>
    <w:rsid w:val="00515451"/>
    <w:rsid w:val="00521BDE"/>
    <w:rsid w:val="00521DC8"/>
    <w:rsid w:val="00532E45"/>
    <w:rsid w:val="00535CE4"/>
    <w:rsid w:val="00545E82"/>
    <w:rsid w:val="005659EB"/>
    <w:rsid w:val="00574523"/>
    <w:rsid w:val="005748AA"/>
    <w:rsid w:val="00575D45"/>
    <w:rsid w:val="00581316"/>
    <w:rsid w:val="00591CD1"/>
    <w:rsid w:val="005A4388"/>
    <w:rsid w:val="005A52F6"/>
    <w:rsid w:val="005B6658"/>
    <w:rsid w:val="005C18BC"/>
    <w:rsid w:val="005C2DB7"/>
    <w:rsid w:val="005F3AA0"/>
    <w:rsid w:val="005F3D2C"/>
    <w:rsid w:val="005F4359"/>
    <w:rsid w:val="00602111"/>
    <w:rsid w:val="00605AF6"/>
    <w:rsid w:val="0060736A"/>
    <w:rsid w:val="00613B42"/>
    <w:rsid w:val="00614600"/>
    <w:rsid w:val="0061465F"/>
    <w:rsid w:val="0061624B"/>
    <w:rsid w:val="00616ED7"/>
    <w:rsid w:val="00620957"/>
    <w:rsid w:val="006224CA"/>
    <w:rsid w:val="00623D1D"/>
    <w:rsid w:val="0063673F"/>
    <w:rsid w:val="0064202A"/>
    <w:rsid w:val="00672BBC"/>
    <w:rsid w:val="006838E2"/>
    <w:rsid w:val="00695636"/>
    <w:rsid w:val="006A47F0"/>
    <w:rsid w:val="006C257C"/>
    <w:rsid w:val="006C2CE8"/>
    <w:rsid w:val="006C48A2"/>
    <w:rsid w:val="006D4CF5"/>
    <w:rsid w:val="006D54AE"/>
    <w:rsid w:val="006E1053"/>
    <w:rsid w:val="006E4E11"/>
    <w:rsid w:val="006F7D42"/>
    <w:rsid w:val="00707A0C"/>
    <w:rsid w:val="007118FF"/>
    <w:rsid w:val="00723A76"/>
    <w:rsid w:val="007242A3"/>
    <w:rsid w:val="0072718D"/>
    <w:rsid w:val="007359F0"/>
    <w:rsid w:val="007511FC"/>
    <w:rsid w:val="007526E8"/>
    <w:rsid w:val="007636D1"/>
    <w:rsid w:val="00763E1D"/>
    <w:rsid w:val="00766EAD"/>
    <w:rsid w:val="00775043"/>
    <w:rsid w:val="0077682F"/>
    <w:rsid w:val="00787EE4"/>
    <w:rsid w:val="00794679"/>
    <w:rsid w:val="007B41AD"/>
    <w:rsid w:val="007C0970"/>
    <w:rsid w:val="007D37CD"/>
    <w:rsid w:val="007F1044"/>
    <w:rsid w:val="007F588C"/>
    <w:rsid w:val="00804111"/>
    <w:rsid w:val="00806206"/>
    <w:rsid w:val="00817067"/>
    <w:rsid w:val="00817E13"/>
    <w:rsid w:val="00821E35"/>
    <w:rsid w:val="00830ABD"/>
    <w:rsid w:val="008429CE"/>
    <w:rsid w:val="00847269"/>
    <w:rsid w:val="00856A3C"/>
    <w:rsid w:val="008717CA"/>
    <w:rsid w:val="00896FCF"/>
    <w:rsid w:val="008A49FE"/>
    <w:rsid w:val="008B4D72"/>
    <w:rsid w:val="008B6060"/>
    <w:rsid w:val="008C2823"/>
    <w:rsid w:val="008D1B0F"/>
    <w:rsid w:val="008D46F1"/>
    <w:rsid w:val="008E6978"/>
    <w:rsid w:val="009035A6"/>
    <w:rsid w:val="009160B8"/>
    <w:rsid w:val="0091620F"/>
    <w:rsid w:val="009263F7"/>
    <w:rsid w:val="00930D0A"/>
    <w:rsid w:val="00931EEA"/>
    <w:rsid w:val="0094141C"/>
    <w:rsid w:val="00942391"/>
    <w:rsid w:val="00944507"/>
    <w:rsid w:val="00960307"/>
    <w:rsid w:val="00963470"/>
    <w:rsid w:val="00964FF1"/>
    <w:rsid w:val="00973291"/>
    <w:rsid w:val="009741D0"/>
    <w:rsid w:val="00974A08"/>
    <w:rsid w:val="009837F5"/>
    <w:rsid w:val="009906C2"/>
    <w:rsid w:val="00995713"/>
    <w:rsid w:val="00995D45"/>
    <w:rsid w:val="009A6C4B"/>
    <w:rsid w:val="009B44C7"/>
    <w:rsid w:val="009C3566"/>
    <w:rsid w:val="009C3D27"/>
    <w:rsid w:val="009C7249"/>
    <w:rsid w:val="009D3B8D"/>
    <w:rsid w:val="009D79B4"/>
    <w:rsid w:val="009E162F"/>
    <w:rsid w:val="009E1C2C"/>
    <w:rsid w:val="00A239E5"/>
    <w:rsid w:val="00A3439C"/>
    <w:rsid w:val="00A343DC"/>
    <w:rsid w:val="00A37788"/>
    <w:rsid w:val="00A41507"/>
    <w:rsid w:val="00A433C5"/>
    <w:rsid w:val="00A43CFE"/>
    <w:rsid w:val="00A531A0"/>
    <w:rsid w:val="00A56A40"/>
    <w:rsid w:val="00A75496"/>
    <w:rsid w:val="00A802D3"/>
    <w:rsid w:val="00A826AE"/>
    <w:rsid w:val="00A87990"/>
    <w:rsid w:val="00A91E2E"/>
    <w:rsid w:val="00A939CB"/>
    <w:rsid w:val="00A94474"/>
    <w:rsid w:val="00A950B3"/>
    <w:rsid w:val="00AA5C22"/>
    <w:rsid w:val="00AA7510"/>
    <w:rsid w:val="00AB70BA"/>
    <w:rsid w:val="00AD53EC"/>
    <w:rsid w:val="00AE1EBF"/>
    <w:rsid w:val="00AF3A1C"/>
    <w:rsid w:val="00B03237"/>
    <w:rsid w:val="00B10EAE"/>
    <w:rsid w:val="00B12AA5"/>
    <w:rsid w:val="00B21CD8"/>
    <w:rsid w:val="00B23A0A"/>
    <w:rsid w:val="00B34E72"/>
    <w:rsid w:val="00B4134A"/>
    <w:rsid w:val="00B417A1"/>
    <w:rsid w:val="00B43246"/>
    <w:rsid w:val="00B50023"/>
    <w:rsid w:val="00B5050B"/>
    <w:rsid w:val="00B61CB7"/>
    <w:rsid w:val="00B61EAD"/>
    <w:rsid w:val="00B6453C"/>
    <w:rsid w:val="00B762A9"/>
    <w:rsid w:val="00B80FCC"/>
    <w:rsid w:val="00B967FA"/>
    <w:rsid w:val="00BB4D49"/>
    <w:rsid w:val="00BC25C8"/>
    <w:rsid w:val="00BC762F"/>
    <w:rsid w:val="00BD069F"/>
    <w:rsid w:val="00BD360A"/>
    <w:rsid w:val="00BD3D81"/>
    <w:rsid w:val="00BD65B2"/>
    <w:rsid w:val="00BE019B"/>
    <w:rsid w:val="00BF311E"/>
    <w:rsid w:val="00BF5B65"/>
    <w:rsid w:val="00C0353B"/>
    <w:rsid w:val="00C1295E"/>
    <w:rsid w:val="00C270D2"/>
    <w:rsid w:val="00C27F25"/>
    <w:rsid w:val="00C33B54"/>
    <w:rsid w:val="00C413B4"/>
    <w:rsid w:val="00C62F97"/>
    <w:rsid w:val="00C7443C"/>
    <w:rsid w:val="00CA2D1A"/>
    <w:rsid w:val="00CA4AAC"/>
    <w:rsid w:val="00CA742F"/>
    <w:rsid w:val="00CD38B2"/>
    <w:rsid w:val="00CE175F"/>
    <w:rsid w:val="00CE2CE9"/>
    <w:rsid w:val="00CE449A"/>
    <w:rsid w:val="00CE6F12"/>
    <w:rsid w:val="00CF6C75"/>
    <w:rsid w:val="00D033B9"/>
    <w:rsid w:val="00D07381"/>
    <w:rsid w:val="00D07E25"/>
    <w:rsid w:val="00D13AF7"/>
    <w:rsid w:val="00D4327E"/>
    <w:rsid w:val="00D56B66"/>
    <w:rsid w:val="00DA0914"/>
    <w:rsid w:val="00DA6A10"/>
    <w:rsid w:val="00DA6C7B"/>
    <w:rsid w:val="00DC63EC"/>
    <w:rsid w:val="00DD387B"/>
    <w:rsid w:val="00DF3567"/>
    <w:rsid w:val="00DF5492"/>
    <w:rsid w:val="00DF60C3"/>
    <w:rsid w:val="00E00022"/>
    <w:rsid w:val="00E02C39"/>
    <w:rsid w:val="00E21D9F"/>
    <w:rsid w:val="00E421AB"/>
    <w:rsid w:val="00E60634"/>
    <w:rsid w:val="00E65799"/>
    <w:rsid w:val="00E87A11"/>
    <w:rsid w:val="00E9129D"/>
    <w:rsid w:val="00E94C55"/>
    <w:rsid w:val="00EA2F67"/>
    <w:rsid w:val="00EB15CC"/>
    <w:rsid w:val="00EC25F9"/>
    <w:rsid w:val="00EC450A"/>
    <w:rsid w:val="00EC5436"/>
    <w:rsid w:val="00ED32AD"/>
    <w:rsid w:val="00EE056F"/>
    <w:rsid w:val="00EE3BF7"/>
    <w:rsid w:val="00EE7236"/>
    <w:rsid w:val="00EF1738"/>
    <w:rsid w:val="00F000BA"/>
    <w:rsid w:val="00F20C14"/>
    <w:rsid w:val="00F20F99"/>
    <w:rsid w:val="00F25E9A"/>
    <w:rsid w:val="00F261F9"/>
    <w:rsid w:val="00F561CA"/>
    <w:rsid w:val="00F7753D"/>
    <w:rsid w:val="00F91C1A"/>
    <w:rsid w:val="00F93711"/>
    <w:rsid w:val="00F953B9"/>
    <w:rsid w:val="00FA08E3"/>
    <w:rsid w:val="00FA18F6"/>
    <w:rsid w:val="00FA76FB"/>
    <w:rsid w:val="00FB17F6"/>
    <w:rsid w:val="00FB216F"/>
    <w:rsid w:val="00FB64A0"/>
    <w:rsid w:val="00FB6A1C"/>
    <w:rsid w:val="00FB7B09"/>
    <w:rsid w:val="00FD001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F2ACCE7-7B7B-47EC-AFE1-6E1DE783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 w:type="paragraph" w:styleId="Fotnotstext">
    <w:name w:val="footnote text"/>
    <w:basedOn w:val="Normal"/>
    <w:semiHidden/>
    <w:rsid w:val="00DA6A10"/>
    <w:pPr>
      <w:overflowPunct/>
      <w:autoSpaceDE/>
      <w:autoSpaceDN/>
      <w:adjustRightInd/>
      <w:spacing w:line="240" w:lineRule="auto"/>
      <w:textAlignment w:val="auto"/>
    </w:pPr>
    <w:rPr>
      <w:rFonts w:ascii="Times New Roman" w:hAnsi="Times New Roman"/>
      <w:sz w:val="20"/>
      <w:lang w:val="en-GB"/>
    </w:rPr>
  </w:style>
  <w:style w:type="character" w:styleId="Fotnotsreferens">
    <w:name w:val="footnote reference"/>
    <w:basedOn w:val="Standardstycketeckensnitt"/>
    <w:semiHidden/>
    <w:rsid w:val="00DA6A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1617</Words>
  <Characters>9962</Characters>
  <Application>Microsoft Office Word</Application>
  <DocSecurity>4</DocSecurity>
  <Lines>293</Lines>
  <Paragraphs>73</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2009-04-23T08:49:00Z</cp:lastPrinted>
  <dcterms:created xsi:type="dcterms:W3CDTF">2025-12-17T19:32:00Z</dcterms:created>
  <dcterms:modified xsi:type="dcterms:W3CDTF">2025-12-17T19:32:00Z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