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EA54DA" w:rsidTr="00182B87">
        <w:tblPrEx>
          <w:tblCellMar>
            <w:top w:w="0" w:type="dxa"/>
            <w:bottom w:w="0" w:type="dxa"/>
          </w:tblCellMar>
        </w:tblPrEx>
        <w:tc>
          <w:tcPr>
            <w:tcW w:w="2268" w:type="dxa"/>
          </w:tcPr>
          <w:p w:rsidR="006E4E11" w:rsidRPr="00EA54DA"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EA54DA" w:rsidRDefault="006E4E11" w:rsidP="007242A3">
            <w:pPr>
              <w:framePr w:w="5035" w:h="1644" w:wrap="notBeside" w:vAnchor="page" w:hAnchor="page" w:x="6573" w:y="721"/>
              <w:rPr>
                <w:rFonts w:ascii="TradeGothic" w:hAnsi="TradeGothic"/>
                <w:i/>
                <w:sz w:val="18"/>
              </w:rPr>
            </w:pPr>
          </w:p>
        </w:tc>
      </w:tr>
      <w:tr w:rsidR="00182B87" w:rsidRPr="00EA54DA" w:rsidTr="00182B87">
        <w:tblPrEx>
          <w:tblCellMar>
            <w:top w:w="0" w:type="dxa"/>
            <w:bottom w:w="0" w:type="dxa"/>
          </w:tblCellMar>
        </w:tblPrEx>
        <w:tc>
          <w:tcPr>
            <w:tcW w:w="5267" w:type="dxa"/>
            <w:gridSpan w:val="3"/>
          </w:tcPr>
          <w:p w:rsidR="00182B87" w:rsidRPr="00EA54DA" w:rsidRDefault="00182B87" w:rsidP="007242A3">
            <w:pPr>
              <w:framePr w:w="5035" w:h="1644" w:wrap="notBeside" w:vAnchor="page" w:hAnchor="page" w:x="6573" w:y="721"/>
              <w:rPr>
                <w:rFonts w:ascii="TradeGothic" w:hAnsi="TradeGothic"/>
                <w:b/>
                <w:sz w:val="22"/>
              </w:rPr>
            </w:pPr>
            <w:r w:rsidRPr="00EA54DA">
              <w:rPr>
                <w:rFonts w:ascii="TradeGothic" w:hAnsi="TradeGothic"/>
                <w:b/>
                <w:sz w:val="22"/>
              </w:rPr>
              <w:t>Kommenterad dagordning</w:t>
            </w:r>
          </w:p>
        </w:tc>
      </w:tr>
      <w:tr w:rsidR="006E4E11" w:rsidRPr="00EA54DA" w:rsidTr="00182B87">
        <w:tblPrEx>
          <w:tblCellMar>
            <w:top w:w="0" w:type="dxa"/>
            <w:bottom w:w="0" w:type="dxa"/>
          </w:tblCellMar>
        </w:tblPrEx>
        <w:tc>
          <w:tcPr>
            <w:tcW w:w="3402" w:type="dxa"/>
            <w:gridSpan w:val="2"/>
          </w:tcPr>
          <w:p w:rsidR="006E4E11" w:rsidRPr="00EA54DA" w:rsidRDefault="00182B87" w:rsidP="007242A3">
            <w:pPr>
              <w:framePr w:w="5035" w:h="1644" w:wrap="notBeside" w:vAnchor="page" w:hAnchor="page" w:x="6573" w:y="721"/>
              <w:rPr>
                <w:rFonts w:ascii="TradeGothic" w:hAnsi="TradeGothic"/>
                <w:b/>
                <w:sz w:val="22"/>
              </w:rPr>
            </w:pPr>
            <w:r w:rsidRPr="00EA54DA">
              <w:rPr>
                <w:rFonts w:ascii="TradeGothic" w:hAnsi="TradeGothic"/>
                <w:b/>
                <w:sz w:val="22"/>
              </w:rPr>
              <w:t>rådet</w:t>
            </w:r>
          </w:p>
        </w:tc>
        <w:tc>
          <w:tcPr>
            <w:tcW w:w="1865" w:type="dxa"/>
          </w:tcPr>
          <w:p w:rsidR="006E4E11" w:rsidRPr="00EA54DA" w:rsidRDefault="006E4E11" w:rsidP="007242A3">
            <w:pPr>
              <w:framePr w:w="5035" w:h="1644" w:wrap="notBeside" w:vAnchor="page" w:hAnchor="page" w:x="6573" w:y="721"/>
            </w:pPr>
          </w:p>
        </w:tc>
      </w:tr>
      <w:tr w:rsidR="006E4E11" w:rsidRPr="00EA54DA" w:rsidTr="00182B87">
        <w:tblPrEx>
          <w:tblCellMar>
            <w:top w:w="0" w:type="dxa"/>
            <w:bottom w:w="0" w:type="dxa"/>
          </w:tblCellMar>
        </w:tblPrEx>
        <w:tc>
          <w:tcPr>
            <w:tcW w:w="2268" w:type="dxa"/>
          </w:tcPr>
          <w:p w:rsidR="006E4E11" w:rsidRPr="00EA54DA" w:rsidRDefault="00B402F3" w:rsidP="007242A3">
            <w:pPr>
              <w:framePr w:w="5035" w:h="1644" w:wrap="notBeside" w:vAnchor="page" w:hAnchor="page" w:x="6573" w:y="721"/>
            </w:pPr>
            <w:r w:rsidRPr="00EA54DA">
              <w:t>2011-12-08</w:t>
            </w:r>
          </w:p>
        </w:tc>
        <w:tc>
          <w:tcPr>
            <w:tcW w:w="2999" w:type="dxa"/>
            <w:gridSpan w:val="2"/>
          </w:tcPr>
          <w:p w:rsidR="006E4E11" w:rsidRPr="00EA54DA" w:rsidRDefault="006E4E11" w:rsidP="007242A3">
            <w:pPr>
              <w:framePr w:w="5035" w:h="1644" w:wrap="notBeside" w:vAnchor="page" w:hAnchor="page" w:x="6573" w:y="721"/>
            </w:pPr>
          </w:p>
        </w:tc>
      </w:tr>
      <w:tr w:rsidR="006E4E11" w:rsidRPr="00EA54DA" w:rsidTr="00182B87">
        <w:tblPrEx>
          <w:tblCellMar>
            <w:top w:w="0" w:type="dxa"/>
            <w:bottom w:w="0" w:type="dxa"/>
          </w:tblCellMar>
        </w:tblPrEx>
        <w:tc>
          <w:tcPr>
            <w:tcW w:w="2268" w:type="dxa"/>
          </w:tcPr>
          <w:p w:rsidR="006E4E11" w:rsidRPr="00EA54DA" w:rsidRDefault="006E4E11" w:rsidP="007242A3">
            <w:pPr>
              <w:framePr w:w="5035" w:h="1644" w:wrap="notBeside" w:vAnchor="page" w:hAnchor="page" w:x="6573" w:y="721"/>
            </w:pPr>
          </w:p>
        </w:tc>
        <w:tc>
          <w:tcPr>
            <w:tcW w:w="2999" w:type="dxa"/>
            <w:gridSpan w:val="2"/>
          </w:tcPr>
          <w:p w:rsidR="006E4E11" w:rsidRPr="00EA54DA" w:rsidRDefault="006E4E11" w:rsidP="007242A3">
            <w:pPr>
              <w:framePr w:w="5035" w:h="1644" w:wrap="notBeside" w:vAnchor="page" w:hAnchor="page" w:x="6573" w:y="721"/>
            </w:pPr>
          </w:p>
        </w:tc>
      </w:tr>
    </w:tbl>
    <w:p w:rsidR="001C7976" w:rsidRPr="00EA54DA" w:rsidRDefault="001C7976" w:rsidP="001C7976">
      <w:pPr>
        <w:rPr>
          <w:vanish/>
        </w:rPr>
      </w:pPr>
    </w:p>
    <w:tbl>
      <w:tblPr>
        <w:tblW w:w="0" w:type="auto"/>
        <w:tblLayout w:type="fixed"/>
        <w:tblLook w:val="0000" w:firstRow="0" w:lastRow="0" w:firstColumn="0" w:lastColumn="0" w:noHBand="0" w:noVBand="0"/>
      </w:tblPr>
      <w:tblGrid>
        <w:gridCol w:w="4911"/>
      </w:tblGrid>
      <w:tr w:rsidR="006E4E11" w:rsidRPr="00EA54DA">
        <w:tblPrEx>
          <w:tblCellMar>
            <w:top w:w="0" w:type="dxa"/>
            <w:bottom w:w="0" w:type="dxa"/>
          </w:tblCellMar>
        </w:tblPrEx>
        <w:trPr>
          <w:trHeight w:val="284"/>
        </w:trPr>
        <w:tc>
          <w:tcPr>
            <w:tcW w:w="4911" w:type="dxa"/>
          </w:tcPr>
          <w:p w:rsidR="006E4E11" w:rsidRPr="00EA54DA" w:rsidRDefault="00182B87">
            <w:pPr>
              <w:pStyle w:val="Avsndare"/>
              <w:framePr w:h="2483" w:wrap="notBeside" w:x="1504"/>
              <w:rPr>
                <w:b/>
                <w:i w:val="0"/>
                <w:sz w:val="22"/>
              </w:rPr>
            </w:pPr>
            <w:r w:rsidRPr="00EA54DA">
              <w:rPr>
                <w:b/>
                <w:i w:val="0"/>
                <w:sz w:val="22"/>
              </w:rPr>
              <w:t>Miljödepartementet</w:t>
            </w:r>
          </w:p>
        </w:tc>
      </w:tr>
      <w:tr w:rsidR="006E4E11" w:rsidRPr="00EA54DA">
        <w:tblPrEx>
          <w:tblCellMar>
            <w:top w:w="0" w:type="dxa"/>
            <w:bottom w:w="0" w:type="dxa"/>
          </w:tblCellMar>
        </w:tblPrEx>
        <w:trPr>
          <w:trHeight w:val="284"/>
        </w:trPr>
        <w:tc>
          <w:tcPr>
            <w:tcW w:w="4911" w:type="dxa"/>
          </w:tcPr>
          <w:p w:rsidR="006E4E11" w:rsidRPr="00EA54DA" w:rsidRDefault="006E4E11">
            <w:pPr>
              <w:pStyle w:val="Avsndare"/>
              <w:framePr w:h="2483" w:wrap="notBeside" w:x="1504"/>
              <w:rPr>
                <w:bCs/>
                <w:iCs/>
              </w:rPr>
            </w:pPr>
          </w:p>
        </w:tc>
      </w:tr>
      <w:tr w:rsidR="006E4E11" w:rsidRPr="00EA54DA">
        <w:tblPrEx>
          <w:tblCellMar>
            <w:top w:w="0" w:type="dxa"/>
            <w:bottom w:w="0" w:type="dxa"/>
          </w:tblCellMar>
        </w:tblPrEx>
        <w:trPr>
          <w:trHeight w:val="284"/>
        </w:trPr>
        <w:tc>
          <w:tcPr>
            <w:tcW w:w="4911" w:type="dxa"/>
          </w:tcPr>
          <w:p w:rsidR="006E4E11" w:rsidRPr="00EA54DA" w:rsidRDefault="00182B87">
            <w:pPr>
              <w:pStyle w:val="Avsndare"/>
              <w:framePr w:h="2483" w:wrap="notBeside" w:x="1504"/>
              <w:rPr>
                <w:bCs/>
                <w:iCs/>
              </w:rPr>
            </w:pPr>
            <w:r w:rsidRPr="00EA54DA">
              <w:rPr>
                <w:bCs/>
                <w:iCs/>
              </w:rPr>
              <w:t>Internationella enheten</w:t>
            </w:r>
          </w:p>
        </w:tc>
      </w:tr>
      <w:tr w:rsidR="006E4E11" w:rsidRPr="00EA54DA">
        <w:tblPrEx>
          <w:tblCellMar>
            <w:top w:w="0" w:type="dxa"/>
            <w:bottom w:w="0" w:type="dxa"/>
          </w:tblCellMar>
        </w:tblPrEx>
        <w:trPr>
          <w:trHeight w:val="284"/>
        </w:trPr>
        <w:tc>
          <w:tcPr>
            <w:tcW w:w="4911" w:type="dxa"/>
          </w:tcPr>
          <w:p w:rsidR="006E4E11" w:rsidRPr="00EA54DA" w:rsidRDefault="006E4E11">
            <w:pPr>
              <w:pStyle w:val="Avsndare"/>
              <w:framePr w:h="2483" w:wrap="notBeside" w:x="1504"/>
              <w:rPr>
                <w:bCs/>
                <w:iCs/>
              </w:rPr>
            </w:pPr>
          </w:p>
        </w:tc>
      </w:tr>
      <w:tr w:rsidR="006E4E11" w:rsidRPr="00EA54DA">
        <w:tblPrEx>
          <w:tblCellMar>
            <w:top w:w="0" w:type="dxa"/>
            <w:bottom w:w="0" w:type="dxa"/>
          </w:tblCellMar>
        </w:tblPrEx>
        <w:trPr>
          <w:trHeight w:val="284"/>
        </w:trPr>
        <w:tc>
          <w:tcPr>
            <w:tcW w:w="4911" w:type="dxa"/>
          </w:tcPr>
          <w:p w:rsidR="006E4E11" w:rsidRPr="00EA54DA" w:rsidRDefault="006E4E11">
            <w:pPr>
              <w:pStyle w:val="Avsndare"/>
              <w:framePr w:h="2483" w:wrap="notBeside" w:x="1504"/>
              <w:rPr>
                <w:bCs/>
                <w:iCs/>
              </w:rPr>
            </w:pPr>
          </w:p>
        </w:tc>
      </w:tr>
      <w:tr w:rsidR="006E4E11" w:rsidRPr="00EA54DA">
        <w:tblPrEx>
          <w:tblCellMar>
            <w:top w:w="0" w:type="dxa"/>
            <w:bottom w:w="0" w:type="dxa"/>
          </w:tblCellMar>
        </w:tblPrEx>
        <w:trPr>
          <w:trHeight w:val="284"/>
        </w:trPr>
        <w:tc>
          <w:tcPr>
            <w:tcW w:w="4911" w:type="dxa"/>
          </w:tcPr>
          <w:p w:rsidR="006E4E11" w:rsidRPr="00EA54DA" w:rsidRDefault="006E4E11">
            <w:pPr>
              <w:pStyle w:val="Avsndare"/>
              <w:framePr w:h="2483" w:wrap="notBeside" w:x="1504"/>
              <w:rPr>
                <w:bCs/>
                <w:iCs/>
              </w:rPr>
            </w:pPr>
          </w:p>
        </w:tc>
      </w:tr>
      <w:tr w:rsidR="006E4E11" w:rsidRPr="00EA54DA">
        <w:tblPrEx>
          <w:tblCellMar>
            <w:top w:w="0" w:type="dxa"/>
            <w:bottom w:w="0" w:type="dxa"/>
          </w:tblCellMar>
        </w:tblPrEx>
        <w:trPr>
          <w:trHeight w:val="284"/>
        </w:trPr>
        <w:tc>
          <w:tcPr>
            <w:tcW w:w="4911" w:type="dxa"/>
          </w:tcPr>
          <w:p w:rsidR="006E4E11" w:rsidRPr="00EA54DA" w:rsidRDefault="006E4E11">
            <w:pPr>
              <w:pStyle w:val="Avsndare"/>
              <w:framePr w:h="2483" w:wrap="notBeside" w:x="1504"/>
              <w:rPr>
                <w:bCs/>
                <w:iCs/>
              </w:rPr>
            </w:pPr>
          </w:p>
        </w:tc>
      </w:tr>
      <w:tr w:rsidR="006E4E11" w:rsidRPr="00EA54DA">
        <w:tblPrEx>
          <w:tblCellMar>
            <w:top w:w="0" w:type="dxa"/>
            <w:bottom w:w="0" w:type="dxa"/>
          </w:tblCellMar>
        </w:tblPrEx>
        <w:trPr>
          <w:trHeight w:val="284"/>
        </w:trPr>
        <w:tc>
          <w:tcPr>
            <w:tcW w:w="4911" w:type="dxa"/>
          </w:tcPr>
          <w:p w:rsidR="006E4E11" w:rsidRPr="00EA54DA" w:rsidRDefault="006E4E11">
            <w:pPr>
              <w:pStyle w:val="Avsndare"/>
              <w:framePr w:h="2483" w:wrap="notBeside" w:x="1504"/>
              <w:rPr>
                <w:bCs/>
                <w:iCs/>
              </w:rPr>
            </w:pPr>
          </w:p>
        </w:tc>
      </w:tr>
      <w:tr w:rsidR="006E4E11" w:rsidRPr="00EA54DA">
        <w:tblPrEx>
          <w:tblCellMar>
            <w:top w:w="0" w:type="dxa"/>
            <w:bottom w:w="0" w:type="dxa"/>
          </w:tblCellMar>
        </w:tblPrEx>
        <w:trPr>
          <w:trHeight w:val="284"/>
        </w:trPr>
        <w:tc>
          <w:tcPr>
            <w:tcW w:w="4911" w:type="dxa"/>
          </w:tcPr>
          <w:p w:rsidR="006E4E11" w:rsidRPr="00EA54DA" w:rsidRDefault="006E4E11">
            <w:pPr>
              <w:pStyle w:val="Avsndare"/>
              <w:framePr w:h="2483" w:wrap="notBeside" w:x="1504"/>
              <w:rPr>
                <w:bCs/>
                <w:iCs/>
              </w:rPr>
            </w:pPr>
          </w:p>
        </w:tc>
      </w:tr>
    </w:tbl>
    <w:p w:rsidR="006E4E11" w:rsidRPr="00EA54DA" w:rsidRDefault="0007686C">
      <w:pPr>
        <w:framePr w:w="4400" w:h="2523" w:wrap="notBeside" w:vAnchor="page" w:hAnchor="page" w:x="6453" w:y="2445"/>
        <w:ind w:left="142"/>
      </w:pPr>
      <w:r w:rsidRPr="00EA54DA">
        <w:rPr>
          <w:rFonts w:cs="Helv"/>
          <w:color w:val="000000"/>
          <w:szCs w:val="24"/>
          <w:lang w:eastAsia="sv-SE"/>
        </w:rPr>
        <w:t>M2011/3783/I</w:t>
      </w:r>
      <w:r w:rsidR="00142158" w:rsidRPr="00EA54DA">
        <w:br/>
      </w:r>
      <w:r w:rsidR="00142158" w:rsidRPr="00EA54DA">
        <w:br/>
        <w:t xml:space="preserve">EU-nämnden </w:t>
      </w:r>
      <w:r w:rsidR="00142158" w:rsidRPr="00EA54DA">
        <w:br/>
        <w:t xml:space="preserve">Miljö- och jordbruksutskottet </w:t>
      </w:r>
    </w:p>
    <w:p w:rsidR="00182B87" w:rsidRPr="00EA54DA" w:rsidRDefault="00182B87">
      <w:pPr>
        <w:pStyle w:val="RKrubrik"/>
        <w:pBdr>
          <w:bottom w:val="single" w:sz="6" w:space="1" w:color="auto"/>
        </w:pBdr>
      </w:pPr>
      <w:bookmarkStart w:id="0" w:name="bRubrik"/>
      <w:bookmarkEnd w:id="0"/>
      <w:r w:rsidRPr="00EA54DA">
        <w:t xml:space="preserve">Rådets möte (miljö) den </w:t>
      </w:r>
      <w:r w:rsidR="0007686C" w:rsidRPr="00EA54DA">
        <w:t>19 december 2011</w:t>
      </w:r>
      <w:r w:rsidRPr="00EA54DA">
        <w:t xml:space="preserve"> </w:t>
      </w:r>
    </w:p>
    <w:p w:rsidR="00182B87" w:rsidRPr="00EA54DA" w:rsidRDefault="00182B87" w:rsidP="002A37A8">
      <w:pPr>
        <w:pStyle w:val="RKrubrik"/>
      </w:pPr>
      <w:r w:rsidRPr="00EA54DA">
        <w:t>Kommenterad dagordning</w:t>
      </w:r>
    </w:p>
    <w:p w:rsidR="00182B87" w:rsidRPr="00EA54DA" w:rsidRDefault="00182B87">
      <w:pPr>
        <w:pStyle w:val="RKrubrik"/>
      </w:pPr>
      <w:r w:rsidRPr="00EA54DA">
        <w:t>1.</w:t>
      </w:r>
      <w:r w:rsidRPr="00EA54DA">
        <w:tab/>
        <w:t>Godkännande av dagordningen</w:t>
      </w:r>
    </w:p>
    <w:p w:rsidR="00182B87" w:rsidRPr="00EA54DA" w:rsidRDefault="00182B87">
      <w:pPr>
        <w:pStyle w:val="RKrubrik"/>
      </w:pPr>
      <w:r w:rsidRPr="00EA54DA">
        <w:t>2.</w:t>
      </w:r>
      <w:r w:rsidRPr="00EA54DA">
        <w:tab/>
      </w:r>
      <w:r w:rsidR="00451E1D" w:rsidRPr="00EA54DA">
        <w:t>(</w:t>
      </w:r>
      <w:r w:rsidR="00AF12FC" w:rsidRPr="00EA54DA">
        <w:t xml:space="preserve">och </w:t>
      </w:r>
      <w:r w:rsidR="00E32B65" w:rsidRPr="00EA54DA">
        <w:t xml:space="preserve">under punkten </w:t>
      </w:r>
      <w:r w:rsidR="00AF12FC" w:rsidRPr="00EA54DA">
        <w:t>6</w:t>
      </w:r>
      <w:r w:rsidR="00E32B65" w:rsidRPr="00EA54DA">
        <w:t xml:space="preserve"> nedan</w:t>
      </w:r>
      <w:r w:rsidR="00451E1D" w:rsidRPr="00EA54DA">
        <w:t>)</w:t>
      </w:r>
      <w:r w:rsidR="003C1008" w:rsidRPr="00EA54DA">
        <w:t xml:space="preserve"> </w:t>
      </w:r>
      <w:r w:rsidR="00451E1D" w:rsidRPr="00EA54DA">
        <w:t xml:space="preserve">Godkännande av </w:t>
      </w:r>
      <w:r w:rsidRPr="00EA54DA">
        <w:t>A-punkt</w:t>
      </w:r>
      <w:r w:rsidR="00451E1D" w:rsidRPr="00EA54DA">
        <w:t>slistan</w:t>
      </w:r>
    </w:p>
    <w:p w:rsidR="00182B87" w:rsidRPr="00EA54DA" w:rsidRDefault="00182B87">
      <w:pPr>
        <w:pStyle w:val="RKnormal"/>
      </w:pPr>
    </w:p>
    <w:p w:rsidR="00AF12FC" w:rsidRPr="00EA54DA" w:rsidRDefault="005D3778" w:rsidP="0022192E">
      <w:pPr>
        <w:pStyle w:val="RKnormal"/>
      </w:pPr>
      <w:r w:rsidRPr="00EA54DA">
        <w:t xml:space="preserve">A-punktslistan är ännu inte känd. </w:t>
      </w:r>
    </w:p>
    <w:p w:rsidR="00AF12FC" w:rsidRPr="00EA54DA" w:rsidRDefault="00AF12FC" w:rsidP="0022192E">
      <w:pPr>
        <w:pStyle w:val="RKnormal"/>
      </w:pPr>
    </w:p>
    <w:p w:rsidR="00AF12FC" w:rsidRPr="00EA54DA" w:rsidRDefault="005D3778" w:rsidP="00AF12FC">
      <w:pPr>
        <w:spacing w:line="240" w:lineRule="auto"/>
        <w:ind w:left="567" w:hanging="567"/>
        <w:rPr>
          <w:rFonts w:ascii="TradeGothic" w:hAnsi="TradeGothic"/>
          <w:b/>
          <w:sz w:val="22"/>
          <w:szCs w:val="22"/>
        </w:rPr>
      </w:pPr>
      <w:r w:rsidRPr="00EA54DA">
        <w:rPr>
          <w:rFonts w:ascii="TradeGothic" w:hAnsi="TradeGothic"/>
          <w:b/>
        </w:rPr>
        <w:t xml:space="preserve">3. </w:t>
      </w:r>
      <w:r w:rsidRPr="00EA54DA">
        <w:rPr>
          <w:rFonts w:ascii="TradeGothic" w:hAnsi="TradeGothic"/>
          <w:b/>
        </w:rPr>
        <w:tab/>
      </w:r>
      <w:r w:rsidR="00AF12FC" w:rsidRPr="00EA54DA">
        <w:rPr>
          <w:rFonts w:ascii="TradeGothic" w:hAnsi="TradeGothic"/>
          <w:b/>
          <w:sz w:val="22"/>
          <w:szCs w:val="22"/>
        </w:rPr>
        <w:t>Förslag till Europaparlamentets och rådets förordning om export och import av farliga kemikalier (omarbetning)</w:t>
      </w:r>
    </w:p>
    <w:p w:rsidR="00182B87" w:rsidRPr="00EA54DA" w:rsidRDefault="00AF12FC" w:rsidP="00AF12FC">
      <w:pPr>
        <w:spacing w:line="240" w:lineRule="auto"/>
        <w:ind w:left="567" w:hanging="567"/>
        <w:rPr>
          <w:rFonts w:ascii="TradeGothic" w:hAnsi="TradeGothic"/>
          <w:i/>
          <w:sz w:val="22"/>
          <w:szCs w:val="22"/>
        </w:rPr>
      </w:pPr>
      <w:r w:rsidRPr="00EA54DA">
        <w:rPr>
          <w:b/>
        </w:rPr>
        <w:tab/>
      </w:r>
      <w:r w:rsidRPr="00EA54DA">
        <w:rPr>
          <w:b/>
        </w:rPr>
        <w:tab/>
      </w:r>
      <w:r w:rsidRPr="00EA54DA">
        <w:rPr>
          <w:rFonts w:ascii="TradeGothic" w:hAnsi="TradeGothic"/>
          <w:b/>
          <w:i/>
          <w:sz w:val="22"/>
          <w:szCs w:val="22"/>
        </w:rPr>
        <w:tab/>
      </w:r>
      <w:r w:rsidRPr="00EA54DA">
        <w:rPr>
          <w:rFonts w:ascii="TradeGothic" w:hAnsi="TradeGothic"/>
          <w:i/>
          <w:sz w:val="22"/>
          <w:szCs w:val="22"/>
        </w:rPr>
        <w:t>- lägesrapport</w:t>
      </w:r>
    </w:p>
    <w:p w:rsidR="00DB0B1A" w:rsidRPr="00EA54DA" w:rsidRDefault="000A059F" w:rsidP="00DB0B1A">
      <w:pPr>
        <w:pStyle w:val="RKnormal"/>
        <w:rPr>
          <w:i/>
          <w:iCs/>
          <w:color w:val="000000"/>
        </w:rPr>
      </w:pPr>
      <w:r w:rsidRPr="00EA54DA">
        <w:rPr>
          <w:i/>
          <w:iCs/>
          <w:color w:val="000000"/>
        </w:rPr>
        <w:br/>
      </w:r>
      <w:r w:rsidR="00DB0B1A" w:rsidRPr="00EA54DA">
        <w:rPr>
          <w:i/>
          <w:iCs/>
          <w:color w:val="000000"/>
        </w:rPr>
        <w:t xml:space="preserve">Avsikten med behandlingen i rådet </w:t>
      </w:r>
    </w:p>
    <w:p w:rsidR="00DB0B1A" w:rsidRPr="00EA54DA" w:rsidRDefault="00C52C01" w:rsidP="00DB0B1A">
      <w:pPr>
        <w:pStyle w:val="RKnormal"/>
        <w:rPr>
          <w:szCs w:val="24"/>
        </w:rPr>
      </w:pPr>
      <w:r w:rsidRPr="00EA54DA">
        <w:rPr>
          <w:iCs/>
          <w:color w:val="000000"/>
        </w:rPr>
        <w:t>O</w:t>
      </w:r>
      <w:r w:rsidR="00DB0B1A" w:rsidRPr="00EA54DA">
        <w:rPr>
          <w:iCs/>
          <w:color w:val="000000"/>
        </w:rPr>
        <w:t>rdförandeskapets avsikt</w:t>
      </w:r>
      <w:r w:rsidRPr="00EA54DA">
        <w:rPr>
          <w:iCs/>
          <w:color w:val="000000"/>
        </w:rPr>
        <w:t xml:space="preserve"> är</w:t>
      </w:r>
      <w:r w:rsidR="00DB0B1A" w:rsidRPr="00EA54DA">
        <w:rPr>
          <w:iCs/>
          <w:color w:val="000000"/>
        </w:rPr>
        <w:t xml:space="preserve"> att </w:t>
      </w:r>
      <w:r w:rsidRPr="00EA54DA">
        <w:rPr>
          <w:iCs/>
          <w:color w:val="000000"/>
        </w:rPr>
        <w:t xml:space="preserve">vid rådsmötet </w:t>
      </w:r>
      <w:r w:rsidR="00DB0B1A" w:rsidRPr="00EA54DA">
        <w:rPr>
          <w:iCs/>
          <w:color w:val="000000"/>
        </w:rPr>
        <w:t xml:space="preserve">lämna en lägesrapport avseende det pågående </w:t>
      </w:r>
      <w:r w:rsidR="00DB0B1A" w:rsidRPr="00EA54DA">
        <w:rPr>
          <w:iCs/>
          <w:color w:val="000000"/>
          <w:szCs w:val="24"/>
        </w:rPr>
        <w:t xml:space="preserve">arbetet med en reviderad </w:t>
      </w:r>
      <w:r w:rsidR="002E00CF" w:rsidRPr="00EA54DA">
        <w:rPr>
          <w:iCs/>
          <w:color w:val="000000"/>
          <w:szCs w:val="24"/>
        </w:rPr>
        <w:t xml:space="preserve">förordning </w:t>
      </w:r>
      <w:r w:rsidR="002E00CF" w:rsidRPr="00EA54DA">
        <w:rPr>
          <w:szCs w:val="24"/>
        </w:rPr>
        <w:t>om export och import av farliga kemikalier (</w:t>
      </w:r>
      <w:r w:rsidR="00DB0B1A" w:rsidRPr="00EA54DA">
        <w:rPr>
          <w:iCs/>
          <w:color w:val="000000"/>
          <w:szCs w:val="24"/>
        </w:rPr>
        <w:t>PIC-förordning</w:t>
      </w:r>
      <w:r w:rsidR="002E00CF" w:rsidRPr="00EA54DA">
        <w:rPr>
          <w:iCs/>
          <w:color w:val="000000"/>
          <w:szCs w:val="24"/>
        </w:rPr>
        <w:t>en)</w:t>
      </w:r>
      <w:r w:rsidR="00DB0B1A" w:rsidRPr="00EA54DA">
        <w:rPr>
          <w:iCs/>
          <w:color w:val="000000"/>
          <w:szCs w:val="24"/>
        </w:rPr>
        <w:t>.</w:t>
      </w:r>
    </w:p>
    <w:p w:rsidR="00DB0B1A" w:rsidRPr="00EA54DA" w:rsidRDefault="00DB0B1A" w:rsidP="00DB0B1A">
      <w:pPr>
        <w:pStyle w:val="RKnormal"/>
        <w:rPr>
          <w:iCs/>
          <w:color w:val="000000"/>
        </w:rPr>
      </w:pPr>
    </w:p>
    <w:p w:rsidR="00DB0B1A" w:rsidRPr="00EA54DA" w:rsidRDefault="00DB0B1A" w:rsidP="00DB0B1A">
      <w:pPr>
        <w:pStyle w:val="RKnormal"/>
        <w:rPr>
          <w:i/>
          <w:iCs/>
          <w:color w:val="000000"/>
        </w:rPr>
      </w:pPr>
      <w:r w:rsidRPr="00EA54DA">
        <w:rPr>
          <w:i/>
          <w:iCs/>
          <w:color w:val="000000"/>
        </w:rPr>
        <w:t xml:space="preserve">Bakgrund </w:t>
      </w:r>
    </w:p>
    <w:p w:rsidR="00DB0B1A" w:rsidRPr="00EA54DA" w:rsidRDefault="00DB0B1A" w:rsidP="00DB0B1A">
      <w:pPr>
        <w:spacing w:line="240" w:lineRule="auto"/>
      </w:pPr>
      <w:r w:rsidRPr="00EA54DA">
        <w:t>Rotterdamkonventionen trädde i kraft i februari 2004. Dess syfte är att främja delat ansvar och insatser i samarbete mellan parterna inom internationell handel med farliga kemikalier för att skydda människors hälsa och miljön. Detta görs genom främjande av informationsutbyte om kemikaliernas egenskaper och ett system där det krävs att det exporterande lande</w:t>
      </w:r>
      <w:r w:rsidR="00B722C0" w:rsidRPr="00EA54DA">
        <w:t xml:space="preserve">ts behöriga myndighet fått ett </w:t>
      </w:r>
      <w:r w:rsidRPr="00EA54DA">
        <w:t xml:space="preserve">uttryckligt medgivande för att exportera från motsvarande myndighet i det importerande landet (det s.k. PIC-förfarandet, </w:t>
      </w:r>
      <w:r w:rsidR="00CB255D" w:rsidRPr="00EA54DA">
        <w:t>Prior Informed Cons</w:t>
      </w:r>
      <w:r w:rsidRPr="00EA54DA">
        <w:t>ent). Godkännandet s</w:t>
      </w:r>
      <w:r w:rsidR="00235E2F" w:rsidRPr="00EA54DA">
        <w:t xml:space="preserve">ka ske innan export och gäller </w:t>
      </w:r>
      <w:r w:rsidR="00D61E2C" w:rsidRPr="00EA54DA">
        <w:t>de ämnen som är listade i</w:t>
      </w:r>
      <w:r w:rsidRPr="00EA54DA">
        <w:t xml:space="preserve"> konventionens bilaga 3. </w:t>
      </w:r>
    </w:p>
    <w:p w:rsidR="00DB0B1A" w:rsidRPr="00EA54DA" w:rsidRDefault="00DB0B1A" w:rsidP="00DB0B1A">
      <w:pPr>
        <w:spacing w:line="240" w:lineRule="auto"/>
      </w:pPr>
    </w:p>
    <w:p w:rsidR="00DB0B1A" w:rsidRPr="00EA54DA" w:rsidRDefault="00DB0B1A" w:rsidP="00DB0B1A">
      <w:pPr>
        <w:spacing w:line="240" w:lineRule="auto"/>
      </w:pPr>
      <w:r w:rsidRPr="00EA54DA">
        <w:t xml:space="preserve">Genom förordning (EG) nr 689/2008 genomförs Rotterdamkonventionen inom EU. Förordningen ger ett betydligt högre skydd åt importerande länder än Rotterdamkonventionen. Dels för att bestämmelserna riktar sig till alla </w:t>
      </w:r>
      <w:r w:rsidR="00167E4E" w:rsidRPr="00EA54DA">
        <w:t xml:space="preserve">världens </w:t>
      </w:r>
      <w:r w:rsidRPr="00EA54DA">
        <w:t>länder och inte bara till parter</w:t>
      </w:r>
      <w:r w:rsidR="005404AB" w:rsidRPr="00EA54DA">
        <w:t>na</w:t>
      </w:r>
      <w:r w:rsidR="00235E2F" w:rsidRPr="00EA54DA">
        <w:t xml:space="preserve"> i </w:t>
      </w:r>
      <w:r w:rsidR="005404AB" w:rsidRPr="00EA54DA">
        <w:t>Rotterdam</w:t>
      </w:r>
      <w:r w:rsidR="00235E2F" w:rsidRPr="00EA54DA">
        <w:t xml:space="preserve">konventionen, men </w:t>
      </w:r>
      <w:r w:rsidRPr="00EA54DA">
        <w:lastRenderedPageBreak/>
        <w:t xml:space="preserve">främst för att förordningen inte är begränsad till kemikalier som är förbjudna eller </w:t>
      </w:r>
      <w:r w:rsidR="00B931CD" w:rsidRPr="00EA54DA">
        <w:t xml:space="preserve">som faller under </w:t>
      </w:r>
      <w:r w:rsidRPr="00EA54DA">
        <w:t xml:space="preserve">stränga restriktioner enligt konventionen, utan även omfattar alla kemikalier som är förbjudna eller </w:t>
      </w:r>
      <w:r w:rsidR="005B004A" w:rsidRPr="00EA54DA">
        <w:t xml:space="preserve">faller under </w:t>
      </w:r>
      <w:r w:rsidRPr="00EA54DA">
        <w:t>stränga restriktioner på EU-nivå. Därtill innehåller förordningen regler för hur kemikalier ska förpackas och märkas vid export.</w:t>
      </w:r>
    </w:p>
    <w:p w:rsidR="00DB0B1A" w:rsidRPr="00EA54DA" w:rsidRDefault="00DB0B1A" w:rsidP="00DB0B1A">
      <w:pPr>
        <w:spacing w:line="240" w:lineRule="auto"/>
      </w:pPr>
    </w:p>
    <w:p w:rsidR="00DB0B1A" w:rsidRPr="00EA54DA" w:rsidRDefault="00DB0B1A" w:rsidP="00DB0B1A">
      <w:pPr>
        <w:spacing w:line="240" w:lineRule="auto"/>
      </w:pPr>
      <w:r w:rsidRPr="00EA54DA">
        <w:t>Under våren 2011 presenterade</w:t>
      </w:r>
      <w:r w:rsidR="00C52C01" w:rsidRPr="00EA54DA">
        <w:t xml:space="preserve"> kommissionen</w:t>
      </w:r>
      <w:r w:rsidRPr="00EA54DA">
        <w:t xml:space="preserve"> ett förslag till omarbetning av PIC-förordningen, med syfte att bl.a. anpassa förordningen till Reach-förordningen (1907/2006) och CLP-förordningen om klassificering, märkning och förpackning av ämnen och blandningar, (1272/2008). PIC- förordningen anpassas i förslaget även till det nya kommittéförfarandet i EU-fördraget och vissa arbetsuppgifter föreslås överföras från Joint Research Center (JRC) i Ispra till den Europeiska kemikaliemyndigheten (ECHA) i Helsingfors. Mot bakgrund av erfarenheterna från genomförandet av förfarandet för uttryckligt medgivande</w:t>
      </w:r>
      <w:r w:rsidR="00D61E2C" w:rsidRPr="00EA54DA">
        <w:t>,</w:t>
      </w:r>
      <w:r w:rsidRPr="00EA54DA">
        <w:t xml:space="preserve"> enligt PIC-förordningen</w:t>
      </w:r>
      <w:r w:rsidR="00D61E2C" w:rsidRPr="00EA54DA">
        <w:t>,</w:t>
      </w:r>
      <w:r w:rsidRPr="00EA54DA">
        <w:t xml:space="preserve"> införs ytterligare </w:t>
      </w:r>
      <w:r w:rsidR="00D61E2C" w:rsidRPr="00EA54DA">
        <w:t>kriterier</w:t>
      </w:r>
      <w:r w:rsidR="00B722C0" w:rsidRPr="00EA54DA">
        <w:t xml:space="preserve"> </w:t>
      </w:r>
      <w:r w:rsidRPr="00EA54DA">
        <w:t>som kan göra det möjligt att fortsätta export även om inget svar inkommer från det importerande landet, med ambitionen att bibehålla skyddet för importerande länder.</w:t>
      </w:r>
    </w:p>
    <w:p w:rsidR="00DB0B1A" w:rsidRPr="00EA54DA" w:rsidRDefault="00DB0B1A" w:rsidP="00DB0B1A">
      <w:pPr>
        <w:overflowPunct/>
        <w:spacing w:line="240" w:lineRule="auto"/>
      </w:pPr>
    </w:p>
    <w:p w:rsidR="00476C40" w:rsidRPr="00EA54DA" w:rsidRDefault="00DB0B1A" w:rsidP="00476C40">
      <w:pPr>
        <w:pStyle w:val="RKnormal"/>
      </w:pPr>
      <w:r w:rsidRPr="00EA54DA">
        <w:t>I övrigt innebär förslaget relativt begränsade förändringar gentemot gällande förordning. Förhandlingar har pågått i rådsarbetsgrupp</w:t>
      </w:r>
      <w:r w:rsidR="00C52C01" w:rsidRPr="00EA54DA">
        <w:t>en</w:t>
      </w:r>
      <w:r w:rsidRPr="00EA54DA">
        <w:t xml:space="preserve"> sedan maj 2011. </w:t>
      </w:r>
      <w:r w:rsidR="00476C40" w:rsidRPr="00EA54DA">
        <w:t xml:space="preserve">Det danska ordförandeskapet tar nu över förhandlingarna om revideringen </w:t>
      </w:r>
      <w:r w:rsidR="00476C40" w:rsidRPr="00EA54DA">
        <w:rPr>
          <w:iCs/>
          <w:color w:val="000000"/>
          <w:szCs w:val="24"/>
        </w:rPr>
        <w:t xml:space="preserve">av PIC-förordningen </w:t>
      </w:r>
      <w:r w:rsidR="00476C40" w:rsidRPr="00EA54DA">
        <w:t xml:space="preserve">för en eventuell överenskommelse i första läsningen med Europaparlamentet. </w:t>
      </w:r>
    </w:p>
    <w:p w:rsidR="00DB0B1A" w:rsidRPr="00EA54DA" w:rsidRDefault="00DB0B1A" w:rsidP="00DB0B1A">
      <w:pPr>
        <w:pStyle w:val="RKnormal"/>
        <w:rPr>
          <w:iCs/>
          <w:color w:val="000000"/>
        </w:rPr>
      </w:pPr>
    </w:p>
    <w:p w:rsidR="00DB0B1A" w:rsidRPr="00EA54DA" w:rsidRDefault="00DB0B1A" w:rsidP="00DB0B1A">
      <w:pPr>
        <w:pStyle w:val="RKnormal"/>
        <w:rPr>
          <w:i/>
          <w:iCs/>
          <w:color w:val="000000"/>
        </w:rPr>
      </w:pPr>
      <w:r w:rsidRPr="00EA54DA">
        <w:rPr>
          <w:i/>
          <w:iCs/>
          <w:color w:val="000000"/>
        </w:rPr>
        <w:t xml:space="preserve">Förslag till svensk ståndpunkt </w:t>
      </w:r>
    </w:p>
    <w:p w:rsidR="00DB0B1A" w:rsidRPr="00EA54DA" w:rsidRDefault="00DB0B1A" w:rsidP="00DB0B1A">
      <w:pPr>
        <w:pStyle w:val="RKnormal"/>
      </w:pPr>
      <w:r w:rsidRPr="00EA54DA">
        <w:t>Regeringens bedömning är att de nuvarande bestämmelserna enligt förordningen allmänt sett fungerar bra. Regeringen välkomnar en revidering av förordningen och anser att de mindre tekniska ändringar som föreslås är nödvändiga för att anpassa förordningen till Lissabonfördraget och den allmänna kemikalielagstiftningen samt att ändringarna kommer att ytterligare underlätta genomförandet. Förslaget att involvera ECHA i de arbetsuppgifter som föreskrivs i förordningen bör leda til</w:t>
      </w:r>
      <w:r w:rsidR="00211C5F" w:rsidRPr="00EA54DA">
        <w:t xml:space="preserve">l effektiviseringar av arbetet. </w:t>
      </w:r>
      <w:r w:rsidRPr="00EA54DA">
        <w:t xml:space="preserve">Regeringen delar kommissionens bedömning att dagens starka skydd av människors hälsa och miljön upprätthålls med kommissionens förslag. </w:t>
      </w:r>
    </w:p>
    <w:p w:rsidR="00DB0B1A" w:rsidRPr="00EA54DA" w:rsidRDefault="00DB0B1A" w:rsidP="00DB0B1A">
      <w:pPr>
        <w:pStyle w:val="RKnormal"/>
        <w:spacing w:line="240" w:lineRule="auto"/>
      </w:pPr>
    </w:p>
    <w:p w:rsidR="00DB0B1A" w:rsidRPr="00EA54DA" w:rsidRDefault="00DB0B1A" w:rsidP="00DB0B1A">
      <w:pPr>
        <w:pStyle w:val="RKnormal"/>
        <w:rPr>
          <w:i/>
          <w:iCs/>
          <w:color w:val="000000"/>
        </w:rPr>
      </w:pPr>
      <w:r w:rsidRPr="00EA54DA">
        <w:rPr>
          <w:i/>
          <w:iCs/>
          <w:color w:val="000000"/>
        </w:rPr>
        <w:t>Förslaget har inte tidigare behandlats i EU-nämnden.</w:t>
      </w:r>
      <w:r w:rsidRPr="00EA54DA">
        <w:rPr>
          <w:i/>
          <w:iCs/>
          <w:color w:val="000000"/>
        </w:rPr>
        <w:br/>
      </w:r>
    </w:p>
    <w:p w:rsidR="00AF12FC" w:rsidRPr="00EA54DA" w:rsidRDefault="00DB0B1A" w:rsidP="00DB0B1A">
      <w:pPr>
        <w:pStyle w:val="RKnormal"/>
        <w:rPr>
          <w:i/>
        </w:rPr>
      </w:pPr>
      <w:r w:rsidRPr="00EA54DA">
        <w:rPr>
          <w:i/>
        </w:rPr>
        <w:t>Se bilaga 1.</w:t>
      </w:r>
    </w:p>
    <w:p w:rsidR="00AF12FC" w:rsidRPr="00EA54DA" w:rsidRDefault="005649E7" w:rsidP="00AF12FC">
      <w:pPr>
        <w:spacing w:line="240" w:lineRule="auto"/>
        <w:ind w:hanging="567"/>
        <w:rPr>
          <w:rFonts w:ascii="TradeGothic" w:hAnsi="TradeGothic"/>
          <w:b/>
          <w:sz w:val="22"/>
          <w:szCs w:val="22"/>
        </w:rPr>
      </w:pPr>
      <w:r w:rsidRPr="00EA54DA">
        <w:br/>
      </w:r>
      <w:r w:rsidR="00182B87" w:rsidRPr="00EA54DA">
        <w:rPr>
          <w:rFonts w:ascii="TradeGothic" w:hAnsi="TradeGothic"/>
          <w:b/>
          <w:sz w:val="22"/>
        </w:rPr>
        <w:t>4.</w:t>
      </w:r>
      <w:r w:rsidR="00182B87" w:rsidRPr="00EA54DA">
        <w:rPr>
          <w:rFonts w:ascii="TradeGothic" w:hAnsi="TradeGothic"/>
          <w:sz w:val="22"/>
        </w:rPr>
        <w:tab/>
      </w:r>
      <w:r w:rsidR="00AF12FC" w:rsidRPr="00EA54DA">
        <w:rPr>
          <w:rFonts w:ascii="TradeGothic" w:hAnsi="TradeGothic"/>
          <w:b/>
          <w:sz w:val="22"/>
          <w:szCs w:val="22"/>
        </w:rPr>
        <w:t xml:space="preserve">Förslag till Europaparlamentets och rådets direktiv om ändring av </w:t>
      </w:r>
      <w:r w:rsidR="00AF12FC" w:rsidRPr="00EA54DA">
        <w:rPr>
          <w:rFonts w:ascii="TradeGothic" w:hAnsi="TradeGothic"/>
          <w:b/>
          <w:sz w:val="22"/>
          <w:szCs w:val="22"/>
        </w:rPr>
        <w:tab/>
        <w:t>direktiv 1999/32/EG vad gäller svavelhalten i marina bränslen</w:t>
      </w:r>
    </w:p>
    <w:p w:rsidR="00AF12FC" w:rsidRPr="00EA54DA" w:rsidRDefault="00AF12FC" w:rsidP="00AF12FC">
      <w:pPr>
        <w:spacing w:line="240" w:lineRule="auto"/>
        <w:rPr>
          <w:rFonts w:ascii="TradeGothic" w:hAnsi="TradeGothic"/>
          <w:i/>
          <w:sz w:val="22"/>
          <w:szCs w:val="22"/>
        </w:rPr>
      </w:pPr>
      <w:r w:rsidRPr="00EA54DA">
        <w:rPr>
          <w:rFonts w:ascii="TradeGothic" w:hAnsi="TradeGothic"/>
          <w:i/>
          <w:iCs/>
          <w:sz w:val="22"/>
          <w:szCs w:val="22"/>
        </w:rPr>
        <w:tab/>
        <w:t>–</w:t>
      </w:r>
      <w:r w:rsidRPr="00EA54DA">
        <w:rPr>
          <w:rFonts w:ascii="TradeGothic" w:hAnsi="TradeGothic"/>
          <w:i/>
          <w:iCs/>
          <w:sz w:val="22"/>
          <w:szCs w:val="22"/>
        </w:rPr>
        <w:tab/>
      </w:r>
      <w:r w:rsidRPr="00EA54DA">
        <w:rPr>
          <w:rFonts w:ascii="TradeGothic" w:hAnsi="TradeGothic"/>
          <w:i/>
          <w:color w:val="000000"/>
          <w:sz w:val="22"/>
          <w:szCs w:val="22"/>
        </w:rPr>
        <w:t>Lägesrapport</w:t>
      </w:r>
    </w:p>
    <w:p w:rsidR="009257FE" w:rsidRPr="00EA54DA" w:rsidRDefault="009257FE" w:rsidP="009257FE">
      <w:pPr>
        <w:pStyle w:val="RKnormal"/>
        <w:rPr>
          <w:i/>
          <w:iCs/>
          <w:color w:val="000000"/>
        </w:rPr>
      </w:pPr>
    </w:p>
    <w:p w:rsidR="00246840" w:rsidRPr="00EA54DA" w:rsidRDefault="00842D8C" w:rsidP="00246840">
      <w:pPr>
        <w:rPr>
          <w:i/>
        </w:rPr>
      </w:pPr>
      <w:r w:rsidRPr="00EA54DA">
        <w:rPr>
          <w:i/>
        </w:rPr>
        <w:t>Avsikten med behandlingen i rådet</w:t>
      </w:r>
    </w:p>
    <w:p w:rsidR="00211C5F" w:rsidRPr="00EA54DA" w:rsidRDefault="0047135B" w:rsidP="0047135B">
      <w:pPr>
        <w:pStyle w:val="RKnormal"/>
        <w:rPr>
          <w:szCs w:val="24"/>
        </w:rPr>
      </w:pPr>
      <w:r w:rsidRPr="00EA54DA">
        <w:rPr>
          <w:iCs/>
          <w:color w:val="000000"/>
        </w:rPr>
        <w:t xml:space="preserve">Ordförandeskapets avsikt är att vid rådsmötet lämna en lägesrapport </w:t>
      </w:r>
      <w:r w:rsidR="00211C5F" w:rsidRPr="00EA54DA">
        <w:rPr>
          <w:szCs w:val="24"/>
        </w:rPr>
        <w:t>avseende det pågående arbetet med en revidering av direktivet 1999/32/EG vad gäller svavelhalten i marina bränslen.</w:t>
      </w:r>
    </w:p>
    <w:p w:rsidR="00211C5F" w:rsidRPr="00EA54DA" w:rsidRDefault="00211C5F" w:rsidP="00211C5F"/>
    <w:p w:rsidR="00211C5F" w:rsidRPr="00EA54DA" w:rsidRDefault="00211C5F" w:rsidP="00211C5F">
      <w:r w:rsidRPr="00EA54DA">
        <w:rPr>
          <w:i/>
        </w:rPr>
        <w:t>Bakgrund</w:t>
      </w:r>
      <w:r w:rsidRPr="00EA54DA">
        <w:t xml:space="preserve"> </w:t>
      </w:r>
    </w:p>
    <w:p w:rsidR="007E7C81" w:rsidRPr="00EA54DA" w:rsidRDefault="007E7C81" w:rsidP="00211C5F">
      <w:r w:rsidRPr="00EA54DA">
        <w:t>Kommissionen föreslår att den interna</w:t>
      </w:r>
      <w:r w:rsidRPr="00EA54DA">
        <w:softHyphen/>
        <w:t>tio</w:t>
      </w:r>
      <w:r w:rsidRPr="00EA54DA">
        <w:softHyphen/>
        <w:t xml:space="preserve">nella sjöfartsorganisationen IMO:s beslut från 2008 om skärpta krav på svavelhalten i marina bränslen genomförs i EU-rätten. </w:t>
      </w:r>
    </w:p>
    <w:p w:rsidR="00246840" w:rsidRPr="00EA54DA" w:rsidRDefault="00246840" w:rsidP="00246840">
      <w:pPr>
        <w:rPr>
          <w:i/>
        </w:rPr>
      </w:pPr>
    </w:p>
    <w:p w:rsidR="007E7C81" w:rsidRPr="00EA54DA" w:rsidRDefault="007E7C81" w:rsidP="007E7C81">
      <w:r w:rsidRPr="00EA54DA">
        <w:t>Det innebär att följande bestäm</w:t>
      </w:r>
      <w:r w:rsidRPr="00EA54DA">
        <w:softHyphen/>
        <w:t>melser förs in i direktivet:</w:t>
      </w:r>
    </w:p>
    <w:p w:rsidR="007E7C81" w:rsidRPr="00EA54DA" w:rsidRDefault="007E7C81" w:rsidP="007E7C81">
      <w:pPr>
        <w:numPr>
          <w:ilvl w:val="0"/>
          <w:numId w:val="9"/>
        </w:numPr>
      </w:pPr>
      <w:r w:rsidRPr="00EA54DA">
        <w:t>Från 2015 får endast bränslen med en svavelhalt om högst 0,10 viktprocent användas i de s.k. svavelkontrollområdena som för EU:s del omfattar Östersjön, Nordsjön och Engelska kanalen. Idag används där bränslen med en svavelhalt om 1,0 viktprocent.</w:t>
      </w:r>
    </w:p>
    <w:p w:rsidR="007E7C81" w:rsidRPr="00EA54DA" w:rsidRDefault="007E7C81" w:rsidP="007E7C81">
      <w:pPr>
        <w:numPr>
          <w:ilvl w:val="0"/>
          <w:numId w:val="9"/>
        </w:numPr>
      </w:pPr>
      <w:r w:rsidRPr="00EA54DA">
        <w:t>Från 2020 skärps det globala kravet på svavelhalten från 3,5 till 0,5 viktprocent.</w:t>
      </w:r>
    </w:p>
    <w:p w:rsidR="007E7C81" w:rsidRPr="00EA54DA" w:rsidRDefault="007E7C81" w:rsidP="007E7C81">
      <w:pPr>
        <w:numPr>
          <w:ilvl w:val="0"/>
          <w:numId w:val="9"/>
        </w:numPr>
      </w:pPr>
      <w:r w:rsidRPr="00EA54DA">
        <w:t>Istället för att använda bränslen med lägre svavelinnehåll kan fartygsägarna använda utrust</w:t>
      </w:r>
      <w:r w:rsidRPr="00EA54DA">
        <w:softHyphen/>
        <w:t>ning för rökgasrening (i praktiken scrubbers) som minskar utsläppen i motsvarande grad.</w:t>
      </w:r>
    </w:p>
    <w:p w:rsidR="007E7C81" w:rsidRPr="00EA54DA" w:rsidRDefault="007E7C81" w:rsidP="007E7C81"/>
    <w:p w:rsidR="007E7C81" w:rsidRPr="00EA54DA" w:rsidRDefault="00211C5F" w:rsidP="007E7C81">
      <w:r w:rsidRPr="00EA54DA">
        <w:t>Ordförandeskapet</w:t>
      </w:r>
      <w:r w:rsidR="007E7C81" w:rsidRPr="00EA54DA">
        <w:t xml:space="preserve"> kommer att redovisa resultatet av de förhandlingar som förts i rådets miljöarbetsgrupp om förslaget till direktiv samt informera om utsikterna till en överenskommelse i första läsning med Europaparlamentet.</w:t>
      </w:r>
    </w:p>
    <w:p w:rsidR="007E7C81" w:rsidRPr="00EA54DA" w:rsidRDefault="007E7C81" w:rsidP="007E7C81"/>
    <w:p w:rsidR="00246840" w:rsidRPr="00EA54DA" w:rsidRDefault="00246840" w:rsidP="00246840">
      <w:pPr>
        <w:rPr>
          <w:i/>
        </w:rPr>
      </w:pPr>
      <w:r w:rsidRPr="00EA54DA">
        <w:rPr>
          <w:i/>
        </w:rPr>
        <w:t>Förslag till svensk ståndpunkt</w:t>
      </w:r>
    </w:p>
    <w:p w:rsidR="007E7C81" w:rsidRPr="00EA54DA" w:rsidRDefault="007E7C81" w:rsidP="007E7C81">
      <w:pPr>
        <w:rPr>
          <w:rFonts w:cs="Helv"/>
          <w:color w:val="000000"/>
          <w:szCs w:val="24"/>
          <w:lang w:eastAsia="sv-SE"/>
        </w:rPr>
      </w:pPr>
      <w:r w:rsidRPr="00EA54DA">
        <w:rPr>
          <w:rFonts w:cs="Helv"/>
          <w:color w:val="000000"/>
          <w:lang w:eastAsia="sv-SE"/>
        </w:rPr>
        <w:t xml:space="preserve">Regeringens position är att IMO:s beslut om 0,1 viktprocent svavel </w:t>
      </w:r>
      <w:r w:rsidR="00A21F7C" w:rsidRPr="00EA54DA">
        <w:rPr>
          <w:rFonts w:cs="Helv"/>
          <w:color w:val="000000"/>
          <w:lang w:eastAsia="sv-SE"/>
        </w:rPr>
        <w:t>från och med 2015 ska tillämpas</w:t>
      </w:r>
      <w:r w:rsidRPr="00EA54DA">
        <w:rPr>
          <w:rFonts w:cs="Helv"/>
          <w:color w:val="000000"/>
          <w:lang w:eastAsia="sv-SE"/>
        </w:rPr>
        <w:t xml:space="preserve"> i samtliga farvatten inom EU för att konkurrensvillkoren ska vara lika i unionen och inte minst med tanke på de positiva hälso</w:t>
      </w:r>
      <w:r w:rsidR="00A21F7C" w:rsidRPr="00EA54DA">
        <w:rPr>
          <w:rFonts w:cs="Helv"/>
          <w:color w:val="000000"/>
          <w:lang w:eastAsia="sv-SE"/>
        </w:rPr>
        <w:t>- och miljö</w:t>
      </w:r>
      <w:r w:rsidRPr="00EA54DA">
        <w:rPr>
          <w:rFonts w:cs="Helv"/>
          <w:color w:val="000000"/>
          <w:lang w:eastAsia="sv-SE"/>
        </w:rPr>
        <w:t xml:space="preserve">effekterna för hela unionen. </w:t>
      </w:r>
      <w:r w:rsidR="00E15E63" w:rsidRPr="00EA54DA">
        <w:rPr>
          <w:rFonts w:cs="Helv"/>
          <w:color w:val="000000"/>
          <w:lang w:eastAsia="sv-SE"/>
        </w:rPr>
        <w:t xml:space="preserve">Med förslaget skärps kraven i EU:s övriga farvatten först 2020 och då till endast till 0,5 viktprocent svavel. </w:t>
      </w:r>
      <w:r w:rsidRPr="00EA54DA">
        <w:rPr>
          <w:rFonts w:cs="Helv"/>
          <w:color w:val="000000"/>
          <w:lang w:eastAsia="sv-SE"/>
        </w:rPr>
        <w:t xml:space="preserve">Vidare anser regeringen att det är viktigt att möjligheten </w:t>
      </w:r>
      <w:r w:rsidR="00435D82" w:rsidRPr="00EA54DA">
        <w:rPr>
          <w:rFonts w:cs="Helv"/>
          <w:color w:val="000000"/>
          <w:lang w:eastAsia="sv-SE"/>
        </w:rPr>
        <w:t xml:space="preserve">inte begränsas </w:t>
      </w:r>
      <w:r w:rsidRPr="00EA54DA">
        <w:rPr>
          <w:rFonts w:cs="Helv"/>
          <w:color w:val="000000"/>
          <w:lang w:eastAsia="sv-SE"/>
        </w:rPr>
        <w:t>att använda alternativa reningsmetoder</w:t>
      </w:r>
      <w:r w:rsidR="00435D82" w:rsidRPr="00EA54DA">
        <w:rPr>
          <w:rFonts w:cs="Helv"/>
          <w:color w:val="000000"/>
          <w:lang w:eastAsia="sv-SE"/>
        </w:rPr>
        <w:t xml:space="preserve">, så </w:t>
      </w:r>
      <w:r w:rsidR="00435D82" w:rsidRPr="00EA54DA">
        <w:rPr>
          <w:rFonts w:cs="Helv"/>
          <w:color w:val="000000"/>
          <w:szCs w:val="24"/>
          <w:lang w:eastAsia="sv-SE"/>
        </w:rPr>
        <w:t xml:space="preserve">som </w:t>
      </w:r>
      <w:r w:rsidR="002C61C9" w:rsidRPr="00EA54DA">
        <w:rPr>
          <w:rFonts w:cs="Helv"/>
          <w:color w:val="000000"/>
          <w:szCs w:val="24"/>
          <w:lang w:eastAsia="sv-SE"/>
        </w:rPr>
        <w:t>scrubbers</w:t>
      </w:r>
      <w:r w:rsidR="00435D82" w:rsidRPr="00EA54DA">
        <w:rPr>
          <w:rFonts w:cs="Helv"/>
          <w:color w:val="000000"/>
          <w:szCs w:val="24"/>
          <w:lang w:eastAsia="sv-SE"/>
        </w:rPr>
        <w:t xml:space="preserve"> som är en utrustning för att rena rökgaser.</w:t>
      </w:r>
    </w:p>
    <w:p w:rsidR="00853E90" w:rsidRPr="00EA54DA" w:rsidRDefault="00853E90" w:rsidP="00853E90">
      <w:pPr>
        <w:pStyle w:val="RKnormal"/>
        <w:rPr>
          <w:rFonts w:ascii="Times New Roman" w:hAnsi="Times New Roman"/>
          <w:color w:val="000000"/>
        </w:rPr>
      </w:pPr>
    </w:p>
    <w:p w:rsidR="00853E90" w:rsidRPr="00EA54DA" w:rsidRDefault="007E7C81" w:rsidP="00853E90">
      <w:pPr>
        <w:pStyle w:val="RKnormal"/>
      </w:pPr>
      <w:r w:rsidRPr="00EA54DA">
        <w:rPr>
          <w:rFonts w:ascii="Times New Roman" w:hAnsi="Times New Roman"/>
          <w:i/>
          <w:color w:val="000000"/>
        </w:rPr>
        <w:t>Förslaget</w:t>
      </w:r>
      <w:r w:rsidR="00853E90" w:rsidRPr="00EA54DA">
        <w:rPr>
          <w:rFonts w:ascii="Times New Roman" w:hAnsi="Times New Roman"/>
          <w:i/>
          <w:color w:val="000000"/>
        </w:rPr>
        <w:t xml:space="preserve"> har inte tidigare behandlats i EU-nämnden.   </w:t>
      </w:r>
    </w:p>
    <w:p w:rsidR="00EF257B" w:rsidRPr="00EA54DA" w:rsidRDefault="00EF257B" w:rsidP="008F10CB">
      <w:pPr>
        <w:tabs>
          <w:tab w:val="left" w:pos="709"/>
        </w:tabs>
        <w:spacing w:line="240" w:lineRule="auto"/>
        <w:outlineLvl w:val="0"/>
        <w:rPr>
          <w:color w:val="000000"/>
          <w:szCs w:val="24"/>
          <w:lang w:eastAsia="sv-SE"/>
        </w:rPr>
      </w:pPr>
    </w:p>
    <w:p w:rsidR="00EF257B" w:rsidRPr="00EA54DA" w:rsidRDefault="00EF257B" w:rsidP="008F10CB">
      <w:pPr>
        <w:tabs>
          <w:tab w:val="left" w:pos="709"/>
        </w:tabs>
        <w:spacing w:line="240" w:lineRule="auto"/>
        <w:outlineLvl w:val="0"/>
        <w:rPr>
          <w:color w:val="000000"/>
          <w:szCs w:val="24"/>
          <w:lang w:eastAsia="sv-SE"/>
        </w:rPr>
      </w:pPr>
      <w:r w:rsidRPr="00EA54DA">
        <w:rPr>
          <w:i/>
          <w:color w:val="000000"/>
        </w:rPr>
        <w:t xml:space="preserve">Se bilaga </w:t>
      </w:r>
      <w:r w:rsidR="00922DDF" w:rsidRPr="00EA54DA">
        <w:rPr>
          <w:i/>
          <w:color w:val="000000"/>
        </w:rPr>
        <w:t>2</w:t>
      </w:r>
      <w:r w:rsidRPr="00EA54DA">
        <w:rPr>
          <w:i/>
          <w:color w:val="000000"/>
        </w:rPr>
        <w:t xml:space="preserve">.  </w:t>
      </w:r>
    </w:p>
    <w:p w:rsidR="00AF12FC" w:rsidRPr="00EA54DA" w:rsidRDefault="00AF12FC" w:rsidP="00842D8C">
      <w:pPr>
        <w:pStyle w:val="RKnormal"/>
        <w:rPr>
          <w:i/>
          <w:iCs/>
          <w:color w:val="000000"/>
        </w:rPr>
      </w:pPr>
    </w:p>
    <w:p w:rsidR="00570535" w:rsidRPr="00EA54DA" w:rsidRDefault="00776771" w:rsidP="00570535">
      <w:pPr>
        <w:spacing w:line="240" w:lineRule="auto"/>
        <w:ind w:left="567" w:hanging="567"/>
        <w:rPr>
          <w:rFonts w:ascii="TradeGothic" w:hAnsi="TradeGothic"/>
          <w:b/>
          <w:sz w:val="22"/>
          <w:szCs w:val="22"/>
        </w:rPr>
      </w:pPr>
      <w:r w:rsidRPr="00EA54DA">
        <w:rPr>
          <w:rFonts w:ascii="TradeGothic" w:hAnsi="TradeGothic" w:cs="TradeGothic"/>
          <w:b/>
          <w:bCs/>
          <w:color w:val="000000"/>
          <w:sz w:val="22"/>
          <w:szCs w:val="22"/>
          <w:lang w:eastAsia="sv-SE"/>
        </w:rPr>
        <w:t>5.</w:t>
      </w:r>
      <w:r w:rsidRPr="00EA54DA">
        <w:rPr>
          <w:rFonts w:ascii="TradeGothic" w:hAnsi="TradeGothic" w:cs="TradeGothic"/>
          <w:b/>
          <w:bCs/>
          <w:color w:val="000000"/>
          <w:sz w:val="22"/>
          <w:szCs w:val="22"/>
          <w:lang w:eastAsia="sv-SE"/>
        </w:rPr>
        <w:tab/>
      </w:r>
      <w:r w:rsidR="00570535" w:rsidRPr="00EA54DA">
        <w:rPr>
          <w:rFonts w:ascii="TradeGothic" w:hAnsi="TradeGothic"/>
          <w:b/>
          <w:sz w:val="22"/>
          <w:szCs w:val="22"/>
        </w:rPr>
        <w:t>Förslag till Europaparlamentets och rådets direktiv om åtgärder för att förebygga och begränsa följderna av allvarliga olyckshändelser där farliga ämnen ingår</w:t>
      </w:r>
    </w:p>
    <w:p w:rsidR="00570535" w:rsidRPr="00EA54DA" w:rsidRDefault="00570535" w:rsidP="00570535">
      <w:pPr>
        <w:spacing w:line="240" w:lineRule="auto"/>
        <w:ind w:left="567"/>
        <w:rPr>
          <w:rFonts w:ascii="TradeGothic" w:hAnsi="TradeGothic"/>
          <w:i/>
          <w:sz w:val="22"/>
          <w:szCs w:val="22"/>
        </w:rPr>
      </w:pPr>
      <w:r w:rsidRPr="00EA54DA">
        <w:rPr>
          <w:rFonts w:ascii="TradeGothic" w:hAnsi="TradeGothic"/>
          <w:i/>
          <w:sz w:val="22"/>
          <w:szCs w:val="22"/>
        </w:rPr>
        <w:t>–</w:t>
      </w:r>
      <w:r w:rsidRPr="00EA54DA">
        <w:rPr>
          <w:rFonts w:ascii="TradeGothic" w:hAnsi="TradeGothic"/>
          <w:i/>
          <w:sz w:val="22"/>
          <w:szCs w:val="22"/>
        </w:rPr>
        <w:tab/>
      </w:r>
      <w:r w:rsidRPr="00EA54DA">
        <w:rPr>
          <w:rFonts w:ascii="TradeGothic" w:hAnsi="TradeGothic"/>
          <w:i/>
          <w:color w:val="000000"/>
          <w:sz w:val="22"/>
          <w:szCs w:val="22"/>
        </w:rPr>
        <w:t>Lägesrapport</w:t>
      </w:r>
    </w:p>
    <w:p w:rsidR="00EB14A9" w:rsidRPr="00EA54DA" w:rsidRDefault="00EB14A9" w:rsidP="00EB14A9">
      <w:pPr>
        <w:pStyle w:val="RKnormal"/>
        <w:rPr>
          <w:i/>
        </w:rPr>
      </w:pPr>
    </w:p>
    <w:p w:rsidR="0057468B" w:rsidRPr="00EA54DA" w:rsidRDefault="0057468B" w:rsidP="0057468B">
      <w:pPr>
        <w:pStyle w:val="RKnormal"/>
        <w:rPr>
          <w:i/>
        </w:rPr>
      </w:pPr>
      <w:r w:rsidRPr="00EA54DA">
        <w:rPr>
          <w:i/>
        </w:rPr>
        <w:t>Avsikten med behandlingen i rådet</w:t>
      </w:r>
    </w:p>
    <w:p w:rsidR="0057468B" w:rsidRPr="00EA54DA" w:rsidRDefault="00FA6F37" w:rsidP="0057468B">
      <w:pPr>
        <w:pStyle w:val="RKnormal"/>
        <w:rPr>
          <w:szCs w:val="24"/>
        </w:rPr>
      </w:pPr>
      <w:r w:rsidRPr="00EA54DA">
        <w:rPr>
          <w:iCs/>
          <w:color w:val="000000"/>
        </w:rPr>
        <w:t xml:space="preserve">Ordförandeskapets avsikt är att vid rådsmötet lämna en lägesrapport </w:t>
      </w:r>
      <w:r w:rsidRPr="00EA54DA">
        <w:rPr>
          <w:szCs w:val="24"/>
        </w:rPr>
        <w:t>avseende det pågående arbetet med</w:t>
      </w:r>
      <w:r w:rsidR="00DC4E6B" w:rsidRPr="00EA54DA">
        <w:rPr>
          <w:szCs w:val="24"/>
        </w:rPr>
        <w:t xml:space="preserve"> revidering av Seveso II-direktivet. </w:t>
      </w:r>
    </w:p>
    <w:p w:rsidR="00125ED4" w:rsidRPr="00EA54DA" w:rsidRDefault="00125ED4" w:rsidP="0057468B">
      <w:pPr>
        <w:pStyle w:val="RKnormal"/>
      </w:pPr>
    </w:p>
    <w:p w:rsidR="0057468B" w:rsidRPr="00EA54DA" w:rsidRDefault="0057468B" w:rsidP="0057468B">
      <w:pPr>
        <w:pStyle w:val="RKnormal"/>
        <w:rPr>
          <w:i/>
        </w:rPr>
      </w:pPr>
      <w:r w:rsidRPr="00EA54DA">
        <w:rPr>
          <w:i/>
        </w:rPr>
        <w:t>Bakgrund</w:t>
      </w:r>
    </w:p>
    <w:p w:rsidR="0057468B" w:rsidRPr="00EA54DA" w:rsidRDefault="0057468B" w:rsidP="0057468B">
      <w:r w:rsidRPr="00EA54DA">
        <w:t>I december 2010 antog kommissionen ett förslag till revidering av Seveso II-direktivet. Det främst</w:t>
      </w:r>
      <w:r w:rsidR="002C61C9" w:rsidRPr="00EA54DA">
        <w:t>a</w:t>
      </w:r>
      <w:r w:rsidRPr="00EA54DA">
        <w:t xml:space="preserve"> syftet med revideringen är att knyta innehållslistan i Seveso-II-direktivet till CLP-förordningens(Classification, Labelling, Packaging)klassificeringssystem</w:t>
      </w:r>
      <w:r w:rsidRPr="00EA54DA">
        <w:rPr>
          <w:rStyle w:val="Fotnotsreferens"/>
        </w:rPr>
        <w:footnoteReference w:id="1"/>
      </w:r>
      <w:r w:rsidRPr="00EA54DA">
        <w:t xml:space="preserve">. Enligt förslaget ska ämnen eller blandningar som klassas som farliga enligt CLP, tas in i bilagan i Seveso II.  Kommissionens förslag till direktiv innefattar även förslag till ändringar vad gäller rapporteringsformer, tillsynsförfarande och definitioner. </w:t>
      </w:r>
    </w:p>
    <w:p w:rsidR="0057468B" w:rsidRPr="00EA54DA" w:rsidRDefault="0057468B" w:rsidP="0057468B">
      <w:pPr>
        <w:jc w:val="both"/>
      </w:pPr>
    </w:p>
    <w:p w:rsidR="0057468B" w:rsidRPr="00EA54DA" w:rsidRDefault="0057468B" w:rsidP="0057468B">
      <w:pPr>
        <w:pStyle w:val="RKnormal"/>
      </w:pPr>
      <w:r w:rsidRPr="00EA54DA">
        <w:t>Den 4 november diskuterades förslaget till direktiv på Coreper för första gången. Den 10 november och den 1 december hölls informella triloger med Europaparlamentet. Det danska ordförandeskapet tar nu över förhandlingarna</w:t>
      </w:r>
      <w:r w:rsidR="000F73CB" w:rsidRPr="00EA54DA">
        <w:t xml:space="preserve"> om revideringen av Seveso II-direktivet för en eventuell överenskommelse i första läsningen med Europaparlamentet. </w:t>
      </w:r>
    </w:p>
    <w:p w:rsidR="0057468B" w:rsidRPr="00EA54DA" w:rsidRDefault="0057468B" w:rsidP="0057468B">
      <w:pPr>
        <w:pStyle w:val="RKnormal"/>
      </w:pPr>
    </w:p>
    <w:p w:rsidR="0057468B" w:rsidRPr="00EA54DA" w:rsidRDefault="0057468B" w:rsidP="0057468B">
      <w:pPr>
        <w:pStyle w:val="RKnormal"/>
        <w:rPr>
          <w:i/>
        </w:rPr>
      </w:pPr>
      <w:r w:rsidRPr="00EA54DA">
        <w:rPr>
          <w:i/>
        </w:rPr>
        <w:t>Förslag till svensk ståndpunkt</w:t>
      </w:r>
    </w:p>
    <w:p w:rsidR="000F73CB" w:rsidRPr="00EA54DA" w:rsidRDefault="000F73CB" w:rsidP="0057468B">
      <w:pPr>
        <w:pStyle w:val="RKnormal"/>
      </w:pPr>
      <w:r w:rsidRPr="00EA54DA">
        <w:t>Regeringen står i stort bakom förslaget i sin nuvarande form.</w:t>
      </w:r>
    </w:p>
    <w:p w:rsidR="0057468B" w:rsidRPr="00EA54DA" w:rsidRDefault="0057468B" w:rsidP="0057468B">
      <w:pPr>
        <w:pStyle w:val="RKnormal"/>
      </w:pPr>
      <w:r w:rsidRPr="00EA54DA">
        <w:t xml:space="preserve">Regeringens högst prioriterade fråga under förhandlingarna har varit att inkludera ”uppgraderad biogas” i Bilaga 1, del 2 i förordningen. Det Sverige vill åstadkomma med detta tillägg är att lagringen av biogas, med en metanhalt på minst 95 %, jämställs med lagring av naturgas. </w:t>
      </w:r>
    </w:p>
    <w:p w:rsidR="0057468B" w:rsidRPr="00EA54DA" w:rsidRDefault="0057468B" w:rsidP="0057468B">
      <w:pPr>
        <w:pStyle w:val="RKnormal"/>
      </w:pPr>
    </w:p>
    <w:p w:rsidR="0057468B" w:rsidRPr="00EA54DA" w:rsidRDefault="00DC4E6B" w:rsidP="0057468B">
      <w:pPr>
        <w:pStyle w:val="RKnormal"/>
      </w:pPr>
      <w:r w:rsidRPr="00EA54DA">
        <w:t>K</w:t>
      </w:r>
      <w:r w:rsidR="0057468B" w:rsidRPr="00EA54DA">
        <w:t xml:space="preserve">ommissionen </w:t>
      </w:r>
      <w:r w:rsidRPr="00EA54DA">
        <w:t xml:space="preserve">är positiva till </w:t>
      </w:r>
      <w:r w:rsidR="0057468B" w:rsidRPr="00EA54DA">
        <w:t xml:space="preserve">den svenska ståndpunkten och diskussioner om hur ett </w:t>
      </w:r>
      <w:r w:rsidR="008C0E6F" w:rsidRPr="00EA54DA">
        <w:t xml:space="preserve">eventuellt </w:t>
      </w:r>
      <w:r w:rsidR="0057468B" w:rsidRPr="00EA54DA">
        <w:t>tillägg i enlighet med det svenska förslaget ska se ut pågår med kommissionen, ordförandeskapet och Europaparlamentet.</w:t>
      </w:r>
    </w:p>
    <w:p w:rsidR="00EB14A9" w:rsidRPr="00EA54DA" w:rsidRDefault="00EB14A9" w:rsidP="00EB14A9">
      <w:pPr>
        <w:pStyle w:val="RKnormal"/>
      </w:pPr>
    </w:p>
    <w:p w:rsidR="00EB14A9" w:rsidRPr="00EA54DA" w:rsidRDefault="00EB14A9" w:rsidP="00EB14A9">
      <w:pPr>
        <w:pStyle w:val="RKnormal"/>
      </w:pPr>
      <w:r w:rsidRPr="00EA54DA">
        <w:rPr>
          <w:rFonts w:ascii="Times New Roman" w:hAnsi="Times New Roman"/>
          <w:i/>
          <w:color w:val="000000"/>
        </w:rPr>
        <w:t xml:space="preserve">Förslaget har </w:t>
      </w:r>
      <w:r w:rsidR="008F0537" w:rsidRPr="00EA54DA">
        <w:rPr>
          <w:rFonts w:ascii="Times New Roman" w:hAnsi="Times New Roman"/>
          <w:i/>
          <w:color w:val="000000"/>
        </w:rPr>
        <w:t xml:space="preserve">behandlats i EU-nämnden </w:t>
      </w:r>
      <w:r w:rsidR="00125ED4" w:rsidRPr="00EA54DA">
        <w:rPr>
          <w:rFonts w:ascii="Times New Roman" w:hAnsi="Times New Roman"/>
          <w:i/>
          <w:color w:val="000000"/>
        </w:rPr>
        <w:t>1</w:t>
      </w:r>
      <w:r w:rsidR="008F0537" w:rsidRPr="00EA54DA">
        <w:rPr>
          <w:rFonts w:ascii="Times New Roman" w:hAnsi="Times New Roman"/>
          <w:i/>
          <w:color w:val="000000"/>
        </w:rPr>
        <w:t>7</w:t>
      </w:r>
      <w:r w:rsidR="00125ED4" w:rsidRPr="00EA54DA">
        <w:rPr>
          <w:rFonts w:ascii="Times New Roman" w:hAnsi="Times New Roman"/>
          <w:i/>
          <w:color w:val="000000"/>
        </w:rPr>
        <w:t xml:space="preserve"> juni </w:t>
      </w:r>
      <w:r w:rsidR="008F0537" w:rsidRPr="00EA54DA">
        <w:rPr>
          <w:rFonts w:ascii="Times New Roman" w:hAnsi="Times New Roman"/>
          <w:i/>
          <w:color w:val="000000"/>
        </w:rPr>
        <w:t>2011.</w:t>
      </w:r>
    </w:p>
    <w:p w:rsidR="00EB14A9" w:rsidRPr="00EA54DA" w:rsidRDefault="00EB14A9" w:rsidP="00EB14A9">
      <w:pPr>
        <w:pStyle w:val="RKnormal"/>
      </w:pPr>
    </w:p>
    <w:p w:rsidR="00776771" w:rsidRPr="00EA54DA" w:rsidRDefault="00776771" w:rsidP="00776771">
      <w:pPr>
        <w:tabs>
          <w:tab w:val="left" w:pos="2835"/>
        </w:tabs>
        <w:overflowPunct/>
        <w:spacing w:line="240" w:lineRule="auto"/>
        <w:textAlignment w:val="auto"/>
        <w:rPr>
          <w:rFonts w:cs="OrigGarmnd BT"/>
          <w:i/>
          <w:iCs/>
          <w:color w:val="000000"/>
          <w:szCs w:val="24"/>
          <w:lang w:eastAsia="sv-SE"/>
        </w:rPr>
      </w:pPr>
      <w:r w:rsidRPr="00EA54DA">
        <w:rPr>
          <w:rFonts w:cs="OrigGarmnd BT"/>
          <w:i/>
          <w:iCs/>
          <w:color w:val="000000"/>
          <w:szCs w:val="24"/>
          <w:lang w:eastAsia="sv-SE"/>
        </w:rPr>
        <w:t xml:space="preserve">Se bilaga </w:t>
      </w:r>
      <w:r w:rsidR="00922DDF" w:rsidRPr="00EA54DA">
        <w:rPr>
          <w:rFonts w:cs="OrigGarmnd BT"/>
          <w:i/>
          <w:iCs/>
          <w:color w:val="000000"/>
          <w:szCs w:val="24"/>
          <w:lang w:eastAsia="sv-SE"/>
        </w:rPr>
        <w:t>3</w:t>
      </w:r>
      <w:r w:rsidRPr="00EA54DA">
        <w:rPr>
          <w:rFonts w:cs="OrigGarmnd BT"/>
          <w:i/>
          <w:iCs/>
          <w:color w:val="000000"/>
          <w:szCs w:val="24"/>
          <w:lang w:eastAsia="sv-SE"/>
        </w:rPr>
        <w:t xml:space="preserve">.  </w:t>
      </w:r>
    </w:p>
    <w:p w:rsidR="00853E90" w:rsidRPr="00EA54DA" w:rsidRDefault="00853E90" w:rsidP="00776771">
      <w:pPr>
        <w:tabs>
          <w:tab w:val="left" w:pos="2835"/>
        </w:tabs>
        <w:overflowPunct/>
        <w:spacing w:line="240" w:lineRule="auto"/>
        <w:textAlignment w:val="auto"/>
        <w:rPr>
          <w:rFonts w:cs="OrigGarmnd BT"/>
          <w:i/>
          <w:iCs/>
          <w:color w:val="000000"/>
          <w:szCs w:val="24"/>
          <w:lang w:eastAsia="sv-SE"/>
        </w:rPr>
      </w:pPr>
    </w:p>
    <w:p w:rsidR="00DC4E6B" w:rsidRPr="00EA54DA" w:rsidRDefault="00AF12FC" w:rsidP="00AF12FC">
      <w:pPr>
        <w:pStyle w:val="RKnormal"/>
        <w:tabs>
          <w:tab w:val="clear" w:pos="2835"/>
          <w:tab w:val="left" w:pos="1134"/>
        </w:tabs>
        <w:rPr>
          <w:rFonts w:ascii="TradeGothic" w:hAnsi="TradeGothic"/>
          <w:b/>
          <w:sz w:val="22"/>
          <w:szCs w:val="22"/>
        </w:rPr>
      </w:pPr>
      <w:r w:rsidRPr="00EA54DA">
        <w:rPr>
          <w:rFonts w:ascii="TradeGothic" w:hAnsi="TradeGothic"/>
          <w:b/>
          <w:sz w:val="22"/>
          <w:szCs w:val="22"/>
        </w:rPr>
        <w:t>6.</w:t>
      </w:r>
      <w:r w:rsidRPr="00EA54DA">
        <w:rPr>
          <w:rFonts w:ascii="TradeGothic" w:hAnsi="TradeGothic"/>
          <w:b/>
          <w:sz w:val="22"/>
          <w:szCs w:val="22"/>
        </w:rPr>
        <w:tab/>
        <w:t>Godkännande av A-punktslistan</w:t>
      </w:r>
    </w:p>
    <w:p w:rsidR="00DC4E6B" w:rsidRPr="00EA54DA" w:rsidRDefault="00DC4E6B" w:rsidP="00DC4E6B">
      <w:pPr>
        <w:pStyle w:val="RKnormal"/>
      </w:pPr>
    </w:p>
    <w:p w:rsidR="00B50411" w:rsidRPr="00EA54DA" w:rsidRDefault="00DC4E6B" w:rsidP="00DC4E6B">
      <w:pPr>
        <w:pStyle w:val="RKnormal"/>
      </w:pPr>
      <w:r w:rsidRPr="00EA54DA">
        <w:t xml:space="preserve">A-punktslistan är ännu inte känd. </w:t>
      </w:r>
      <w:r w:rsidR="008D4C4F" w:rsidRPr="00EA54DA">
        <w:rPr>
          <w:rFonts w:ascii="TradeGothic" w:hAnsi="TradeGothic"/>
          <w:b/>
          <w:sz w:val="22"/>
          <w:szCs w:val="22"/>
        </w:rPr>
        <w:br/>
      </w:r>
      <w:r w:rsidR="008D4C4F" w:rsidRPr="00EA54DA">
        <w:rPr>
          <w:rFonts w:ascii="TradeGothic" w:hAnsi="TradeGothic"/>
          <w:b/>
          <w:sz w:val="22"/>
          <w:szCs w:val="22"/>
        </w:rPr>
        <w:tab/>
      </w:r>
      <w:r w:rsidR="00B50411" w:rsidRPr="00EA54DA">
        <w:rPr>
          <w:rFonts w:ascii="TradeGothic" w:hAnsi="TradeGothic"/>
          <w:b/>
          <w:i/>
          <w:color w:val="000000"/>
          <w:sz w:val="22"/>
          <w:szCs w:val="22"/>
        </w:rPr>
        <w:t xml:space="preserve"> </w:t>
      </w:r>
    </w:p>
    <w:p w:rsidR="00182B87" w:rsidRPr="00EA54DA" w:rsidRDefault="00182B87">
      <w:pPr>
        <w:pStyle w:val="RKnormal"/>
      </w:pPr>
    </w:p>
    <w:p w:rsidR="00AF12FC" w:rsidRPr="00EA54DA" w:rsidRDefault="00182B87" w:rsidP="00AF12FC">
      <w:pPr>
        <w:spacing w:line="240" w:lineRule="auto"/>
        <w:rPr>
          <w:rFonts w:ascii="TradeGothic" w:hAnsi="TradeGothic"/>
          <w:b/>
          <w:i/>
          <w:iCs/>
          <w:sz w:val="22"/>
          <w:szCs w:val="22"/>
        </w:rPr>
      </w:pPr>
      <w:r w:rsidRPr="00EA54DA">
        <w:rPr>
          <w:rFonts w:ascii="TradeGothic" w:hAnsi="TradeGothic"/>
          <w:b/>
          <w:sz w:val="22"/>
          <w:szCs w:val="22"/>
        </w:rPr>
        <w:t>7</w:t>
      </w:r>
      <w:r w:rsidR="00BD123C" w:rsidRPr="00EA54DA">
        <w:rPr>
          <w:rFonts w:ascii="TradeGothic" w:hAnsi="TradeGothic"/>
          <w:b/>
          <w:sz w:val="22"/>
          <w:szCs w:val="22"/>
        </w:rPr>
        <w:t>.</w:t>
      </w:r>
      <w:r w:rsidR="00BD123C" w:rsidRPr="00EA54DA">
        <w:rPr>
          <w:rFonts w:ascii="TradeGothic" w:hAnsi="TradeGothic"/>
          <w:b/>
          <w:sz w:val="22"/>
          <w:szCs w:val="22"/>
        </w:rPr>
        <w:tab/>
      </w:r>
      <w:r w:rsidR="00AF12FC" w:rsidRPr="00EA54DA">
        <w:rPr>
          <w:rFonts w:ascii="TradeGothic" w:hAnsi="TradeGothic"/>
          <w:b/>
          <w:sz w:val="22"/>
          <w:szCs w:val="22"/>
        </w:rPr>
        <w:t xml:space="preserve">En strategi för biologisk mångfald i EU fram till 2020: mot </w:t>
      </w:r>
      <w:r w:rsidR="00570535" w:rsidRPr="00EA54DA">
        <w:rPr>
          <w:rFonts w:ascii="TradeGothic" w:hAnsi="TradeGothic"/>
          <w:b/>
          <w:sz w:val="22"/>
          <w:szCs w:val="22"/>
        </w:rPr>
        <w:tab/>
      </w:r>
      <w:r w:rsidR="00AF12FC" w:rsidRPr="00EA54DA">
        <w:rPr>
          <w:rFonts w:ascii="TradeGothic" w:hAnsi="TradeGothic"/>
          <w:b/>
          <w:sz w:val="22"/>
          <w:szCs w:val="22"/>
        </w:rPr>
        <w:t>genomförande</w:t>
      </w:r>
    </w:p>
    <w:p w:rsidR="00AF12FC" w:rsidRPr="00EA54DA" w:rsidRDefault="00AF12FC" w:rsidP="00AF12FC">
      <w:pPr>
        <w:spacing w:line="240" w:lineRule="auto"/>
        <w:ind w:left="567"/>
        <w:rPr>
          <w:rFonts w:ascii="TradeGothic" w:hAnsi="TradeGothic"/>
          <w:i/>
          <w:sz w:val="22"/>
          <w:szCs w:val="22"/>
        </w:rPr>
      </w:pPr>
      <w:r w:rsidRPr="00EA54DA">
        <w:rPr>
          <w:rFonts w:ascii="TradeGothic" w:hAnsi="TradeGothic"/>
          <w:i/>
          <w:sz w:val="22"/>
          <w:szCs w:val="22"/>
        </w:rPr>
        <w:t>–</w:t>
      </w:r>
      <w:r w:rsidRPr="00EA54DA">
        <w:rPr>
          <w:rFonts w:ascii="TradeGothic" w:hAnsi="TradeGothic"/>
          <w:i/>
          <w:sz w:val="22"/>
          <w:szCs w:val="22"/>
        </w:rPr>
        <w:tab/>
        <w:t>Antagande av rådets slutsatser</w:t>
      </w:r>
    </w:p>
    <w:p w:rsidR="00AF12FC" w:rsidRPr="00EA54DA" w:rsidRDefault="00AF12FC" w:rsidP="00AF12FC">
      <w:pPr>
        <w:pStyle w:val="RKnormal"/>
      </w:pPr>
      <w:r w:rsidRPr="00EA54DA">
        <w:tab/>
      </w:r>
    </w:p>
    <w:p w:rsidR="004D608B" w:rsidRPr="00EA54DA" w:rsidRDefault="004D608B" w:rsidP="004D608B">
      <w:pPr>
        <w:pStyle w:val="RKnormal"/>
        <w:rPr>
          <w:i/>
          <w:iCs/>
          <w:color w:val="000000"/>
        </w:rPr>
      </w:pPr>
      <w:r w:rsidRPr="00EA54DA">
        <w:rPr>
          <w:i/>
          <w:iCs/>
          <w:color w:val="000000"/>
        </w:rPr>
        <w:t xml:space="preserve">Avsikten med behandlingen i rådet </w:t>
      </w:r>
    </w:p>
    <w:p w:rsidR="004D608B" w:rsidRPr="00EA54DA" w:rsidRDefault="007B7A55" w:rsidP="004D608B">
      <w:pPr>
        <w:pStyle w:val="RKnormal"/>
        <w:rPr>
          <w:iCs/>
          <w:color w:val="000000"/>
        </w:rPr>
      </w:pPr>
      <w:r w:rsidRPr="00EA54DA">
        <w:rPr>
          <w:iCs/>
          <w:color w:val="000000"/>
        </w:rPr>
        <w:t xml:space="preserve">Ordförandeskapets avsikt är att vid rådsmötet </w:t>
      </w:r>
      <w:r w:rsidR="004D608B" w:rsidRPr="00EA54DA">
        <w:rPr>
          <w:iCs/>
          <w:color w:val="000000"/>
        </w:rPr>
        <w:t xml:space="preserve">anta rådsslutsatser </w:t>
      </w:r>
      <w:r w:rsidR="004D608B" w:rsidRPr="00EA54DA">
        <w:t xml:space="preserve">om ett ramverk för </w:t>
      </w:r>
      <w:r w:rsidRPr="00EA54DA">
        <w:t xml:space="preserve">genomförande </w:t>
      </w:r>
      <w:r w:rsidR="004D608B" w:rsidRPr="00EA54DA">
        <w:t>av EU:s strategi fö</w:t>
      </w:r>
      <w:r w:rsidRPr="00EA54DA">
        <w:t>r biologisk mångfald till 2020.</w:t>
      </w:r>
    </w:p>
    <w:p w:rsidR="004D608B" w:rsidRPr="00EA54DA" w:rsidRDefault="004D608B" w:rsidP="004D608B">
      <w:pPr>
        <w:pStyle w:val="RKnormal"/>
        <w:rPr>
          <w:i/>
          <w:iCs/>
          <w:color w:val="000000"/>
        </w:rPr>
      </w:pPr>
    </w:p>
    <w:p w:rsidR="004D608B" w:rsidRPr="00EA54DA" w:rsidRDefault="004D608B" w:rsidP="004D608B">
      <w:pPr>
        <w:pStyle w:val="RKnormal"/>
        <w:rPr>
          <w:i/>
          <w:iCs/>
          <w:color w:val="000000"/>
        </w:rPr>
      </w:pPr>
      <w:r w:rsidRPr="00EA54DA">
        <w:rPr>
          <w:i/>
          <w:iCs/>
          <w:color w:val="000000"/>
        </w:rPr>
        <w:t xml:space="preserve">Bakgrund </w:t>
      </w:r>
    </w:p>
    <w:p w:rsidR="004D608B" w:rsidRPr="00EA54DA" w:rsidRDefault="004D608B" w:rsidP="004D608B">
      <w:pPr>
        <w:tabs>
          <w:tab w:val="left" w:pos="709"/>
        </w:tabs>
        <w:spacing w:line="240" w:lineRule="auto"/>
        <w:outlineLvl w:val="0"/>
      </w:pPr>
      <w:r w:rsidRPr="00EA54DA">
        <w:t>Trots vissa framgångar i arbetet med biologisk mångfald, som uppbyggandet</w:t>
      </w:r>
      <w:r w:rsidR="008C0E6F" w:rsidRPr="00EA54DA">
        <w:t xml:space="preserve"> </w:t>
      </w:r>
      <w:r w:rsidRPr="00EA54DA">
        <w:t xml:space="preserve">av Natura 2000, </w:t>
      </w:r>
      <w:r w:rsidR="00FD5DFC" w:rsidRPr="00EA54DA">
        <w:t xml:space="preserve">nåddes </w:t>
      </w:r>
      <w:r w:rsidRPr="00EA54DA">
        <w:t xml:space="preserve">inte EU:s mål att stoppa förlusten av biologisk mångfald till 2010. Pågående försämringar eller förluster av den biologiska mångfalden äventyrar tillhandahållandet av för </w:t>
      </w:r>
      <w:r w:rsidR="00C857DC" w:rsidRPr="00EA54DA">
        <w:t xml:space="preserve">människan </w:t>
      </w:r>
      <w:r w:rsidRPr="00EA54DA">
        <w:t xml:space="preserve">livsviktiga ekosystemtjänster. Mot bakgrund av detta lade kommissionen i mars 2011 fram ett meddelande om en strategi för biologisk mångfald i EU till 2020. </w:t>
      </w:r>
      <w:r w:rsidR="00970A28" w:rsidRPr="00EA54DA">
        <w:t>Processen bakom denna strategi har pågått sedan 2009 (se bilaga 4).</w:t>
      </w:r>
    </w:p>
    <w:p w:rsidR="004D608B" w:rsidRPr="00EA54DA" w:rsidRDefault="004D608B" w:rsidP="004D608B">
      <w:pPr>
        <w:tabs>
          <w:tab w:val="left" w:pos="709"/>
        </w:tabs>
        <w:spacing w:line="240" w:lineRule="auto"/>
        <w:outlineLvl w:val="0"/>
      </w:pPr>
    </w:p>
    <w:p w:rsidR="004D608B" w:rsidRPr="00EA54DA" w:rsidRDefault="004D608B" w:rsidP="004D608B">
      <w:pPr>
        <w:tabs>
          <w:tab w:val="left" w:pos="709"/>
        </w:tabs>
        <w:spacing w:line="240" w:lineRule="auto"/>
        <w:outlineLvl w:val="0"/>
      </w:pPr>
      <w:r w:rsidRPr="00EA54DA">
        <w:t xml:space="preserve">Strategins övergripande mål är att stoppa förlusten av biologisk mångfald och ekosystemtjänster i EU senast 2020, i möjligaste mån återställa dem och samtidigt förstärka EU:s bidrag för att motverka förlusten av biologisk mångfald på global nivå. </w:t>
      </w:r>
      <w:r w:rsidR="00FD5DFC" w:rsidRPr="00EA54DA">
        <w:t>Strategin innehåller</w:t>
      </w:r>
      <w:r w:rsidRPr="00EA54DA">
        <w:t xml:space="preserve"> sex mål: 1) Ett f</w:t>
      </w:r>
      <w:r w:rsidR="00FD5DFC" w:rsidRPr="00EA54DA">
        <w:t>ullständigt genomförande av EU:</w:t>
      </w:r>
      <w:r w:rsidRPr="00EA54DA">
        <w:t>s naturvårdsdirektiv för att skydda den biologiska mångfalden; 2)Bättre skydd för ekosystem och ökad användning av grön infrastruktur; 3)Främja biologisk mångfald genom ett säkerställande av hållbart jordbruk och skogsbruk; 4)Bätt</w:t>
      </w:r>
      <w:r w:rsidR="00211C5F" w:rsidRPr="00EA54DA">
        <w:t xml:space="preserve">re förvaltning av fiskbestånd; </w:t>
      </w:r>
      <w:r w:rsidRPr="00EA54DA">
        <w:t>5)Strängare kontroller av så kallade invasiva</w:t>
      </w:r>
      <w:r w:rsidR="00FD5DFC" w:rsidRPr="00EA54DA">
        <w:t xml:space="preserve"> främmande arter; 6)Ett ökat EU-</w:t>
      </w:r>
      <w:r w:rsidRPr="00EA54DA">
        <w:t>bidrag i arbetet med att avvärja den globala förlusten av biologisk mångfald.</w:t>
      </w:r>
    </w:p>
    <w:p w:rsidR="004D608B" w:rsidRPr="00EA54DA" w:rsidRDefault="004D608B" w:rsidP="004D608B">
      <w:pPr>
        <w:tabs>
          <w:tab w:val="left" w:pos="709"/>
        </w:tabs>
        <w:spacing w:line="240" w:lineRule="auto"/>
        <w:outlineLvl w:val="0"/>
      </w:pPr>
    </w:p>
    <w:p w:rsidR="004D608B" w:rsidRPr="00EA54DA" w:rsidRDefault="004D608B" w:rsidP="004D608B">
      <w:pPr>
        <w:tabs>
          <w:tab w:val="left" w:pos="709"/>
        </w:tabs>
        <w:spacing w:line="240" w:lineRule="auto"/>
        <w:outlineLvl w:val="0"/>
      </w:pPr>
      <w:r w:rsidRPr="00EA54DA">
        <w:t>Miljörådet antog den 21 juni 2011 rådsslutsatser om EU:s strategi för biologisk mångfald till 2020, inklusive dess mål, där det i slutsatsern</w:t>
      </w:r>
      <w:r w:rsidR="000D22BD" w:rsidRPr="00EA54DA">
        <w:t xml:space="preserve">a hänvisades till att fortsatta </w:t>
      </w:r>
      <w:r w:rsidRPr="00EA54DA">
        <w:t xml:space="preserve">diskussioner </w:t>
      </w:r>
      <w:r w:rsidR="000D22BD" w:rsidRPr="00EA54DA">
        <w:t xml:space="preserve">och ytterligare arbete </w:t>
      </w:r>
      <w:r w:rsidRPr="00EA54DA">
        <w:t>om åtgärder</w:t>
      </w:r>
      <w:r w:rsidR="000D22BD" w:rsidRPr="00EA54DA">
        <w:t>na</w:t>
      </w:r>
      <w:r w:rsidRPr="00EA54DA">
        <w:t xml:space="preserve"> var nödvändiga. Mot bakgrund av detta initierade</w:t>
      </w:r>
      <w:r w:rsidR="00765021" w:rsidRPr="00EA54DA">
        <w:t xml:space="preserve"> det påföljande polska ordförandeskapet</w:t>
      </w:r>
      <w:r w:rsidRPr="00EA54DA">
        <w:t xml:space="preserve"> rådsslutsatser om ”ett ramverk för implementering av EU:s strategi för biologisk mångfald till 2020” för antagande vid rådsmötet 19 december. Inför rådsmötet finns några utestående frågor som framförallt kopplar till jordbrukspolitiken</w:t>
      </w:r>
      <w:r w:rsidR="000F010D" w:rsidRPr="00EA54DA">
        <w:t>.</w:t>
      </w:r>
    </w:p>
    <w:p w:rsidR="004D608B" w:rsidRPr="00EA54DA" w:rsidRDefault="004D608B" w:rsidP="004D608B">
      <w:pPr>
        <w:pStyle w:val="RKnormal"/>
        <w:rPr>
          <w:iCs/>
          <w:color w:val="000000"/>
        </w:rPr>
      </w:pPr>
    </w:p>
    <w:p w:rsidR="004D608B" w:rsidRPr="00EA54DA" w:rsidRDefault="004D608B" w:rsidP="004D608B">
      <w:pPr>
        <w:pStyle w:val="RKnormal"/>
        <w:rPr>
          <w:rFonts w:eastAsia="Batang"/>
          <w:lang w:eastAsia="ko-KR"/>
        </w:rPr>
      </w:pPr>
      <w:r w:rsidRPr="00EA54DA">
        <w:rPr>
          <w:i/>
          <w:iCs/>
          <w:color w:val="000000"/>
        </w:rPr>
        <w:t>Förslag till svensk ståndpunkt</w:t>
      </w:r>
    </w:p>
    <w:p w:rsidR="00454A82" w:rsidRPr="00EA54DA" w:rsidRDefault="00454A82" w:rsidP="00454A82">
      <w:pPr>
        <w:pStyle w:val="RKnormal"/>
      </w:pPr>
      <w:r w:rsidRPr="00EA54DA">
        <w:t xml:space="preserve">Regeringen har ända sedan ordförandeskapet 2009 lyft fram frågan om att komma till rätta med problemen med förlusterna av biologisk mångfald, och varit pådrivande i arbetet både inom EU och inför CBD:s partsmöte i Nagoya 2010. Regeringen välkomnar rådsslutsatserna och stödjer ordförandeskapets ambition att de ska vara tydliga och konkreta.  I </w:t>
      </w:r>
      <w:r w:rsidR="00BA223A" w:rsidRPr="00EA54DA">
        <w:t>förhandlingarna</w:t>
      </w:r>
      <w:r w:rsidRPr="00EA54DA">
        <w:t xml:space="preserve"> har Sverige fört fram en positiv inställning till huvuddragen i kommissionens meddelande. </w:t>
      </w:r>
    </w:p>
    <w:p w:rsidR="00454A82" w:rsidRPr="00EA54DA" w:rsidRDefault="00454A82" w:rsidP="00454A82">
      <w:pPr>
        <w:pStyle w:val="RKnormal"/>
      </w:pPr>
    </w:p>
    <w:p w:rsidR="00454A82" w:rsidRPr="00EA54DA" w:rsidRDefault="00454A82" w:rsidP="00454A82">
      <w:pPr>
        <w:pStyle w:val="RKnormal"/>
      </w:pPr>
      <w:r w:rsidRPr="00EA54DA">
        <w:t>Regeringen är i huvudsak positiv till de rådsslutsatser som presenterats och anser att EU-strategin för biologisk mångfald till 2020 kommer att vara ett viktigt verktyg för att nå 2020-målen. Regeringen har också stött skrivningar om vikten av att integrera biologisk mångfald i sektorspolitiken.</w:t>
      </w:r>
    </w:p>
    <w:p w:rsidR="00454A82" w:rsidRPr="00EA54DA" w:rsidRDefault="00454A82" w:rsidP="004D608B">
      <w:pPr>
        <w:tabs>
          <w:tab w:val="left" w:pos="709"/>
        </w:tabs>
        <w:spacing w:line="240" w:lineRule="auto"/>
        <w:outlineLvl w:val="0"/>
        <w:rPr>
          <w:rFonts w:eastAsia="Batang"/>
          <w:lang w:eastAsia="ko-KR"/>
        </w:rPr>
      </w:pPr>
    </w:p>
    <w:p w:rsidR="004D608B" w:rsidRPr="00EA54DA" w:rsidRDefault="004D608B" w:rsidP="004D608B">
      <w:pPr>
        <w:tabs>
          <w:tab w:val="left" w:pos="709"/>
        </w:tabs>
        <w:spacing w:line="240" w:lineRule="auto"/>
        <w:outlineLvl w:val="0"/>
        <w:rPr>
          <w:rFonts w:eastAsia="Batang"/>
          <w:lang w:eastAsia="ko-KR"/>
        </w:rPr>
      </w:pPr>
      <w:r w:rsidRPr="00EA54DA">
        <w:rPr>
          <w:rFonts w:eastAsia="Batang"/>
          <w:lang w:eastAsia="ko-KR"/>
        </w:rPr>
        <w:t>Regeringen har i diskussionerna bl.a. bidragit med förslag till att rådsslutsatserna ska vara tydliga och konkreta. Sverige har bl.a. drivit att rådsslutsatserna inte får föregripa förhandlingarna om EU:s fleråriga budgetram</w:t>
      </w:r>
      <w:r w:rsidR="00385051" w:rsidRPr="00EA54DA">
        <w:rPr>
          <w:rFonts w:eastAsia="Batang"/>
          <w:lang w:eastAsia="ko-KR"/>
        </w:rPr>
        <w:t xml:space="preserve"> vilket många medlemsstater står bakom</w:t>
      </w:r>
      <w:r w:rsidRPr="00EA54DA">
        <w:rPr>
          <w:rFonts w:eastAsia="Batang"/>
          <w:lang w:eastAsia="ko-KR"/>
        </w:rPr>
        <w:t xml:space="preserve">. Vidare är regeringens ståndpunkt att det är viktigt att bevara och förbättra ekosystem och ekosystemtjänster vilket kommer att bidra till EU:s mål för hållbar tillväxt </w:t>
      </w:r>
      <w:r w:rsidR="004053C7" w:rsidRPr="00EA54DA">
        <w:rPr>
          <w:rFonts w:eastAsia="Batang"/>
          <w:lang w:eastAsia="ko-KR"/>
        </w:rPr>
        <w:t>samt</w:t>
      </w:r>
      <w:r w:rsidRPr="00EA54DA">
        <w:rPr>
          <w:rFonts w:eastAsia="Batang"/>
          <w:lang w:eastAsia="ko-KR"/>
        </w:rPr>
        <w:t xml:space="preserve"> till en mildring av effekterna av och anpassning till klimatförändringarna. Regeringens linje vad gäller livsmiljöer och arter av europeisk betydelse är att dessa ska uppnå en gynnsam bevarandestatus.</w:t>
      </w:r>
    </w:p>
    <w:p w:rsidR="004D608B" w:rsidRPr="00EA54DA" w:rsidRDefault="004D608B" w:rsidP="004D608B">
      <w:pPr>
        <w:tabs>
          <w:tab w:val="left" w:pos="709"/>
        </w:tabs>
        <w:spacing w:line="240" w:lineRule="auto"/>
        <w:outlineLvl w:val="0"/>
        <w:rPr>
          <w:rFonts w:eastAsia="Batang"/>
          <w:lang w:eastAsia="ko-KR"/>
        </w:rPr>
      </w:pPr>
    </w:p>
    <w:p w:rsidR="004D608B" w:rsidRPr="00EA54DA" w:rsidRDefault="004D608B" w:rsidP="004D608B">
      <w:pPr>
        <w:tabs>
          <w:tab w:val="left" w:pos="709"/>
        </w:tabs>
        <w:spacing w:line="240" w:lineRule="auto"/>
        <w:outlineLvl w:val="0"/>
        <w:rPr>
          <w:rFonts w:eastAsia="Batang"/>
          <w:lang w:eastAsia="ko-KR"/>
        </w:rPr>
      </w:pPr>
      <w:r w:rsidRPr="00EA54DA">
        <w:rPr>
          <w:rFonts w:eastAsia="Batang"/>
          <w:lang w:eastAsia="ko-KR"/>
        </w:rPr>
        <w:t xml:space="preserve">Regeringen anser att det är viktigt att så snart som möjligt utveckla vägar mot ett hållbart fiske i EU och i tredje land där EU har fiskeriavtal. </w:t>
      </w:r>
      <w:r w:rsidR="00155AFF" w:rsidRPr="00EA54DA">
        <w:rPr>
          <w:rFonts w:eastAsia="Batang"/>
          <w:lang w:eastAsia="ko-KR"/>
        </w:rPr>
        <w:t xml:space="preserve">Sverige har i förhandlingarna fört fram vikten av att ekosystemansatsen ska lyftas fram i fiskefrågorna vilket Sverige fick gehör för.  </w:t>
      </w:r>
      <w:r w:rsidRPr="00EA54DA">
        <w:rPr>
          <w:rFonts w:eastAsia="Batang"/>
          <w:lang w:eastAsia="ko-KR"/>
        </w:rPr>
        <w:t>Vidare stödjer regeringen utvecklandet av en EU</w:t>
      </w:r>
      <w:r w:rsidR="00D94C62" w:rsidRPr="00EA54DA">
        <w:rPr>
          <w:rFonts w:eastAsia="Batang"/>
          <w:lang w:eastAsia="ko-KR"/>
        </w:rPr>
        <w:t xml:space="preserve">-strategi </w:t>
      </w:r>
      <w:r w:rsidRPr="00EA54DA">
        <w:rPr>
          <w:rFonts w:eastAsia="Batang"/>
          <w:lang w:eastAsia="ko-KR"/>
        </w:rPr>
        <w:t>med både lagstiftning och prioriterade frivilliga åtgärder för att bekämpa invasiva främmande arter. Regeringen anser att EU måste fortsätta öka sina insatser för att motverka förlusten av biologisk mångfald på global nivå genom att exempelvis minska negativa externa effekter av konsumtionsmönster</w:t>
      </w:r>
      <w:r w:rsidR="004053C7" w:rsidRPr="00EA54DA">
        <w:rPr>
          <w:rFonts w:eastAsia="Batang"/>
          <w:lang w:eastAsia="ko-KR"/>
        </w:rPr>
        <w:t>.</w:t>
      </w:r>
    </w:p>
    <w:p w:rsidR="004D608B" w:rsidRPr="00EA54DA" w:rsidRDefault="004D608B" w:rsidP="004D608B">
      <w:pPr>
        <w:pStyle w:val="RKnormal"/>
      </w:pPr>
    </w:p>
    <w:p w:rsidR="004D608B" w:rsidRPr="00EA54DA" w:rsidRDefault="004D608B" w:rsidP="004D608B">
      <w:pPr>
        <w:tabs>
          <w:tab w:val="left" w:pos="709"/>
        </w:tabs>
        <w:spacing w:line="240" w:lineRule="auto"/>
        <w:outlineLvl w:val="0"/>
        <w:rPr>
          <w:i/>
        </w:rPr>
      </w:pPr>
      <w:r w:rsidRPr="00EA54DA">
        <w:rPr>
          <w:i/>
        </w:rPr>
        <w:t>Tidigare rådsslutsatser om kommissionens meddelande om EU:s strategi för biologisk mångfald behandlades i Miljö- och jordbruksutskottet den 16 juni samt i EU-nämnden den 17 juni inför rådsmöte den 21 juni. Rådsslutsatser om implementeringsramverket avs</w:t>
      </w:r>
      <w:r w:rsidR="00765021" w:rsidRPr="00EA54DA">
        <w:rPr>
          <w:i/>
        </w:rPr>
        <w:t>eende</w:t>
      </w:r>
      <w:r w:rsidRPr="00EA54DA">
        <w:rPr>
          <w:i/>
        </w:rPr>
        <w:t xml:space="preserve"> EU:s strategi för biologisk mångfald har inte tidigare varit uppe i EU-nämnden.</w:t>
      </w:r>
    </w:p>
    <w:p w:rsidR="004D608B" w:rsidRPr="00EA54DA" w:rsidRDefault="004D608B" w:rsidP="00BD123C">
      <w:pPr>
        <w:pStyle w:val="RKnormal"/>
      </w:pPr>
    </w:p>
    <w:p w:rsidR="00AF12FC" w:rsidRPr="00EA54DA" w:rsidRDefault="00DB0B1A" w:rsidP="004D608B">
      <w:pPr>
        <w:pStyle w:val="RKnormal"/>
        <w:rPr>
          <w:i/>
        </w:rPr>
      </w:pPr>
      <w:r w:rsidRPr="00EA54DA">
        <w:rPr>
          <w:i/>
        </w:rPr>
        <w:t>Se bilaga 4</w:t>
      </w:r>
      <w:r w:rsidR="00853E90" w:rsidRPr="00EA54DA">
        <w:rPr>
          <w:i/>
        </w:rPr>
        <w:t>.</w:t>
      </w:r>
    </w:p>
    <w:p w:rsidR="00BD123C" w:rsidRPr="00EA54DA" w:rsidRDefault="00BD123C" w:rsidP="00BD123C">
      <w:pPr>
        <w:pStyle w:val="RKnormal"/>
      </w:pPr>
    </w:p>
    <w:p w:rsidR="00570535" w:rsidRPr="00EA54DA" w:rsidRDefault="008D4C4F" w:rsidP="00570535">
      <w:pPr>
        <w:spacing w:line="240" w:lineRule="auto"/>
        <w:rPr>
          <w:rFonts w:ascii="TradeGothic" w:hAnsi="TradeGothic"/>
          <w:b/>
          <w:sz w:val="22"/>
          <w:szCs w:val="22"/>
        </w:rPr>
      </w:pPr>
      <w:r w:rsidRPr="00EA54DA">
        <w:rPr>
          <w:rFonts w:ascii="TradeGothic" w:hAnsi="TradeGothic"/>
          <w:b/>
          <w:sz w:val="22"/>
          <w:szCs w:val="22"/>
        </w:rPr>
        <w:t>8</w:t>
      </w:r>
      <w:r w:rsidR="00182B87" w:rsidRPr="00EA54DA">
        <w:rPr>
          <w:rFonts w:ascii="TradeGothic" w:hAnsi="TradeGothic"/>
          <w:b/>
          <w:sz w:val="22"/>
          <w:szCs w:val="22"/>
        </w:rPr>
        <w:t xml:space="preserve">. </w:t>
      </w:r>
      <w:r w:rsidR="00182B87" w:rsidRPr="00EA54DA">
        <w:rPr>
          <w:rFonts w:ascii="TradeGothic" w:hAnsi="TradeGothic"/>
          <w:b/>
          <w:sz w:val="22"/>
          <w:szCs w:val="22"/>
        </w:rPr>
        <w:tab/>
      </w:r>
      <w:r w:rsidR="00570535" w:rsidRPr="00EA54DA">
        <w:rPr>
          <w:rFonts w:ascii="TradeGothic" w:hAnsi="TradeGothic"/>
          <w:b/>
          <w:sz w:val="22"/>
          <w:szCs w:val="22"/>
        </w:rPr>
        <w:t>Färdplan för ett resurseffektivt Europa</w:t>
      </w:r>
    </w:p>
    <w:p w:rsidR="00570535" w:rsidRPr="00EA54DA" w:rsidRDefault="00570535" w:rsidP="00570535">
      <w:pPr>
        <w:spacing w:line="240" w:lineRule="auto"/>
        <w:ind w:left="567"/>
        <w:rPr>
          <w:rFonts w:ascii="TradeGothic" w:hAnsi="TradeGothic"/>
          <w:i/>
          <w:sz w:val="22"/>
          <w:szCs w:val="22"/>
        </w:rPr>
      </w:pPr>
      <w:r w:rsidRPr="00EA54DA">
        <w:rPr>
          <w:rFonts w:ascii="TradeGothic" w:hAnsi="TradeGothic"/>
          <w:i/>
          <w:sz w:val="22"/>
          <w:szCs w:val="22"/>
        </w:rPr>
        <w:t>–Antagande av rådets slutsatser</w:t>
      </w:r>
    </w:p>
    <w:p w:rsidR="00182B87" w:rsidRPr="00EA54DA" w:rsidRDefault="00570535" w:rsidP="00570535">
      <w:pPr>
        <w:spacing w:line="240" w:lineRule="auto"/>
        <w:ind w:left="567"/>
        <w:rPr>
          <w:rFonts w:ascii="TradeGothic" w:hAnsi="TradeGothic"/>
          <w:b/>
          <w:i/>
          <w:iCs/>
          <w:sz w:val="22"/>
          <w:szCs w:val="22"/>
        </w:rPr>
      </w:pPr>
      <w:r w:rsidRPr="00EA54DA">
        <w:rPr>
          <w:rFonts w:ascii="TradeGothic" w:hAnsi="TradeGothic"/>
          <w:i/>
          <w:sz w:val="22"/>
          <w:szCs w:val="22"/>
        </w:rPr>
        <w:t>–Diskussion</w:t>
      </w:r>
      <w:r w:rsidRPr="00EA54DA">
        <w:t xml:space="preserve"> </w:t>
      </w:r>
      <w:r w:rsidR="005F35A9" w:rsidRPr="00EA54DA">
        <w:br/>
      </w:r>
      <w:r w:rsidR="00182B87" w:rsidRPr="00EA54DA">
        <w:t xml:space="preserve"> </w:t>
      </w:r>
    </w:p>
    <w:p w:rsidR="00922DDF" w:rsidRPr="00EA54DA" w:rsidRDefault="00922DDF" w:rsidP="00922DDF">
      <w:pPr>
        <w:pStyle w:val="RKnormal"/>
        <w:rPr>
          <w:i/>
          <w:iCs/>
          <w:color w:val="000000"/>
        </w:rPr>
      </w:pPr>
      <w:r w:rsidRPr="00EA54DA">
        <w:rPr>
          <w:i/>
          <w:iCs/>
          <w:color w:val="000000"/>
        </w:rPr>
        <w:t xml:space="preserve">Avsikten med behandlingen i rådet </w:t>
      </w:r>
    </w:p>
    <w:p w:rsidR="00922DDF" w:rsidRPr="00EA54DA" w:rsidRDefault="004214F9" w:rsidP="00922DDF">
      <w:pPr>
        <w:pStyle w:val="RKnormal"/>
      </w:pPr>
      <w:r w:rsidRPr="00EA54DA">
        <w:rPr>
          <w:iCs/>
          <w:color w:val="000000"/>
        </w:rPr>
        <w:t xml:space="preserve">Ordförandeskapets avsikt är att vid rådsmötet anta rådsslutsatser </w:t>
      </w:r>
      <w:r w:rsidRPr="00EA54DA">
        <w:t xml:space="preserve">om </w:t>
      </w:r>
      <w:r w:rsidR="00922DDF" w:rsidRPr="00EA54DA">
        <w:t>färdplan</w:t>
      </w:r>
      <w:r w:rsidRPr="00EA54DA">
        <w:t>en</w:t>
      </w:r>
      <w:r w:rsidR="00922DDF" w:rsidRPr="00EA54DA">
        <w:t xml:space="preserve"> för ett resurseffektivt Europa. </w:t>
      </w:r>
    </w:p>
    <w:p w:rsidR="00922DDF" w:rsidRPr="00EA54DA" w:rsidRDefault="00922DDF" w:rsidP="00922DDF">
      <w:pPr>
        <w:pStyle w:val="RKnormal"/>
      </w:pPr>
    </w:p>
    <w:p w:rsidR="00922DDF" w:rsidRPr="00EA54DA" w:rsidRDefault="00922DDF" w:rsidP="00922DDF">
      <w:pPr>
        <w:pStyle w:val="RKnormal"/>
        <w:rPr>
          <w:i/>
          <w:iCs/>
          <w:color w:val="000000"/>
        </w:rPr>
      </w:pPr>
      <w:r w:rsidRPr="00EA54DA">
        <w:rPr>
          <w:i/>
          <w:iCs/>
          <w:color w:val="000000"/>
        </w:rPr>
        <w:t xml:space="preserve">Bakgrund </w:t>
      </w:r>
    </w:p>
    <w:p w:rsidR="00922DDF" w:rsidRPr="00EA54DA" w:rsidRDefault="00922DDF" w:rsidP="00922DDF">
      <w:pPr>
        <w:tabs>
          <w:tab w:val="left" w:pos="709"/>
        </w:tabs>
        <w:spacing w:line="240" w:lineRule="auto"/>
      </w:pPr>
      <w:r w:rsidRPr="00EA54DA">
        <w:t>Kommissionen presenterade i september 2011 meddelandet ”Färdplan för ett resurseffektivt Europa”. Färdplanen aviserades av kommissionen i meddelandet ”Ett resurseffektivt Europa – flaggskeppsinitiativ under Europa 2020-strategin” från den 26 januari 2011 (KOM(2011)21). Flaggskeppsinitiativet är ett av de sju flaggskeppsinitiativ under Europa 2020-strategin som antogs av Europeiska rådet i juni 2010.</w:t>
      </w:r>
    </w:p>
    <w:p w:rsidR="00922DDF" w:rsidRPr="00EA54DA" w:rsidRDefault="00922DDF" w:rsidP="00922DDF">
      <w:pPr>
        <w:tabs>
          <w:tab w:val="left" w:pos="709"/>
        </w:tabs>
        <w:spacing w:line="240" w:lineRule="auto"/>
      </w:pPr>
    </w:p>
    <w:p w:rsidR="00922DDF" w:rsidRPr="00EA54DA" w:rsidRDefault="00922DDF" w:rsidP="00922DDF">
      <w:pPr>
        <w:tabs>
          <w:tab w:val="left" w:pos="709"/>
        </w:tabs>
        <w:spacing w:line="240" w:lineRule="auto"/>
      </w:pPr>
      <w:r w:rsidRPr="00EA54DA">
        <w:t>I råd</w:t>
      </w:r>
      <w:r w:rsidR="00790C68" w:rsidRPr="00EA54DA">
        <w:t>s</w:t>
      </w:r>
      <w:r w:rsidRPr="00EA54DA">
        <w:t xml:space="preserve">slutsatserna välkomnas färdplanen för ett resurseffektivt Europa som en viktig del av flaggskeppsinitiativet inom EU2020-strategin och som syftar till att integrera resurseffektivitet inom olika politikområden liksom att uppnå en konkurrenskraftig, resurseffektiv och koldioxidsnål ekonomi inom EU. </w:t>
      </w:r>
    </w:p>
    <w:p w:rsidR="00922DDF" w:rsidRPr="00EA54DA" w:rsidRDefault="00922DDF" w:rsidP="00922DDF">
      <w:pPr>
        <w:tabs>
          <w:tab w:val="left" w:pos="709"/>
        </w:tabs>
        <w:spacing w:line="240" w:lineRule="auto"/>
      </w:pPr>
    </w:p>
    <w:p w:rsidR="00922DDF" w:rsidRPr="00EA54DA" w:rsidRDefault="00922DDF" w:rsidP="004D608B">
      <w:pPr>
        <w:pStyle w:val="RKnormal"/>
      </w:pPr>
      <w:r w:rsidRPr="00EA54DA">
        <w:t>Råd</w:t>
      </w:r>
      <w:r w:rsidR="00790C68" w:rsidRPr="00EA54DA">
        <w:t>s</w:t>
      </w:r>
      <w:r w:rsidRPr="00EA54DA">
        <w:t xml:space="preserve">slutsatserna är övergripande och kommer att ligga till grund för det fortsatta arbetet med färdplanen för ett resurseffektivt Europa. </w:t>
      </w:r>
      <w:r w:rsidR="00211C5F" w:rsidRPr="00EA54DA">
        <w:t xml:space="preserve">Inför </w:t>
      </w:r>
      <w:r w:rsidR="004D608B" w:rsidRPr="00EA54DA">
        <w:t>rådsmötet finns inga utestående frågor.</w:t>
      </w:r>
    </w:p>
    <w:p w:rsidR="00922DDF" w:rsidRPr="00EA54DA" w:rsidRDefault="00922DDF" w:rsidP="00922DDF">
      <w:pPr>
        <w:tabs>
          <w:tab w:val="left" w:pos="709"/>
        </w:tabs>
        <w:spacing w:line="240" w:lineRule="auto"/>
      </w:pPr>
    </w:p>
    <w:p w:rsidR="00922DDF" w:rsidRPr="00EA54DA" w:rsidRDefault="00922DDF" w:rsidP="00922DDF">
      <w:pPr>
        <w:pStyle w:val="RKnormal"/>
        <w:rPr>
          <w:i/>
          <w:iCs/>
          <w:color w:val="000000"/>
        </w:rPr>
      </w:pPr>
      <w:r w:rsidRPr="00EA54DA">
        <w:rPr>
          <w:i/>
          <w:iCs/>
          <w:color w:val="000000"/>
        </w:rPr>
        <w:t>Förslag till svensk ståndpunkt</w:t>
      </w:r>
    </w:p>
    <w:p w:rsidR="00922DDF" w:rsidRPr="00EA54DA" w:rsidRDefault="00922DDF" w:rsidP="00922DDF">
      <w:pPr>
        <w:pStyle w:val="RKnormal"/>
      </w:pPr>
      <w:r w:rsidRPr="00EA54DA">
        <w:t>Regeringen stödjer förslaget till övergripande råd</w:t>
      </w:r>
      <w:r w:rsidR="00790C68" w:rsidRPr="00EA54DA">
        <w:t>s</w:t>
      </w:r>
      <w:r w:rsidRPr="00EA54DA">
        <w:t>slutsatser även om mer konkreta slutsatser hade varit att föredra. Regeringen ser slutsatserna som en utgångspunkt för det fortsatta arbetet inom EU med färdplanen för ett resurseffektivt Europa.</w:t>
      </w:r>
    </w:p>
    <w:p w:rsidR="00922DDF" w:rsidRPr="00EA54DA" w:rsidRDefault="00922DDF" w:rsidP="00922DDF">
      <w:pPr>
        <w:pStyle w:val="RKnormal"/>
      </w:pPr>
    </w:p>
    <w:p w:rsidR="00922DDF" w:rsidRPr="00EA54DA" w:rsidRDefault="00922DDF" w:rsidP="00922DDF">
      <w:pPr>
        <w:pStyle w:val="RKnormal"/>
      </w:pPr>
      <w:r w:rsidRPr="00EA54DA">
        <w:t xml:space="preserve">Regeringen har förespråkat att </w:t>
      </w:r>
      <w:r w:rsidR="005F3F62" w:rsidRPr="00EA54DA">
        <w:t xml:space="preserve">nedan </w:t>
      </w:r>
      <w:r w:rsidRPr="00EA54DA">
        <w:t>områden ska lyftas som särskilt prioriterade i råd</w:t>
      </w:r>
      <w:r w:rsidR="00790C68" w:rsidRPr="00EA54DA">
        <w:t>s</w:t>
      </w:r>
      <w:r w:rsidRPr="00EA54DA">
        <w:t>slutsatserna</w:t>
      </w:r>
      <w:r w:rsidR="005F3F62" w:rsidRPr="00EA54DA">
        <w:t xml:space="preserve">. De </w:t>
      </w:r>
      <w:r w:rsidR="004D6C09" w:rsidRPr="00EA54DA">
        <w:t xml:space="preserve">flesta </w:t>
      </w:r>
      <w:r w:rsidR="005F3F62" w:rsidRPr="00EA54DA">
        <w:t xml:space="preserve">av dessa </w:t>
      </w:r>
      <w:r w:rsidR="004D6C09" w:rsidRPr="00EA54DA">
        <w:t>finns med på ett övergripande plan i slutsatserna</w:t>
      </w:r>
      <w:r w:rsidRPr="00EA54DA">
        <w:t xml:space="preserve">: </w:t>
      </w:r>
    </w:p>
    <w:p w:rsidR="00922DDF" w:rsidRPr="00EA54DA" w:rsidRDefault="00922DDF" w:rsidP="00922DDF">
      <w:pPr>
        <w:pStyle w:val="RKnormal"/>
      </w:pPr>
      <w:r w:rsidRPr="00EA54DA">
        <w:t>1. Marknadsbaserade instrument, utfasning av miljöskadliga subventioner och utbyte av kunskap och åtgärder på både utbuds- och efterfrågesidan,</w:t>
      </w:r>
    </w:p>
    <w:p w:rsidR="00922DDF" w:rsidRPr="00EA54DA" w:rsidRDefault="00922DDF" w:rsidP="00922DDF">
      <w:pPr>
        <w:pStyle w:val="RKnormal"/>
      </w:pPr>
      <w:r w:rsidRPr="00EA54DA">
        <w:t xml:space="preserve">2. Behovet av förändrade konsumtionsmönster, </w:t>
      </w:r>
    </w:p>
    <w:p w:rsidR="00922DDF" w:rsidRPr="00EA54DA" w:rsidRDefault="00922DDF" w:rsidP="00922DDF">
      <w:pPr>
        <w:pStyle w:val="RKnormal"/>
      </w:pPr>
      <w:r w:rsidRPr="00EA54DA">
        <w:t>3. Ytterligare åtgärder för innovation och teknikutveckling,</w:t>
      </w:r>
    </w:p>
    <w:p w:rsidR="00922DDF" w:rsidRPr="00EA54DA" w:rsidRDefault="00922DDF" w:rsidP="00922DDF">
      <w:pPr>
        <w:pStyle w:val="RKnormal"/>
      </w:pPr>
      <w:r w:rsidRPr="00EA54DA">
        <w:t>4. Utveckling av livscykeldata,</w:t>
      </w:r>
    </w:p>
    <w:p w:rsidR="00922DDF" w:rsidRPr="00EA54DA" w:rsidRDefault="00922DDF" w:rsidP="00922DDF">
      <w:pPr>
        <w:pStyle w:val="RKnormal"/>
      </w:pPr>
      <w:r w:rsidRPr="00EA54DA">
        <w:t xml:space="preserve">5. Förebyggande av farliga ämnen i kretsloppet och  </w:t>
      </w:r>
    </w:p>
    <w:p w:rsidR="00922DDF" w:rsidRPr="00EA54DA" w:rsidRDefault="00922DDF" w:rsidP="00922DDF">
      <w:pPr>
        <w:pStyle w:val="RKnormal"/>
      </w:pPr>
      <w:r w:rsidRPr="00EA54DA">
        <w:t xml:space="preserve">6. Samordnade insatser mellan olika politikområden. </w:t>
      </w:r>
    </w:p>
    <w:p w:rsidR="00DE788E" w:rsidRPr="00EA54DA" w:rsidRDefault="00DE788E" w:rsidP="00922DDF">
      <w:pPr>
        <w:pStyle w:val="RKnormal"/>
      </w:pPr>
    </w:p>
    <w:p w:rsidR="00922DDF" w:rsidRPr="00EA54DA" w:rsidRDefault="00922DDF" w:rsidP="00922DDF">
      <w:pPr>
        <w:pStyle w:val="RKnormal"/>
      </w:pPr>
      <w:r w:rsidRPr="00EA54DA">
        <w:t>Vidare har regeringen verkat för en koppling till årliga tillväxtrapporten samt det nationella reformprogrammet</w:t>
      </w:r>
    </w:p>
    <w:p w:rsidR="00925C33" w:rsidRPr="00EA54DA" w:rsidRDefault="00925C33" w:rsidP="00703584">
      <w:pPr>
        <w:pStyle w:val="RKnormal"/>
        <w:rPr>
          <w:i/>
          <w:color w:val="000000"/>
        </w:rPr>
      </w:pPr>
    </w:p>
    <w:p w:rsidR="00703584" w:rsidRPr="00EA54DA" w:rsidRDefault="00B350DF" w:rsidP="00703584">
      <w:pPr>
        <w:pStyle w:val="RKnormal"/>
        <w:rPr>
          <w:i/>
          <w:color w:val="000000"/>
        </w:rPr>
      </w:pPr>
      <w:r w:rsidRPr="00EA54DA">
        <w:rPr>
          <w:i/>
          <w:color w:val="000000"/>
        </w:rPr>
        <w:t xml:space="preserve">Meddelandet om färdplanen för ett resurseffektivt Europa </w:t>
      </w:r>
      <w:r w:rsidR="00703584" w:rsidRPr="00EA54DA">
        <w:rPr>
          <w:i/>
          <w:color w:val="000000"/>
        </w:rPr>
        <w:t xml:space="preserve">har </w:t>
      </w:r>
      <w:r w:rsidRPr="00EA54DA">
        <w:rPr>
          <w:i/>
          <w:color w:val="000000"/>
        </w:rPr>
        <w:t>tidigare behandlats</w:t>
      </w:r>
      <w:r w:rsidR="00922DDF" w:rsidRPr="00EA54DA">
        <w:rPr>
          <w:i/>
          <w:color w:val="000000"/>
        </w:rPr>
        <w:t xml:space="preserve"> i</w:t>
      </w:r>
      <w:r w:rsidR="00703584" w:rsidRPr="00EA54DA">
        <w:rPr>
          <w:i/>
          <w:color w:val="000000"/>
        </w:rPr>
        <w:t xml:space="preserve"> EU-nämnden</w:t>
      </w:r>
      <w:r w:rsidR="00922DDF" w:rsidRPr="00EA54DA">
        <w:rPr>
          <w:i/>
          <w:color w:val="000000"/>
        </w:rPr>
        <w:t xml:space="preserve"> den 7 oktober </w:t>
      </w:r>
      <w:r w:rsidR="00790C68" w:rsidRPr="00EA54DA">
        <w:rPr>
          <w:i/>
          <w:color w:val="000000"/>
        </w:rPr>
        <w:t xml:space="preserve">2011 </w:t>
      </w:r>
      <w:r w:rsidR="00922DDF" w:rsidRPr="00EA54DA">
        <w:rPr>
          <w:i/>
          <w:color w:val="000000"/>
        </w:rPr>
        <w:t>samt varit föremål för överläggning i Miljö- och jordbruksutskottet den 17 novembe</w:t>
      </w:r>
      <w:r w:rsidR="00456CEB" w:rsidRPr="00EA54DA">
        <w:rPr>
          <w:i/>
          <w:color w:val="000000"/>
        </w:rPr>
        <w:t>r</w:t>
      </w:r>
      <w:r w:rsidR="00922DDF" w:rsidRPr="00EA54DA">
        <w:rPr>
          <w:i/>
          <w:color w:val="000000"/>
        </w:rPr>
        <w:t xml:space="preserve"> 2011.</w:t>
      </w:r>
      <w:r w:rsidR="00703584" w:rsidRPr="00EA54DA">
        <w:rPr>
          <w:i/>
          <w:color w:val="000000"/>
        </w:rPr>
        <w:t xml:space="preserve">   </w:t>
      </w:r>
    </w:p>
    <w:p w:rsidR="00703584" w:rsidRPr="00EA54DA" w:rsidRDefault="00703584" w:rsidP="00703584">
      <w:pPr>
        <w:pStyle w:val="RKnormal"/>
        <w:rPr>
          <w:i/>
          <w:color w:val="000000"/>
        </w:rPr>
      </w:pPr>
    </w:p>
    <w:p w:rsidR="00703584" w:rsidRPr="00EA54DA" w:rsidRDefault="00703584" w:rsidP="00703584">
      <w:pPr>
        <w:pStyle w:val="RKnormal"/>
        <w:rPr>
          <w:i/>
        </w:rPr>
      </w:pPr>
      <w:r w:rsidRPr="00EA54DA">
        <w:rPr>
          <w:i/>
          <w:color w:val="000000"/>
        </w:rPr>
        <w:t xml:space="preserve">Se bilaga </w:t>
      </w:r>
      <w:r w:rsidR="00922DDF" w:rsidRPr="00EA54DA">
        <w:rPr>
          <w:i/>
          <w:color w:val="000000"/>
        </w:rPr>
        <w:t>5</w:t>
      </w:r>
      <w:r w:rsidRPr="00EA54DA">
        <w:rPr>
          <w:i/>
          <w:color w:val="000000"/>
        </w:rPr>
        <w:t xml:space="preserve">. </w:t>
      </w:r>
    </w:p>
    <w:p w:rsidR="00182B87" w:rsidRPr="00EA54DA" w:rsidRDefault="00182B87">
      <w:pPr>
        <w:pStyle w:val="RKnormal"/>
      </w:pPr>
    </w:p>
    <w:p w:rsidR="00AF12FC" w:rsidRPr="00EA54DA" w:rsidRDefault="00AF12FC">
      <w:pPr>
        <w:pStyle w:val="RKnormal"/>
      </w:pPr>
    </w:p>
    <w:p w:rsidR="00570535" w:rsidRPr="00EA54DA" w:rsidRDefault="008D4C4F" w:rsidP="00570535">
      <w:pPr>
        <w:spacing w:line="240" w:lineRule="auto"/>
        <w:ind w:left="567" w:hanging="567"/>
        <w:rPr>
          <w:rFonts w:ascii="TradeGothic" w:hAnsi="TradeGothic"/>
          <w:b/>
          <w:sz w:val="22"/>
          <w:szCs w:val="22"/>
        </w:rPr>
      </w:pPr>
      <w:r w:rsidRPr="00EA54DA">
        <w:rPr>
          <w:rFonts w:ascii="TradeGothic" w:hAnsi="TradeGothic"/>
          <w:b/>
          <w:sz w:val="22"/>
          <w:szCs w:val="22"/>
        </w:rPr>
        <w:t>9</w:t>
      </w:r>
      <w:r w:rsidR="00182B87" w:rsidRPr="00EA54DA">
        <w:rPr>
          <w:rFonts w:ascii="TradeGothic" w:hAnsi="TradeGothic"/>
          <w:b/>
          <w:sz w:val="22"/>
          <w:szCs w:val="22"/>
        </w:rPr>
        <w:t>.</w:t>
      </w:r>
      <w:r w:rsidR="00182B87" w:rsidRPr="00EA54DA">
        <w:rPr>
          <w:rFonts w:ascii="TradeGothic" w:hAnsi="TradeGothic"/>
          <w:b/>
          <w:sz w:val="22"/>
          <w:szCs w:val="22"/>
        </w:rPr>
        <w:tab/>
      </w:r>
      <w:r w:rsidR="00570535" w:rsidRPr="00EA54DA">
        <w:rPr>
          <w:rFonts w:ascii="TradeGothic" w:hAnsi="TradeGothic"/>
          <w:b/>
          <w:sz w:val="22"/>
          <w:szCs w:val="22"/>
        </w:rPr>
        <w:t xml:space="preserve">Resultat av den 17:e sessionen i partskonferensen (COP 17) för FN:s ramkonvention om klimatförändringar (UNFCCC) och den 7:e sessionen i partsmötet för Kyotoprotokollet </w:t>
      </w:r>
      <w:r w:rsidR="00570535" w:rsidRPr="00EA54DA">
        <w:rPr>
          <w:rFonts w:ascii="TradeGothic" w:hAnsi="TradeGothic"/>
          <w:b/>
          <w:sz w:val="22"/>
          <w:szCs w:val="22"/>
        </w:rPr>
        <w:br/>
        <w:t>(CMP 7) (Durban den 28 november–9 december 2011)</w:t>
      </w:r>
    </w:p>
    <w:p w:rsidR="00570535" w:rsidRPr="00EA54DA" w:rsidRDefault="00570535" w:rsidP="00570535">
      <w:pPr>
        <w:spacing w:line="240" w:lineRule="auto"/>
        <w:ind w:left="567"/>
        <w:rPr>
          <w:rFonts w:ascii="TradeGothic" w:hAnsi="TradeGothic"/>
          <w:i/>
          <w:sz w:val="22"/>
          <w:szCs w:val="22"/>
        </w:rPr>
      </w:pPr>
      <w:r w:rsidRPr="00EA54DA">
        <w:rPr>
          <w:rFonts w:ascii="TradeGothic" w:hAnsi="TradeGothic"/>
          <w:i/>
          <w:sz w:val="22"/>
          <w:szCs w:val="22"/>
        </w:rPr>
        <w:tab/>
        <w:t>–</w:t>
      </w:r>
      <w:r w:rsidRPr="00EA54DA">
        <w:rPr>
          <w:rFonts w:ascii="TradeGothic" w:hAnsi="TradeGothic"/>
          <w:i/>
          <w:sz w:val="22"/>
          <w:szCs w:val="22"/>
        </w:rPr>
        <w:tab/>
        <w:t>Diskussion</w:t>
      </w:r>
    </w:p>
    <w:p w:rsidR="004C601A" w:rsidRPr="00EA54DA" w:rsidRDefault="004C601A" w:rsidP="004C601A">
      <w:pPr>
        <w:tabs>
          <w:tab w:val="left" w:pos="1134"/>
        </w:tabs>
        <w:overflowPunct/>
        <w:spacing w:before="240" w:line="240" w:lineRule="auto"/>
        <w:textAlignment w:val="auto"/>
        <w:rPr>
          <w:rFonts w:cs="OrigGarmnd BT"/>
          <w:i/>
          <w:iCs/>
          <w:color w:val="000000"/>
          <w:szCs w:val="24"/>
          <w:lang w:eastAsia="sv-SE"/>
        </w:rPr>
      </w:pPr>
      <w:r w:rsidRPr="00EA54DA">
        <w:rPr>
          <w:rFonts w:cs="OrigGarmnd BT"/>
          <w:i/>
          <w:iCs/>
          <w:color w:val="000000"/>
          <w:szCs w:val="24"/>
          <w:lang w:eastAsia="sv-SE"/>
        </w:rPr>
        <w:t>Avsikten med behandlingen i rådet</w:t>
      </w:r>
    </w:p>
    <w:p w:rsidR="004C601A" w:rsidRPr="00EA54DA" w:rsidRDefault="004C601A" w:rsidP="004C601A">
      <w:pPr>
        <w:tabs>
          <w:tab w:val="left" w:pos="2835"/>
        </w:tabs>
        <w:overflowPunct/>
        <w:spacing w:line="240" w:lineRule="auto"/>
        <w:textAlignment w:val="auto"/>
        <w:rPr>
          <w:rFonts w:cs="OrigGarmnd BT"/>
          <w:color w:val="000000"/>
          <w:szCs w:val="24"/>
          <w:lang w:eastAsia="sv-SE"/>
        </w:rPr>
      </w:pPr>
      <w:r w:rsidRPr="00EA54DA">
        <w:rPr>
          <w:rFonts w:cs="OrigGarmnd BT"/>
          <w:color w:val="000000"/>
          <w:szCs w:val="24"/>
          <w:lang w:eastAsia="sv-SE"/>
        </w:rPr>
        <w:t xml:space="preserve">Diskussion av resultatet av det sjuttonde partsmötet under FN:s klimatkonvention UNFCCC och det sjunde partsmötet under Kyotoprotokollet i Durban. </w:t>
      </w:r>
    </w:p>
    <w:p w:rsidR="004C601A" w:rsidRPr="00EA54DA" w:rsidRDefault="004C601A" w:rsidP="004C601A">
      <w:pPr>
        <w:keepNext/>
        <w:tabs>
          <w:tab w:val="left" w:pos="1134"/>
        </w:tabs>
        <w:overflowPunct/>
        <w:spacing w:before="240" w:line="240" w:lineRule="auto"/>
        <w:textAlignment w:val="auto"/>
        <w:rPr>
          <w:rFonts w:cs="OrigGarmnd BT"/>
          <w:i/>
          <w:iCs/>
          <w:color w:val="000000"/>
          <w:szCs w:val="24"/>
          <w:lang w:eastAsia="sv-SE"/>
        </w:rPr>
      </w:pPr>
      <w:r w:rsidRPr="00EA54DA">
        <w:rPr>
          <w:rFonts w:cs="OrigGarmnd BT"/>
          <w:i/>
          <w:iCs/>
          <w:color w:val="000000"/>
          <w:szCs w:val="24"/>
          <w:lang w:eastAsia="sv-SE"/>
        </w:rPr>
        <w:t>Bakgrund</w:t>
      </w:r>
    </w:p>
    <w:p w:rsidR="004C601A" w:rsidRPr="00EA54DA" w:rsidRDefault="004C601A" w:rsidP="004C601A">
      <w:pPr>
        <w:tabs>
          <w:tab w:val="left" w:pos="2835"/>
        </w:tabs>
        <w:overflowPunct/>
        <w:spacing w:line="240" w:lineRule="auto"/>
        <w:textAlignment w:val="auto"/>
        <w:rPr>
          <w:rFonts w:cs="OrigGarmnd BT"/>
          <w:color w:val="000000"/>
          <w:szCs w:val="24"/>
          <w:lang w:eastAsia="sv-SE"/>
        </w:rPr>
      </w:pPr>
      <w:r w:rsidRPr="00EA54DA">
        <w:rPr>
          <w:rFonts w:cs="OrigGarmnd BT"/>
          <w:color w:val="000000"/>
          <w:szCs w:val="24"/>
          <w:lang w:eastAsia="sv-SE"/>
        </w:rPr>
        <w:t>Den sjuttonde partskonferensen inom klimatkonventionen (UNFCCC) respektive det sjunde partsmötet inom Kyotoprotokollet ä</w:t>
      </w:r>
      <w:r w:rsidR="006C760F" w:rsidRPr="00EA54DA">
        <w:rPr>
          <w:rFonts w:cs="OrigGarmnd BT"/>
          <w:color w:val="000000"/>
          <w:szCs w:val="24"/>
          <w:lang w:eastAsia="sv-SE"/>
        </w:rPr>
        <w:t>g</w:t>
      </w:r>
      <w:r w:rsidRPr="00EA54DA">
        <w:rPr>
          <w:rFonts w:cs="OrigGarmnd BT"/>
          <w:color w:val="000000"/>
          <w:szCs w:val="24"/>
          <w:lang w:eastAsia="sv-SE"/>
        </w:rPr>
        <w:t>e</w:t>
      </w:r>
      <w:r w:rsidR="006C760F" w:rsidRPr="00EA54DA">
        <w:rPr>
          <w:rFonts w:cs="OrigGarmnd BT"/>
          <w:color w:val="000000"/>
          <w:szCs w:val="24"/>
          <w:lang w:eastAsia="sv-SE"/>
        </w:rPr>
        <w:t>r</w:t>
      </w:r>
      <w:r w:rsidRPr="00EA54DA">
        <w:rPr>
          <w:rFonts w:cs="OrigGarmnd BT"/>
          <w:color w:val="000000"/>
          <w:szCs w:val="24"/>
          <w:lang w:eastAsia="sv-SE"/>
        </w:rPr>
        <w:t xml:space="preserve"> rum i Durban, Sydafrika, den 28 november – 9 december 2011. De beslut som f</w:t>
      </w:r>
      <w:r w:rsidR="006C760F" w:rsidRPr="00EA54DA">
        <w:rPr>
          <w:rFonts w:cs="OrigGarmnd BT"/>
          <w:color w:val="000000"/>
          <w:szCs w:val="24"/>
          <w:lang w:eastAsia="sv-SE"/>
        </w:rPr>
        <w:t>atta</w:t>
      </w:r>
      <w:r w:rsidRPr="00EA54DA">
        <w:rPr>
          <w:rFonts w:cs="OrigGarmnd BT"/>
          <w:color w:val="000000"/>
          <w:szCs w:val="24"/>
          <w:lang w:eastAsia="sv-SE"/>
        </w:rPr>
        <w:t xml:space="preserve">s i Durban kommer </w:t>
      </w:r>
      <w:r w:rsidR="00AC376E" w:rsidRPr="00EA54DA">
        <w:rPr>
          <w:rFonts w:cs="OrigGarmnd BT"/>
          <w:color w:val="000000"/>
          <w:szCs w:val="24"/>
          <w:lang w:eastAsia="sv-SE"/>
        </w:rPr>
        <w:t xml:space="preserve">att </w:t>
      </w:r>
      <w:r w:rsidRPr="00EA54DA">
        <w:rPr>
          <w:rFonts w:cs="OrigGarmnd BT"/>
          <w:color w:val="000000"/>
          <w:szCs w:val="24"/>
          <w:lang w:eastAsia="sv-SE"/>
        </w:rPr>
        <w:t xml:space="preserve">ha betydelse för hur EU ska kunna utveckla sin ledande position i de internationella klimatförhandlingarna under 2012. En första diskussion om vägen framåt hålls vid miljörådet den 19 december. </w:t>
      </w:r>
    </w:p>
    <w:p w:rsidR="004C601A" w:rsidRPr="00EA54DA" w:rsidRDefault="004C601A" w:rsidP="004C601A">
      <w:pPr>
        <w:keepNext/>
        <w:tabs>
          <w:tab w:val="left" w:pos="1134"/>
        </w:tabs>
        <w:overflowPunct/>
        <w:spacing w:before="240" w:line="240" w:lineRule="auto"/>
        <w:textAlignment w:val="auto"/>
        <w:rPr>
          <w:rFonts w:cs="OrigGarmnd BT"/>
          <w:i/>
          <w:iCs/>
          <w:color w:val="000000"/>
          <w:szCs w:val="24"/>
          <w:lang w:eastAsia="sv-SE"/>
        </w:rPr>
      </w:pPr>
      <w:r w:rsidRPr="00EA54DA">
        <w:rPr>
          <w:rFonts w:cs="OrigGarmnd BT"/>
          <w:i/>
          <w:iCs/>
          <w:color w:val="000000"/>
          <w:szCs w:val="24"/>
          <w:lang w:eastAsia="sv-SE"/>
        </w:rPr>
        <w:t>Förslag till svensk ståndpunkt</w:t>
      </w:r>
    </w:p>
    <w:p w:rsidR="004C601A" w:rsidRPr="00EA54DA" w:rsidRDefault="004C601A" w:rsidP="004C601A">
      <w:pPr>
        <w:tabs>
          <w:tab w:val="left" w:pos="2835"/>
        </w:tabs>
        <w:overflowPunct/>
        <w:spacing w:line="240" w:lineRule="auto"/>
        <w:textAlignment w:val="auto"/>
        <w:rPr>
          <w:rFonts w:cs="OrigGarmnd BT"/>
          <w:color w:val="000000"/>
          <w:szCs w:val="24"/>
          <w:lang w:eastAsia="sv-SE"/>
        </w:rPr>
      </w:pPr>
      <w:r w:rsidRPr="00EA54DA">
        <w:rPr>
          <w:rFonts w:cs="OrigGarmnd BT"/>
          <w:color w:val="000000"/>
          <w:szCs w:val="24"/>
          <w:lang w:eastAsia="sv-SE"/>
        </w:rPr>
        <w:t>Sverige vill se att EU fortsatt aktivt arbetar för utvecklingen av ett övergripande rättsligt bindande ramverk som inkluderar alla länder utifrån deras respektive förmåga och kapacitet. Detta ramverk bör utformas så att målet att hålla temperaturökningen under två grader kan nås med god marginal. Med beaktande av besluten i Durban kommer Sverige verka för att ett sådant ramverk kommer på plats så snabbt som möjligt.</w:t>
      </w:r>
    </w:p>
    <w:p w:rsidR="004C601A" w:rsidRPr="00EA54DA" w:rsidRDefault="004C601A" w:rsidP="004C601A">
      <w:pPr>
        <w:tabs>
          <w:tab w:val="left" w:pos="2835"/>
        </w:tabs>
        <w:overflowPunct/>
        <w:spacing w:line="240" w:lineRule="auto"/>
        <w:ind w:left="360"/>
        <w:textAlignment w:val="auto"/>
        <w:rPr>
          <w:rFonts w:cs="OrigGarmnd BT"/>
          <w:color w:val="000000"/>
          <w:szCs w:val="24"/>
          <w:lang w:eastAsia="sv-SE"/>
        </w:rPr>
      </w:pPr>
    </w:p>
    <w:p w:rsidR="00211C5F" w:rsidRPr="00EA54DA" w:rsidRDefault="004C601A" w:rsidP="004C601A">
      <w:pPr>
        <w:tabs>
          <w:tab w:val="left" w:pos="2835"/>
        </w:tabs>
        <w:rPr>
          <w:rFonts w:cs="OrigGarmnd BT"/>
          <w:i/>
          <w:iCs/>
          <w:color w:val="000000"/>
        </w:rPr>
      </w:pPr>
      <w:r w:rsidRPr="00EA54DA">
        <w:rPr>
          <w:rFonts w:cs="OrigGarmnd BT"/>
          <w:i/>
          <w:iCs/>
          <w:color w:val="000000"/>
          <w:szCs w:val="24"/>
          <w:lang w:eastAsia="sv-SE"/>
        </w:rPr>
        <w:t>Förslaget till förhandlingsmandat för EU inför COP 17 i Durban har tidigare behandlats i EU-nämnden den 7 oktober 2011</w:t>
      </w:r>
    </w:p>
    <w:p w:rsidR="00E97C0A" w:rsidRPr="00EA54DA" w:rsidRDefault="00E97C0A" w:rsidP="00E97C0A">
      <w:pPr>
        <w:pStyle w:val="RKrubrik"/>
      </w:pPr>
      <w:r w:rsidRPr="00EA54DA">
        <w:t>10.</w:t>
      </w:r>
      <w:r w:rsidRPr="00EA54DA">
        <w:tab/>
        <w:t xml:space="preserve">Övriga frågor  </w:t>
      </w:r>
    </w:p>
    <w:p w:rsidR="00E97C0A" w:rsidRPr="00EA54DA" w:rsidRDefault="00E97C0A" w:rsidP="00E97C0A">
      <w:pPr>
        <w:pStyle w:val="RKnormal"/>
      </w:pPr>
    </w:p>
    <w:p w:rsidR="00E97C0A" w:rsidRPr="00EA54DA" w:rsidRDefault="00E97C0A" w:rsidP="00E97C0A">
      <w:pPr>
        <w:tabs>
          <w:tab w:val="left" w:pos="567"/>
        </w:tabs>
        <w:spacing w:line="240" w:lineRule="auto"/>
        <w:ind w:left="1134" w:hanging="1134"/>
        <w:rPr>
          <w:rFonts w:ascii="TradeGothic" w:hAnsi="TradeGothic"/>
          <w:b/>
          <w:sz w:val="22"/>
          <w:szCs w:val="22"/>
        </w:rPr>
      </w:pPr>
      <w:r w:rsidRPr="00EA54DA">
        <w:rPr>
          <w:rFonts w:ascii="TradeGothic" w:hAnsi="TradeGothic"/>
          <w:b/>
          <w:sz w:val="22"/>
          <w:szCs w:val="22"/>
        </w:rPr>
        <w:t>a)</w:t>
      </w:r>
      <w:r w:rsidRPr="00EA54DA">
        <w:rPr>
          <w:rFonts w:ascii="TradeGothic" w:hAnsi="TradeGothic"/>
          <w:sz w:val="22"/>
          <w:szCs w:val="22"/>
        </w:rPr>
        <w:tab/>
      </w:r>
      <w:r w:rsidRPr="00EA54DA">
        <w:rPr>
          <w:rFonts w:ascii="TradeGothic" w:hAnsi="TradeGothic"/>
          <w:sz w:val="22"/>
          <w:szCs w:val="22"/>
        </w:rPr>
        <w:tab/>
      </w:r>
      <w:r w:rsidRPr="00EA54DA">
        <w:rPr>
          <w:rFonts w:ascii="TradeGothic" w:hAnsi="TradeGothic"/>
          <w:b/>
          <w:sz w:val="22"/>
          <w:szCs w:val="22"/>
        </w:rPr>
        <w:t>Resultatet av den tionde konferensen mellan parterna i konventionen om skydd av flyttande vilda djur (Bergen, Norge, den 20–25 november 2011)</w:t>
      </w:r>
    </w:p>
    <w:p w:rsidR="00E97C0A" w:rsidRPr="00EA54DA" w:rsidRDefault="00E97C0A" w:rsidP="00E97C0A">
      <w:pPr>
        <w:spacing w:line="240" w:lineRule="auto"/>
        <w:ind w:left="1134"/>
        <w:rPr>
          <w:rFonts w:ascii="TradeGothic" w:hAnsi="TradeGothic"/>
          <w:i/>
          <w:color w:val="000000"/>
          <w:sz w:val="22"/>
          <w:szCs w:val="22"/>
        </w:rPr>
      </w:pPr>
      <w:r w:rsidRPr="00EA54DA">
        <w:rPr>
          <w:rFonts w:ascii="TradeGothic" w:hAnsi="TradeGothic"/>
          <w:i/>
          <w:sz w:val="22"/>
          <w:szCs w:val="22"/>
        </w:rPr>
        <w:t>–</w:t>
      </w:r>
      <w:r w:rsidRPr="00EA54DA">
        <w:rPr>
          <w:rFonts w:ascii="TradeGothic" w:hAnsi="TradeGothic"/>
          <w:i/>
          <w:sz w:val="22"/>
          <w:szCs w:val="22"/>
        </w:rPr>
        <w:tab/>
        <w:t xml:space="preserve">Rapport </w:t>
      </w:r>
      <w:r w:rsidRPr="00EA54DA">
        <w:rPr>
          <w:rFonts w:ascii="TradeGothic" w:hAnsi="TradeGothic"/>
          <w:i/>
          <w:color w:val="000000"/>
          <w:sz w:val="22"/>
          <w:szCs w:val="22"/>
        </w:rPr>
        <w:t>från ordförandeskapet och kommissionen</w:t>
      </w:r>
    </w:p>
    <w:p w:rsidR="00E97C0A" w:rsidRPr="00EA54DA" w:rsidRDefault="00E97C0A" w:rsidP="00E97C0A">
      <w:pPr>
        <w:spacing w:line="240" w:lineRule="auto"/>
        <w:ind w:left="1134"/>
        <w:rPr>
          <w:rFonts w:ascii="TradeGothic" w:hAnsi="TradeGothic"/>
          <w:i/>
          <w:color w:val="000000"/>
          <w:sz w:val="22"/>
          <w:szCs w:val="22"/>
        </w:rPr>
      </w:pPr>
    </w:p>
    <w:p w:rsidR="00E97C0A" w:rsidRPr="00EA54DA" w:rsidRDefault="00E97C0A" w:rsidP="00E97C0A">
      <w:pPr>
        <w:overflowPunct/>
        <w:spacing w:line="240" w:lineRule="auto"/>
        <w:textAlignment w:val="auto"/>
        <w:rPr>
          <w:rFonts w:cs="Arial"/>
          <w:color w:val="000000"/>
          <w:szCs w:val="24"/>
          <w:lang w:eastAsia="sv-SE"/>
        </w:rPr>
      </w:pPr>
      <w:r w:rsidRPr="00EA54DA">
        <w:t xml:space="preserve">I november 2011 hölls den tionde partskonferensen för konventionen om skydd av flyttande vilda djur (Convention on the Conservation of Migratory Species of Wild Animals, CMS-konventionen). </w:t>
      </w:r>
      <w:r w:rsidRPr="00EA54DA">
        <w:rPr>
          <w:rFonts w:cs="Helv"/>
          <w:color w:val="000000"/>
          <w:szCs w:val="24"/>
          <w:lang w:eastAsia="sv-SE"/>
        </w:rPr>
        <w:t xml:space="preserve">Vid mötet antogs flera resolutioner, de flesta efter revidering i linje med EU:s synpunkter. Flera förslag om att lista nya arter på bilagorna till konventionen antogs liksom en resolution </w:t>
      </w:r>
      <w:r w:rsidRPr="00EA54DA">
        <w:rPr>
          <w:rFonts w:cs="Arial"/>
          <w:color w:val="000000"/>
          <w:szCs w:val="24"/>
          <w:lang w:eastAsia="sv-SE"/>
        </w:rPr>
        <w:t xml:space="preserve">för ökat bevarandearbete avseende flera hotade arter av sötvattensfiskar. </w:t>
      </w:r>
    </w:p>
    <w:p w:rsidR="00E97C0A" w:rsidRPr="00EA54DA" w:rsidRDefault="00E97C0A" w:rsidP="00E97C0A">
      <w:pPr>
        <w:spacing w:line="240" w:lineRule="auto"/>
        <w:rPr>
          <w:rFonts w:ascii="Arial" w:hAnsi="Arial" w:cs="Arial"/>
          <w:color w:val="003366"/>
          <w:sz w:val="18"/>
          <w:szCs w:val="18"/>
        </w:rPr>
      </w:pPr>
    </w:p>
    <w:p w:rsidR="00E97C0A" w:rsidRPr="00EA54DA" w:rsidRDefault="00E97C0A" w:rsidP="00E97C0A">
      <w:pPr>
        <w:spacing w:line="240" w:lineRule="auto"/>
        <w:rPr>
          <w:rFonts w:ascii="TradeGothic" w:hAnsi="TradeGothic"/>
          <w:i/>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b)</w:t>
      </w:r>
      <w:r w:rsidRPr="00EA54DA">
        <w:rPr>
          <w:rFonts w:ascii="TradeGothic" w:hAnsi="TradeGothic"/>
          <w:b/>
          <w:sz w:val="22"/>
          <w:szCs w:val="22"/>
        </w:rPr>
        <w:tab/>
        <w:t xml:space="preserve">Resultatet av det tredje mötet </w:t>
      </w:r>
      <w:r w:rsidRPr="00EA54DA">
        <w:rPr>
          <w:rFonts w:ascii="TradeGothic" w:hAnsi="TradeGothic"/>
          <w:b/>
          <w:color w:val="000000"/>
          <w:sz w:val="22"/>
          <w:szCs w:val="22"/>
        </w:rPr>
        <w:t xml:space="preserve">i den mellanstatliga förhandlingskommitté som ska förbereda ett globalt rättsligt bindande instrument avseende kvicksilver </w:t>
      </w:r>
      <w:r w:rsidRPr="00EA54DA">
        <w:rPr>
          <w:rFonts w:ascii="TradeGothic" w:hAnsi="TradeGothic"/>
          <w:b/>
          <w:sz w:val="22"/>
          <w:szCs w:val="22"/>
        </w:rPr>
        <w:t>(</w:t>
      </w:r>
      <w:r w:rsidRPr="00EA54DA">
        <w:rPr>
          <w:rStyle w:val="Stark"/>
          <w:rFonts w:ascii="TradeGothic" w:hAnsi="TradeGothic"/>
          <w:sz w:val="22"/>
          <w:szCs w:val="22"/>
        </w:rPr>
        <w:t>INC3</w:t>
      </w:r>
      <w:r w:rsidRPr="00EA54DA">
        <w:rPr>
          <w:rFonts w:ascii="TradeGothic" w:hAnsi="TradeGothic"/>
          <w:b/>
          <w:sz w:val="22"/>
          <w:szCs w:val="22"/>
        </w:rPr>
        <w:t xml:space="preserve">) </w:t>
      </w:r>
      <w:r w:rsidRPr="00EA54DA">
        <w:rPr>
          <w:rFonts w:ascii="TradeGothic" w:hAnsi="TradeGothic"/>
          <w:b/>
          <w:sz w:val="22"/>
          <w:szCs w:val="22"/>
        </w:rPr>
        <w:br/>
        <w:t>(Nairobi den 31 oktober–4 november 2011)</w:t>
      </w:r>
    </w:p>
    <w:p w:rsidR="00E97C0A" w:rsidRPr="00EA54DA" w:rsidRDefault="00E97C0A" w:rsidP="00E97C0A">
      <w:pPr>
        <w:spacing w:line="240" w:lineRule="auto"/>
        <w:ind w:left="851" w:hanging="851"/>
        <w:rPr>
          <w:rFonts w:ascii="TradeGothic" w:hAnsi="TradeGothic"/>
          <w:i/>
          <w:sz w:val="22"/>
          <w:szCs w:val="22"/>
        </w:rPr>
      </w:pPr>
      <w:r w:rsidRPr="00EA54DA">
        <w:rPr>
          <w:rFonts w:ascii="TradeGothic" w:hAnsi="TradeGothic"/>
          <w:b/>
          <w:sz w:val="22"/>
          <w:szCs w:val="22"/>
        </w:rPr>
        <w:tab/>
      </w:r>
      <w:r w:rsidRPr="00EA54DA">
        <w:rPr>
          <w:rFonts w:ascii="TradeGothic" w:hAnsi="TradeGothic"/>
          <w:i/>
          <w:sz w:val="22"/>
          <w:szCs w:val="22"/>
        </w:rPr>
        <w:t>–</w:t>
      </w:r>
      <w:r w:rsidRPr="00EA54DA">
        <w:rPr>
          <w:rFonts w:ascii="TradeGothic" w:hAnsi="TradeGothic"/>
          <w:i/>
          <w:sz w:val="22"/>
          <w:szCs w:val="22"/>
        </w:rPr>
        <w:tab/>
        <w:t xml:space="preserve">Rapport </w:t>
      </w:r>
      <w:r w:rsidRPr="00EA54DA">
        <w:rPr>
          <w:rFonts w:ascii="TradeGothic" w:hAnsi="TradeGothic"/>
          <w:i/>
          <w:color w:val="000000"/>
          <w:sz w:val="22"/>
          <w:szCs w:val="22"/>
        </w:rPr>
        <w:t>från kommissionen och ordförandeskapet</w:t>
      </w:r>
    </w:p>
    <w:p w:rsidR="00E97C0A" w:rsidRPr="00EA54DA" w:rsidRDefault="00E97C0A" w:rsidP="00E97C0A">
      <w:pPr>
        <w:rPr>
          <w:i/>
        </w:rPr>
      </w:pPr>
    </w:p>
    <w:p w:rsidR="00E97C0A" w:rsidRPr="00EA54DA" w:rsidRDefault="00E97C0A" w:rsidP="00E97C0A">
      <w:pPr>
        <w:rPr>
          <w:rFonts w:cs="OrigGarmnd BT"/>
          <w:color w:val="000000"/>
          <w:szCs w:val="24"/>
          <w:lang w:eastAsia="sv-SE"/>
        </w:rPr>
      </w:pPr>
      <w:r w:rsidRPr="00EA54DA">
        <w:rPr>
          <w:rFonts w:cs="OrigGarmnd BT"/>
          <w:color w:val="000000"/>
          <w:szCs w:val="24"/>
          <w:lang w:eastAsia="sv-SE"/>
        </w:rPr>
        <w:t xml:space="preserve">Det tredje förhandlingsmötet för ett rättsligt bindande instrument om kvicksilver (INC3) hölls i Nairobi den 31 oktober till 4 november 2011. </w:t>
      </w:r>
    </w:p>
    <w:p w:rsidR="00E97C0A" w:rsidRPr="00EA54DA" w:rsidRDefault="00E97C0A" w:rsidP="00E97C0A">
      <w:pPr>
        <w:tabs>
          <w:tab w:val="left" w:pos="2835"/>
        </w:tabs>
        <w:overflowPunct/>
        <w:spacing w:line="240" w:lineRule="auto"/>
        <w:textAlignment w:val="auto"/>
        <w:rPr>
          <w:rFonts w:cs="OrigGarmnd BT"/>
          <w:color w:val="000000"/>
          <w:szCs w:val="24"/>
          <w:lang w:eastAsia="sv-SE"/>
        </w:rPr>
      </w:pPr>
      <w:r w:rsidRPr="00EA54DA">
        <w:rPr>
          <w:rFonts w:cs="OrigGarmnd BT"/>
          <w:color w:val="000000"/>
          <w:szCs w:val="24"/>
          <w:lang w:eastAsia="sv-SE"/>
        </w:rPr>
        <w:t xml:space="preserve">Mötet nådde framför allt goda resultat vad gäller frågan om småskalig guldutvinning. Förhandlingarna tog också betydande steg framåt vad gäller området avfall, slutförvar och förorenade områden. En av de både svåra och viktigaste frågorna i förhandlingarna är utsläpp av kvicksilver till luften bland annat från kolkraftverk. På denna punkt gick inte förhandlingarna framåt. Frågan om reglering av kvicksilver i produkter, som är viktig för Sverige, nådde inte heller konkret resultat men den fanns en vilja från flera att diskutera frågan. Mätinstrument, batterier och lampor innehållande kvicksilver är några av de produktgrupper som diskuteras. I övrigt är frågan om finansiering av en framtida konvention en av de viktiga frågorna för att komma vidare i förhandlingarna. Sverige har flera viktiga roller i förhandlingarna både som medlem i </w:t>
      </w:r>
      <w:r w:rsidRPr="00EA54DA">
        <w:rPr>
          <w:rFonts w:cs="OrigGarmnd BT"/>
          <w:bCs/>
          <w:color w:val="000000"/>
          <w:szCs w:val="24"/>
          <w:lang w:eastAsia="sv-SE"/>
        </w:rPr>
        <w:t xml:space="preserve">byrån </w:t>
      </w:r>
      <w:r w:rsidRPr="00EA54DA">
        <w:rPr>
          <w:rFonts w:cs="OrigGarmnd BT"/>
          <w:color w:val="000000"/>
          <w:szCs w:val="24"/>
          <w:lang w:eastAsia="sv-SE"/>
        </w:rPr>
        <w:t>och som en av två ordförande för kontaktgruppen om finansiering.</w:t>
      </w:r>
    </w:p>
    <w:p w:rsidR="00E97C0A" w:rsidRPr="00EA54DA" w:rsidRDefault="00E97C0A" w:rsidP="00E97C0A">
      <w:pPr>
        <w:spacing w:line="240" w:lineRule="auto"/>
        <w:ind w:left="851" w:hanging="851"/>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c)</w:t>
      </w:r>
      <w:r w:rsidRPr="00EA54DA">
        <w:rPr>
          <w:rFonts w:ascii="TradeGothic" w:hAnsi="TradeGothic"/>
          <w:b/>
          <w:sz w:val="22"/>
          <w:szCs w:val="22"/>
        </w:rPr>
        <w:tab/>
        <w:t xml:space="preserve">Möten inför </w:t>
      </w:r>
      <w:r w:rsidRPr="00EA54DA">
        <w:rPr>
          <w:rFonts w:ascii="TradeGothic" w:hAnsi="TradeGothic"/>
          <w:b/>
          <w:iCs/>
          <w:color w:val="000000"/>
          <w:sz w:val="22"/>
          <w:szCs w:val="22"/>
        </w:rPr>
        <w:t>FN:s konferens 2012 om hållbar utveckling</w:t>
      </w:r>
      <w:r w:rsidRPr="00EA54DA">
        <w:rPr>
          <w:rFonts w:ascii="TradeGothic" w:hAnsi="TradeGothic"/>
          <w:b/>
          <w:sz w:val="22"/>
          <w:szCs w:val="22"/>
        </w:rPr>
        <w:t xml:space="preserve"> (Rio+20):</w:t>
      </w: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ab/>
        <w:t xml:space="preserve">– Resultatet av ministerkonferensen om "Rio+20" </w:t>
      </w:r>
      <w:r w:rsidRPr="00EA54DA">
        <w:rPr>
          <w:rFonts w:ascii="TradeGothic" w:hAnsi="TradeGothic"/>
          <w:b/>
          <w:sz w:val="22"/>
          <w:szCs w:val="22"/>
        </w:rPr>
        <w:br/>
        <w:t>(Warszawa den 11–12 oktober 2011)</w:t>
      </w: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ab/>
        <w:t xml:space="preserve">– Resultatet av UNECE regionala förberedande möte </w:t>
      </w:r>
      <w:r w:rsidRPr="00EA54DA">
        <w:rPr>
          <w:rFonts w:ascii="TradeGothic" w:hAnsi="TradeGothic"/>
          <w:b/>
          <w:sz w:val="22"/>
          <w:szCs w:val="22"/>
        </w:rPr>
        <w:br/>
        <w:t>(Genève den 1–2 december 2011)</w:t>
      </w: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ab/>
        <w:t xml:space="preserve">– Det andra </w:t>
      </w:r>
      <w:r w:rsidRPr="00EA54DA">
        <w:rPr>
          <w:rFonts w:ascii="TradeGothic" w:hAnsi="TradeGothic"/>
          <w:b/>
          <w:color w:val="000000"/>
          <w:sz w:val="22"/>
          <w:szCs w:val="22"/>
        </w:rPr>
        <w:t xml:space="preserve">mötet mellan sessionerna </w:t>
      </w:r>
      <w:r w:rsidRPr="00EA54DA">
        <w:rPr>
          <w:rFonts w:ascii="TradeGothic" w:hAnsi="TradeGothic"/>
          <w:b/>
          <w:sz w:val="22"/>
          <w:szCs w:val="22"/>
        </w:rPr>
        <w:t>(New York den 15–16 december 2011)</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sz w:val="22"/>
          <w:szCs w:val="22"/>
        </w:rPr>
        <w:tab/>
        <w:t>=</w:t>
      </w:r>
      <w:r w:rsidRPr="00EA54DA">
        <w:rPr>
          <w:rFonts w:ascii="TradeGothic" w:hAnsi="TradeGothic"/>
          <w:i/>
          <w:sz w:val="22"/>
          <w:szCs w:val="22"/>
        </w:rPr>
        <w:tab/>
      </w:r>
      <w:r w:rsidRPr="00EA54DA">
        <w:rPr>
          <w:rFonts w:ascii="TradeGothic" w:hAnsi="TradeGothic"/>
          <w:i/>
          <w:color w:val="000000"/>
          <w:sz w:val="22"/>
          <w:szCs w:val="22"/>
        </w:rPr>
        <w:t>Information från ordförandeskapet</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rPr>
          <w:rFonts w:cs="Helv"/>
          <w:szCs w:val="24"/>
          <w:lang w:eastAsia="sv-SE"/>
        </w:rPr>
      </w:pPr>
      <w:r w:rsidRPr="00EA54DA">
        <w:rPr>
          <w:rFonts w:cs="Helv"/>
          <w:szCs w:val="24"/>
          <w:lang w:eastAsia="sv-SE"/>
        </w:rPr>
        <w:t xml:space="preserve">Det polska ordförandeskapet arrangerade den 10-11 oktober en ministerkonferens i Warszawa på temat "praktiska exempel på grön ekonomi" som en del av processen införUNCSD/Rio+20. Till konferensen var EU:s miljöministrar samt vissa nyckelaktörer inbjudna såsom Brasilien, Kina, USA, Japan, Norge, Indien, Colombia, Canada, Världsbanken och FN:s miljöprogram (UNEP). EU-länderna använde dialogmötet till att presentera goda exempel på grön transformering. </w:t>
      </w:r>
    </w:p>
    <w:p w:rsidR="00E97C0A" w:rsidRPr="00EA54DA" w:rsidRDefault="00E97C0A" w:rsidP="00E97C0A">
      <w:pPr>
        <w:pStyle w:val="RKnormal"/>
        <w:rPr>
          <w:rFonts w:ascii="Times New Roman" w:hAnsi="Times New Roman"/>
          <w:i/>
          <w:iCs/>
          <w:color w:val="000000"/>
        </w:rPr>
      </w:pPr>
    </w:p>
    <w:p w:rsidR="00E97C0A" w:rsidRPr="00EA54DA" w:rsidRDefault="00E97C0A" w:rsidP="00E97C0A">
      <w:pPr>
        <w:spacing w:line="240" w:lineRule="auto"/>
        <w:rPr>
          <w:szCs w:val="24"/>
          <w:lang w:eastAsia="sv-SE"/>
        </w:rPr>
      </w:pPr>
      <w:r w:rsidRPr="00EA54DA">
        <w:rPr>
          <w:szCs w:val="24"/>
          <w:lang w:eastAsia="sv-SE"/>
        </w:rPr>
        <w:t>United Nations Economic Commission for Europe (UNECE) arrangerade i samarbete med UNDP och UNEP ett förberedelsemöte inför Rio+20  i Genève den 1-2 december 2011. M</w:t>
      </w:r>
      <w:r w:rsidRPr="00EA54DA">
        <w:rPr>
          <w:color w:val="000000"/>
          <w:szCs w:val="24"/>
          <w:lang w:eastAsia="sv-SE"/>
        </w:rPr>
        <w:t>ötet syftade till att lyfta fram specifika utmaningar, prioriteringar och goda exempel i regionen. Regeringar och andra intressenter (. framförallt FN-organ och s.k. officiella intressentgrupper) betonade bl.a. behovet av bättre övervakning och utvärdering, integration av de tre dimensionerna och starkare regionalt samarbete</w:t>
      </w:r>
      <w:r w:rsidRPr="00EA54DA">
        <w:rPr>
          <w:szCs w:val="24"/>
          <w:lang w:eastAsia="sv-SE"/>
        </w:rPr>
        <w:t>. Utkastet på s</w:t>
      </w:r>
      <w:r w:rsidRPr="00EA54DA">
        <w:rPr>
          <w:color w:val="000000"/>
          <w:szCs w:val="24"/>
          <w:lang w:eastAsia="sv-SE"/>
        </w:rPr>
        <w:t>a</w:t>
      </w:r>
      <w:r w:rsidRPr="00EA54DA">
        <w:rPr>
          <w:szCs w:val="24"/>
          <w:lang w:eastAsia="sv-SE"/>
        </w:rPr>
        <w:t xml:space="preserve">mmanfattningen av mötet, vilket förväntas bli regionens inspel till FN-sekretariatet för Rio+20 (UNDESA), anses avspegla Sveriges och EU:s ståndpunkter på ett tillfredsställande sätt. </w:t>
      </w:r>
    </w:p>
    <w:p w:rsidR="00E97C0A" w:rsidRPr="00EA54DA" w:rsidRDefault="00E97C0A" w:rsidP="00E97C0A">
      <w:pPr>
        <w:spacing w:line="240" w:lineRule="auto"/>
        <w:rPr>
          <w:szCs w:val="24"/>
          <w:lang w:eastAsia="sv-SE"/>
        </w:rPr>
      </w:pPr>
    </w:p>
    <w:p w:rsidR="00E97C0A" w:rsidRPr="00EA54DA" w:rsidRDefault="00E97C0A" w:rsidP="00E97C0A">
      <w:pPr>
        <w:pStyle w:val="RKnormal"/>
      </w:pPr>
      <w:r w:rsidRPr="00EA54DA">
        <w:t xml:space="preserve">Inför Rio+20 kommer ett antal möten att hållas i New York, varav det andra intersessionella mötet den 15-16 december 2011 ska ge ledning inför framtagandet av ett första utkast på slutdokument. </w:t>
      </w:r>
    </w:p>
    <w:p w:rsidR="00E97C0A" w:rsidRPr="00EA54DA" w:rsidRDefault="00E97C0A" w:rsidP="00E97C0A">
      <w:pPr>
        <w:spacing w:line="240" w:lineRule="auto"/>
        <w:ind w:left="851" w:hanging="851"/>
        <w:rPr>
          <w:rFonts w:ascii="TradeGothic" w:hAnsi="TradeGothic"/>
          <w:bCs/>
          <w:i/>
          <w:color w:val="000000"/>
          <w:sz w:val="22"/>
          <w:szCs w:val="22"/>
        </w:rPr>
      </w:pPr>
    </w:p>
    <w:p w:rsidR="00E97C0A" w:rsidRPr="00EA54DA" w:rsidRDefault="00E97C0A" w:rsidP="00E97C0A">
      <w:pPr>
        <w:spacing w:line="240" w:lineRule="auto"/>
        <w:ind w:left="851" w:hanging="851"/>
        <w:rPr>
          <w:rFonts w:ascii="TradeGothic" w:hAnsi="TradeGothic"/>
          <w:b/>
          <w:i/>
          <w:sz w:val="22"/>
          <w:szCs w:val="22"/>
        </w:rPr>
      </w:pPr>
      <w:r w:rsidRPr="00EA54DA">
        <w:rPr>
          <w:rFonts w:ascii="TradeGothic" w:hAnsi="TradeGothic"/>
          <w:b/>
          <w:bCs/>
          <w:color w:val="000000"/>
          <w:sz w:val="22"/>
          <w:szCs w:val="22"/>
        </w:rPr>
        <w:t>d)</w:t>
      </w:r>
      <w:r w:rsidRPr="00EA54DA">
        <w:rPr>
          <w:rFonts w:ascii="TradeGothic" w:hAnsi="TradeGothic"/>
          <w:b/>
          <w:bCs/>
          <w:color w:val="000000"/>
          <w:sz w:val="22"/>
          <w:szCs w:val="22"/>
        </w:rPr>
        <w:tab/>
        <w:t>Resultatet av expert</w:t>
      </w:r>
      <w:r w:rsidRPr="00EA54DA">
        <w:rPr>
          <w:rFonts w:ascii="TradeGothic" w:hAnsi="TradeGothic"/>
          <w:b/>
          <w:color w:val="000000"/>
          <w:sz w:val="22"/>
          <w:szCs w:val="22"/>
        </w:rPr>
        <w:t>konferensen om planering för biologisk mångfald</w:t>
      </w:r>
      <w:r w:rsidRPr="00EA54DA">
        <w:rPr>
          <w:rFonts w:ascii="TradeGothic" w:hAnsi="TradeGothic"/>
          <w:b/>
          <w:bCs/>
          <w:color w:val="000000"/>
          <w:sz w:val="22"/>
          <w:szCs w:val="22"/>
        </w:rPr>
        <w:br/>
        <w:t>(Warszawa den 7–9 november 2011)</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Information från ordförandeskapet</w:t>
      </w:r>
    </w:p>
    <w:p w:rsidR="00E97C0A" w:rsidRPr="00EA54DA" w:rsidRDefault="00E97C0A" w:rsidP="00E97C0A">
      <w:pPr>
        <w:overflowPunct/>
        <w:spacing w:line="240" w:lineRule="auto"/>
        <w:textAlignment w:val="auto"/>
        <w:rPr>
          <w:rFonts w:ascii="Helv" w:hAnsi="Helv" w:cs="Helv"/>
          <w:color w:val="000000"/>
          <w:sz w:val="20"/>
          <w:lang w:eastAsia="sv-SE"/>
        </w:rPr>
      </w:pPr>
    </w:p>
    <w:p w:rsidR="00E97C0A" w:rsidRPr="00EA54DA" w:rsidRDefault="00E97C0A" w:rsidP="00E97C0A">
      <w:pPr>
        <w:spacing w:line="240" w:lineRule="auto"/>
        <w:rPr>
          <w:rFonts w:cs="OrigGarmnd BT"/>
          <w:color w:val="000000"/>
          <w:szCs w:val="24"/>
          <w:lang w:eastAsia="sv-SE"/>
        </w:rPr>
      </w:pPr>
      <w:r w:rsidRPr="00EA54DA">
        <w:rPr>
          <w:rFonts w:cs="OrigGarmnd BT"/>
          <w:color w:val="000000"/>
          <w:szCs w:val="24"/>
          <w:lang w:eastAsia="sv-SE"/>
        </w:rPr>
        <w:t xml:space="preserve">Ordförandeskapet förväntas rapportera från en expertkonferens </w:t>
      </w:r>
      <w:r w:rsidRPr="00EA54DA">
        <w:rPr>
          <w:rFonts w:cs="OrigGarmnd BT"/>
          <w:bCs/>
          <w:color w:val="000000"/>
          <w:szCs w:val="24"/>
          <w:lang w:eastAsia="sv-SE"/>
        </w:rPr>
        <w:t xml:space="preserve">den 7-9 november i Warsawa </w:t>
      </w:r>
      <w:r w:rsidRPr="00EA54DA">
        <w:rPr>
          <w:rFonts w:cs="OrigGarmnd BT"/>
          <w:color w:val="000000"/>
          <w:szCs w:val="24"/>
          <w:lang w:eastAsia="sv-SE"/>
        </w:rPr>
        <w:t>om biologisk mångfald i olika rumsliga planeringsprocesser. Slutsatserna</w:t>
      </w:r>
      <w:r w:rsidRPr="00EA54DA">
        <w:rPr>
          <w:rFonts w:cs="OrigGarmnd BT"/>
          <w:bCs/>
          <w:color w:val="000000"/>
          <w:szCs w:val="24"/>
          <w:lang w:eastAsia="sv-SE"/>
        </w:rPr>
        <w:t xml:space="preserve"> från konferensen</w:t>
      </w:r>
      <w:r w:rsidRPr="00EA54DA">
        <w:rPr>
          <w:rFonts w:cs="OrigGarmnd BT"/>
          <w:color w:val="000000"/>
          <w:szCs w:val="24"/>
          <w:lang w:eastAsia="sv-SE"/>
        </w:rPr>
        <w:t xml:space="preserve"> lyfter fram betydelsen av </w:t>
      </w:r>
      <w:r w:rsidRPr="00EA54DA">
        <w:rPr>
          <w:rFonts w:cs="OrigGarmnd BT"/>
          <w:bCs/>
          <w:color w:val="000000"/>
          <w:szCs w:val="24"/>
          <w:lang w:eastAsia="sv-SE"/>
        </w:rPr>
        <w:t xml:space="preserve">väl </w:t>
      </w:r>
      <w:r w:rsidRPr="00EA54DA">
        <w:rPr>
          <w:rFonts w:cs="OrigGarmnd BT"/>
          <w:color w:val="000000"/>
          <w:szCs w:val="24"/>
          <w:lang w:eastAsia="sv-SE"/>
        </w:rPr>
        <w:t xml:space="preserve">underbyggd planering i ett landskapsperspektiv för att motverka fragmentering av naturmiljöer och effektivisera naturvårdsarbetet. </w:t>
      </w:r>
      <w:r w:rsidRPr="00EA54DA">
        <w:rPr>
          <w:rFonts w:cs="OrigGarmnd BT"/>
          <w:bCs/>
          <w:color w:val="000000"/>
          <w:szCs w:val="24"/>
          <w:lang w:eastAsia="sv-SE"/>
        </w:rPr>
        <w:t>Konferensens slutsatser betonar även</w:t>
      </w:r>
      <w:r w:rsidRPr="00EA54DA">
        <w:rPr>
          <w:rFonts w:cs="OrigGarmnd BT"/>
          <w:color w:val="000000"/>
          <w:szCs w:val="24"/>
          <w:lang w:eastAsia="sv-SE"/>
        </w:rPr>
        <w:t xml:space="preserve"> vikten av samarbete inom EU och nationellt för att uppnå en grön infrastruktur. </w:t>
      </w:r>
      <w:r w:rsidRPr="00EA54DA">
        <w:rPr>
          <w:rFonts w:cs="OrigGarmnd BT"/>
          <w:bCs/>
          <w:color w:val="000000"/>
          <w:szCs w:val="24"/>
          <w:lang w:eastAsia="sv-SE"/>
        </w:rPr>
        <w:t>Denna fråga</w:t>
      </w:r>
      <w:r w:rsidRPr="00EA54DA">
        <w:rPr>
          <w:rFonts w:cs="OrigGarmnd BT"/>
          <w:color w:val="000000"/>
          <w:szCs w:val="24"/>
          <w:lang w:eastAsia="sv-SE"/>
        </w:rPr>
        <w:t xml:space="preserve"> nämns även i</w:t>
      </w:r>
      <w:r w:rsidRPr="00EA54DA">
        <w:rPr>
          <w:rFonts w:cs="OrigGarmnd BT"/>
          <w:bCs/>
          <w:color w:val="000000"/>
          <w:szCs w:val="24"/>
          <w:lang w:eastAsia="sv-SE"/>
        </w:rPr>
        <w:t xml:space="preserve"> de föreslagna</w:t>
      </w:r>
      <w:r w:rsidRPr="00EA54DA">
        <w:rPr>
          <w:rFonts w:cs="OrigGarmnd BT"/>
          <w:color w:val="000000"/>
          <w:szCs w:val="24"/>
          <w:lang w:eastAsia="sv-SE"/>
        </w:rPr>
        <w:t xml:space="preserve"> rådslutsatserna om EU:s strategi för biologisk mångfald </w:t>
      </w:r>
      <w:r w:rsidRPr="00EA54DA">
        <w:rPr>
          <w:rFonts w:cs="OrigGarmnd BT"/>
          <w:bCs/>
          <w:color w:val="000000"/>
          <w:szCs w:val="24"/>
          <w:lang w:eastAsia="sv-SE"/>
        </w:rPr>
        <w:t>(agendapunkt 7 på rådsdagordningen)</w:t>
      </w:r>
      <w:r w:rsidRPr="00EA54DA">
        <w:rPr>
          <w:rFonts w:cs="OrigGarmnd BT"/>
          <w:color w:val="000000"/>
          <w:szCs w:val="24"/>
          <w:lang w:eastAsia="sv-SE"/>
        </w:rPr>
        <w:t>.</w:t>
      </w:r>
    </w:p>
    <w:p w:rsidR="00E97C0A" w:rsidRPr="00EA54DA" w:rsidRDefault="00E97C0A" w:rsidP="00E97C0A">
      <w:pPr>
        <w:spacing w:line="240" w:lineRule="auto"/>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bCs/>
          <w:color w:val="000000"/>
          <w:sz w:val="22"/>
          <w:szCs w:val="22"/>
        </w:rPr>
        <w:t>e)</w:t>
      </w:r>
      <w:r w:rsidRPr="00EA54DA">
        <w:rPr>
          <w:rFonts w:ascii="TradeGothic" w:hAnsi="TradeGothic"/>
          <w:b/>
          <w:bCs/>
          <w:color w:val="000000"/>
          <w:sz w:val="22"/>
          <w:szCs w:val="22"/>
        </w:rPr>
        <w:tab/>
        <w:t>Resultat från expertseminariet om EU- och det östliga partnerskapsländernas klimatpolitiska samarbete (Warszawa den 17–18 november 2011)</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Information från ordförandeskapet</w:t>
      </w:r>
    </w:p>
    <w:p w:rsidR="00E97C0A" w:rsidRPr="00EA54DA" w:rsidRDefault="00E97C0A" w:rsidP="00E97C0A">
      <w:pPr>
        <w:rPr>
          <w:i/>
        </w:rPr>
      </w:pPr>
    </w:p>
    <w:p w:rsidR="00E97C0A" w:rsidRPr="00EA54DA" w:rsidRDefault="00E97C0A" w:rsidP="00E97C0A">
      <w:r w:rsidRPr="00EA54DA">
        <w:t>Östliga partnerskapet bildades 2009 efter ett svenskt/polskt initiativ och syftar att fördjupa relationerna med EU:s grannländer i öster: Armenien, Azerbajdzjan, Georgien, Moldavien, Ukraina och Vitryssland. För att införliva deklarationen från Östliga partnerskapets toppmöte 29-30 september 2011, anordnades den 17-18 november en workshop för att stärka samarbetet mellan EU och partnerskapsländerna inom klimatpolitik. Mötet omfattade bl.a. utbyte av synpunkter och förväntningar inför klimatmötet i Durban, samt diskussion av möjligt innehåll i den färdplan för klimatsamarbete inom det östliga partnerskapet som kommissionen ska ta fram inför nästa toppmöte under andra halvan av 2013. Sverige representerades av ambassaden i Warszawa.</w:t>
      </w:r>
    </w:p>
    <w:p w:rsidR="00E97C0A" w:rsidRPr="00EA54DA" w:rsidRDefault="00E97C0A" w:rsidP="00E97C0A">
      <w:pPr>
        <w:spacing w:line="240" w:lineRule="auto"/>
        <w:ind w:left="851" w:hanging="851"/>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f)</w:t>
      </w:r>
      <w:r w:rsidRPr="00EA54DA">
        <w:rPr>
          <w:rFonts w:ascii="TradeGothic" w:hAnsi="TradeGothic"/>
          <w:b/>
          <w:sz w:val="22"/>
          <w:szCs w:val="22"/>
        </w:rPr>
        <w:tab/>
        <w:t>Förslag till Europaparlamentets och rådets förordning om ändring av direktiv 2001/18/EG vad gäller medlemsstaternas möjlighet att begränsa eller förbjuda odling av genetiskt modifierade organismer inom sina territorier</w:t>
      </w:r>
    </w:p>
    <w:p w:rsidR="00E97C0A" w:rsidRPr="00EA54DA" w:rsidRDefault="00E97C0A" w:rsidP="00E97C0A">
      <w:pPr>
        <w:spacing w:line="240" w:lineRule="auto"/>
        <w:ind w:left="851" w:hanging="851"/>
        <w:rPr>
          <w:rFonts w:ascii="TradeGothic" w:hAnsi="TradeGothic"/>
          <w:i/>
          <w:sz w:val="22"/>
          <w:szCs w:val="22"/>
        </w:rPr>
      </w:pPr>
      <w:r w:rsidRPr="00EA54DA">
        <w:rPr>
          <w:rFonts w:ascii="TradeGothic" w:hAnsi="TradeGothic"/>
          <w:i/>
          <w:sz w:val="22"/>
          <w:szCs w:val="22"/>
        </w:rPr>
        <w:tab/>
        <w:t>–</w:t>
      </w:r>
      <w:r w:rsidRPr="00EA54DA">
        <w:rPr>
          <w:rFonts w:ascii="TradeGothic" w:hAnsi="TradeGothic"/>
          <w:i/>
          <w:sz w:val="22"/>
          <w:szCs w:val="22"/>
        </w:rPr>
        <w:tab/>
      </w:r>
      <w:r w:rsidRPr="00EA54DA">
        <w:rPr>
          <w:rFonts w:ascii="TradeGothic" w:hAnsi="TradeGothic"/>
          <w:i/>
          <w:color w:val="000000"/>
          <w:sz w:val="22"/>
          <w:szCs w:val="22"/>
        </w:rPr>
        <w:t>Information om läget från ordförandeskapet</w:t>
      </w:r>
    </w:p>
    <w:p w:rsidR="00E97C0A" w:rsidRPr="00EA54DA" w:rsidRDefault="00E97C0A" w:rsidP="00E97C0A">
      <w:pPr>
        <w:spacing w:line="240" w:lineRule="auto"/>
        <w:ind w:left="851" w:hanging="851"/>
        <w:rPr>
          <w:rFonts w:ascii="TradeGothic" w:hAnsi="TradeGothic"/>
          <w:b/>
          <w:color w:val="000000"/>
          <w:sz w:val="22"/>
          <w:szCs w:val="22"/>
        </w:rPr>
      </w:pPr>
    </w:p>
    <w:p w:rsidR="00E97C0A" w:rsidRPr="00EA54DA" w:rsidRDefault="00E97C0A" w:rsidP="00E97C0A">
      <w:pPr>
        <w:pStyle w:val="RKnormal"/>
      </w:pPr>
      <w:r w:rsidRPr="00EA54DA">
        <w:t xml:space="preserve">Den 27 juli 2010 presenterade kommissionen ett förslag till en EU-förordning som tillfogar en artikel 26b till direktiv 2001/18/EG om avsiktlig utsättning av genetiskt modifierade organismer (GMO) i miljön. Artikeln ger medlemsstaterna möjlighet att begränsa eller förbjuda odling av GMO inom sina territorier även om den aktuella grödan har fått ett EU-godkännande för odling. Utöver det föreslås inga förändringar när det gäller själva hanteringen av ansökningar och godkännanden av GMO i EU. </w:t>
      </w:r>
    </w:p>
    <w:p w:rsidR="00E97C0A" w:rsidRPr="00EA54DA" w:rsidRDefault="00E97C0A" w:rsidP="00E97C0A">
      <w:pPr>
        <w:pStyle w:val="RKnormal"/>
      </w:pPr>
    </w:p>
    <w:p w:rsidR="00E97C0A" w:rsidRPr="00EA54DA" w:rsidRDefault="00E97C0A" w:rsidP="00E97C0A">
      <w:pPr>
        <w:pStyle w:val="RKnormal"/>
      </w:pPr>
      <w:r w:rsidRPr="00EA54DA">
        <w:t xml:space="preserve">Miljö- och hälsoskäl får inte åberopas som grund för ett förbud enligt den föreslagna artikel 26b eftersom dessa skäl redan har beaktats i den riskvärdering som föregår ett EU-godkännande. De skäl som anges för förbud enligt artikel 26b ska också vara i överensstämmelse med fördragen och i enlighet med EU:s internationella förpliktelser, till exempel WTO-bestämmelserna. </w:t>
      </w:r>
    </w:p>
    <w:p w:rsidR="00E97C0A" w:rsidRPr="00EA54DA" w:rsidRDefault="00E97C0A" w:rsidP="00E97C0A">
      <w:pPr>
        <w:pStyle w:val="RKnormal"/>
      </w:pPr>
    </w:p>
    <w:p w:rsidR="00E97C0A" w:rsidRPr="00EA54DA" w:rsidRDefault="00E97C0A" w:rsidP="00E97C0A">
      <w:pPr>
        <w:pStyle w:val="RKnormal"/>
      </w:pPr>
      <w:r w:rsidRPr="00EA54DA">
        <w:t>Genom att gå vissa medlemsstater till mötes i frågan om att begränsa odling av GMO hoppas kommissionen att dessa medlemsstater i högre grad kan godkänna GMO för odling när en riskvärdering visat att den är säker för människa, djur och miljö. Kommissionen anför att förslaget att låta medlemsstaterna under vissa förutsättningar själva bestämma över huruvida man vill tillåta odling av en GMO ligger i linje med sub</w:t>
      </w:r>
      <w:r w:rsidRPr="00EA54DA">
        <w:softHyphen/>
        <w:t>sidiaritets</w:t>
      </w:r>
      <w:r w:rsidRPr="00EA54DA">
        <w:softHyphen/>
        <w:t xml:space="preserve">principen. </w:t>
      </w:r>
    </w:p>
    <w:p w:rsidR="00E97C0A" w:rsidRPr="00EA54DA" w:rsidRDefault="00E97C0A" w:rsidP="00E97C0A">
      <w:pPr>
        <w:pStyle w:val="RKnormal"/>
      </w:pPr>
    </w:p>
    <w:p w:rsidR="00E97C0A" w:rsidRPr="00EA54DA" w:rsidRDefault="00E97C0A" w:rsidP="00E97C0A">
      <w:pPr>
        <w:pStyle w:val="RKnormal"/>
      </w:pPr>
      <w:r w:rsidRPr="00EA54DA">
        <w:t>Kommissionen har även i uppgift av rådet att lägga fram nya riktlinjer för miljöriskbedömning av GMO, en rapport om socioekonomiska konsekvenser av GMO-användning samt ett förslag till tröskelvärde för inblandning av GMO i konventionellt GMO-utsäde.</w:t>
      </w:r>
    </w:p>
    <w:p w:rsidR="00E97C0A" w:rsidRPr="00EA54DA" w:rsidRDefault="00E97C0A" w:rsidP="00E97C0A">
      <w:pPr>
        <w:tabs>
          <w:tab w:val="left" w:pos="2835"/>
        </w:tabs>
        <w:overflowPunct/>
        <w:spacing w:line="240" w:lineRule="auto"/>
        <w:textAlignment w:val="auto"/>
      </w:pPr>
    </w:p>
    <w:p w:rsidR="00E97C0A" w:rsidRPr="00EA54DA" w:rsidRDefault="00E97C0A" w:rsidP="00E97C0A">
      <w:pPr>
        <w:tabs>
          <w:tab w:val="left" w:pos="2835"/>
        </w:tabs>
        <w:overflowPunct/>
        <w:spacing w:line="240" w:lineRule="auto"/>
        <w:textAlignment w:val="auto"/>
      </w:pPr>
      <w:r w:rsidRPr="00EA54DA">
        <w:t xml:space="preserve">Miljöråden den 14 oktober, 20 december 2010 samt 14 mars och 21 juni 2011 diskuterade förslaget i ljuset av rådets slutsatser från december 2008.  Under det polska ordförandeskapet har det endast varit två mötestillfällen. Sammanfattningsvis råder det delade meningar bland medlemsstaterna till förslaget. En rad medlemsstater är mycket kritiska till förslaget medan andra ställer sig positiva. Många har dock ställt sig undrande över vilka grunder besluten om nationella förbud kan tas på utan att komma i konflikt med inre marknaden och WTO. </w:t>
      </w:r>
    </w:p>
    <w:p w:rsidR="00E97C0A" w:rsidRPr="00EA54DA" w:rsidRDefault="00E97C0A" w:rsidP="00E97C0A">
      <w:pPr>
        <w:pStyle w:val="RKnormal"/>
      </w:pPr>
    </w:p>
    <w:p w:rsidR="00E97C0A" w:rsidRPr="00EA54DA" w:rsidRDefault="00E97C0A" w:rsidP="00E97C0A">
      <w:pPr>
        <w:pStyle w:val="RKnormal"/>
      </w:pPr>
      <w:r w:rsidRPr="00EA54DA">
        <w:t xml:space="preserve">Regeringen välkomnar kommissionens ansträngningar för att lösa problemen inom GMO-området, men ser </w:t>
      </w:r>
      <w:r w:rsidRPr="00EA54DA">
        <w:rPr>
          <w:bCs/>
        </w:rPr>
        <w:t>också</w:t>
      </w:r>
      <w:r w:rsidRPr="00EA54DA">
        <w:rPr>
          <w:b/>
          <w:bCs/>
        </w:rPr>
        <w:t xml:space="preserve"> </w:t>
      </w:r>
      <w:r w:rsidRPr="00EA54DA">
        <w:t>svårigheter med det förslag som presenterats. Sverige har under förhandlingarna sagt sig vilja avvakta resultatet av kommissionens arbete med de övriga uppdragen och fortsatta klarlägganden i rådsarbetsgruppen gällande inre marknad och WTO-regler för att kunna göra en helhetsbedömning innan vi tar ställning till en slutgiltig ståndpunkt.</w:t>
      </w:r>
    </w:p>
    <w:p w:rsidR="00E97C0A" w:rsidRPr="00EA54DA" w:rsidRDefault="00E97C0A" w:rsidP="00E97C0A">
      <w:pPr>
        <w:pStyle w:val="RKnormal"/>
      </w:pPr>
    </w:p>
    <w:p w:rsidR="00E97C0A" w:rsidRPr="00EA54DA" w:rsidRDefault="00E97C0A" w:rsidP="00E97C0A">
      <w:pPr>
        <w:pStyle w:val="RKnormal"/>
      </w:pPr>
      <w:r w:rsidRPr="00EA54DA">
        <w:rPr>
          <w:rFonts w:cs="OrigGarmnd BT"/>
          <w:color w:val="000000"/>
          <w:szCs w:val="24"/>
          <w:lang w:eastAsia="sv-SE"/>
        </w:rPr>
        <w:t>Regeringen är mån om att kärnan i GMO-regelverket, nämligen en vetenskapligt grundat riskbedömning från fall till fall av GMO, även i fortsättningen ska vara grunden för godkännande av GMO inom EU.</w:t>
      </w:r>
    </w:p>
    <w:p w:rsidR="00E97C0A" w:rsidRPr="00EA54DA" w:rsidRDefault="00E97C0A" w:rsidP="00E97C0A">
      <w:pPr>
        <w:tabs>
          <w:tab w:val="left" w:pos="2835"/>
        </w:tabs>
        <w:overflowPunct/>
        <w:spacing w:line="240" w:lineRule="auto"/>
        <w:textAlignment w:val="auto"/>
        <w:rPr>
          <w:rFonts w:cs="OrigGarmnd BT"/>
          <w:i/>
          <w:iCs/>
          <w:color w:val="000000"/>
          <w:szCs w:val="24"/>
          <w:lang w:eastAsia="sv-SE"/>
        </w:rPr>
      </w:pPr>
    </w:p>
    <w:p w:rsidR="00E97C0A" w:rsidRPr="00EA54DA" w:rsidRDefault="00E97C0A" w:rsidP="00E97C0A">
      <w:pPr>
        <w:spacing w:line="240" w:lineRule="auto"/>
        <w:ind w:left="851" w:hanging="851"/>
        <w:rPr>
          <w:rFonts w:ascii="TradeGothic" w:hAnsi="TradeGothic"/>
          <w:b/>
          <w:color w:val="000000"/>
          <w:sz w:val="22"/>
          <w:szCs w:val="22"/>
        </w:rPr>
      </w:pPr>
    </w:p>
    <w:p w:rsidR="00E97C0A" w:rsidRPr="00EA54DA" w:rsidRDefault="00E97C0A" w:rsidP="00E97C0A">
      <w:pPr>
        <w:spacing w:line="240" w:lineRule="auto"/>
        <w:ind w:left="851" w:hanging="851"/>
        <w:rPr>
          <w:rFonts w:ascii="TradeGothic" w:hAnsi="TradeGothic"/>
          <w:b/>
          <w:color w:val="000000"/>
          <w:sz w:val="22"/>
          <w:szCs w:val="22"/>
        </w:rPr>
      </w:pPr>
      <w:r w:rsidRPr="00EA54DA">
        <w:rPr>
          <w:rFonts w:ascii="TradeGothic" w:hAnsi="TradeGothic"/>
          <w:b/>
          <w:color w:val="000000"/>
          <w:sz w:val="22"/>
          <w:szCs w:val="22"/>
        </w:rPr>
        <w:t>g)</w:t>
      </w:r>
      <w:r w:rsidRPr="00EA54DA">
        <w:rPr>
          <w:rFonts w:ascii="TradeGothic" w:hAnsi="TradeGothic"/>
          <w:b/>
          <w:color w:val="000000"/>
          <w:sz w:val="22"/>
          <w:szCs w:val="22"/>
        </w:rPr>
        <w:tab/>
        <w:t xml:space="preserve">EU:s anslutning till ramkonventionen om skydd av och </w:t>
      </w:r>
      <w:r w:rsidRPr="00EA54DA">
        <w:rPr>
          <w:rFonts w:ascii="TradeGothic" w:hAnsi="TradeGothic"/>
          <w:b/>
          <w:color w:val="000000"/>
          <w:sz w:val="22"/>
          <w:szCs w:val="22"/>
        </w:rPr>
        <w:tab/>
      </w:r>
      <w:r w:rsidRPr="00EA54DA">
        <w:rPr>
          <w:rFonts w:ascii="TradeGothic" w:hAnsi="TradeGothic"/>
          <w:b/>
          <w:color w:val="000000"/>
          <w:sz w:val="22"/>
          <w:szCs w:val="22"/>
        </w:rPr>
        <w:tab/>
      </w:r>
      <w:r w:rsidRPr="00EA54DA">
        <w:rPr>
          <w:rFonts w:ascii="TradeGothic" w:hAnsi="TradeGothic"/>
          <w:b/>
          <w:color w:val="000000"/>
          <w:sz w:val="22"/>
          <w:szCs w:val="22"/>
        </w:rPr>
        <w:tab/>
        <w:t>hållbar utveckling i Karpaterna</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 xml:space="preserve">Information från ordförandeskapet </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tabs>
          <w:tab w:val="left" w:pos="2835"/>
        </w:tabs>
        <w:overflowPunct/>
        <w:spacing w:line="240" w:lineRule="auto"/>
        <w:textAlignment w:val="auto"/>
        <w:rPr>
          <w:rFonts w:cs="OrigGarmnd BT"/>
          <w:color w:val="000000"/>
          <w:szCs w:val="24"/>
          <w:lang w:eastAsia="sv-SE"/>
        </w:rPr>
      </w:pPr>
      <w:r w:rsidRPr="00EA54DA">
        <w:rPr>
          <w:rFonts w:cs="OrigGarmnd BT"/>
          <w:color w:val="000000"/>
          <w:szCs w:val="24"/>
          <w:lang w:eastAsia="sv-SE"/>
        </w:rPr>
        <w:t xml:space="preserve">Karpaterna är en bergskedja i sydöstra Europa vilken delas av sju länder: Tjeckien, Ungern, Polen, Rumänien, Serbien, Slovakien och Ukraina. Ramkonventionen om skydd av och hållbar utveckling i Karpaterna antogs 2003 i Kiev, Ukraina under den femte ministerkonferensen inom ”Environment for Europe” och ratificerades av samtliga sju länder. Det polska ordförandeskapet kommer under denna dagordningspunkt att presentera ett första förslag på att skapa </w:t>
      </w:r>
      <w:r w:rsidRPr="00EA54DA">
        <w:rPr>
          <w:rFonts w:cs="OrigGarmnd BT"/>
          <w:bCs/>
          <w:color w:val="000000"/>
          <w:szCs w:val="24"/>
          <w:lang w:eastAsia="sv-SE"/>
        </w:rPr>
        <w:t>ett regionalt samarbete</w:t>
      </w:r>
      <w:r w:rsidRPr="00EA54DA">
        <w:rPr>
          <w:rFonts w:cs="OrigGarmnd BT"/>
          <w:b/>
          <w:bCs/>
          <w:color w:val="000000"/>
          <w:szCs w:val="24"/>
          <w:lang w:eastAsia="sv-SE"/>
        </w:rPr>
        <w:t xml:space="preserve"> </w:t>
      </w:r>
      <w:r w:rsidRPr="00EA54DA">
        <w:rPr>
          <w:rFonts w:cs="OrigGarmnd BT"/>
          <w:color w:val="000000"/>
          <w:szCs w:val="24"/>
          <w:lang w:eastAsia="sv-SE"/>
        </w:rPr>
        <w:t>av Karpaterna med bl.a. EU:s Östersjösamarbete som förebild.</w:t>
      </w:r>
    </w:p>
    <w:p w:rsidR="00E97C0A" w:rsidRPr="00EA54DA" w:rsidRDefault="00E97C0A" w:rsidP="00E97C0A">
      <w:pPr>
        <w:spacing w:line="240" w:lineRule="auto"/>
        <w:ind w:left="851" w:hanging="851"/>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h)</w:t>
      </w:r>
      <w:r w:rsidRPr="00EA54DA">
        <w:rPr>
          <w:rFonts w:ascii="TradeGothic" w:hAnsi="TradeGothic"/>
          <w:b/>
          <w:sz w:val="22"/>
          <w:szCs w:val="22"/>
        </w:rPr>
        <w:tab/>
        <w:t xml:space="preserve">(ev.) Förslag till Europaparlamentets och rådets direktiv om ändring av direktiven </w:t>
      </w:r>
      <w:r w:rsidRPr="00EA54DA">
        <w:rPr>
          <w:rFonts w:ascii="TradeGothic" w:hAnsi="TradeGothic"/>
          <w:b/>
          <w:bCs/>
          <w:sz w:val="22"/>
          <w:szCs w:val="22"/>
        </w:rPr>
        <w:t xml:space="preserve">2000/60/EG och 2008/105/EG om </w:t>
      </w:r>
      <w:r w:rsidRPr="00EA54DA">
        <w:rPr>
          <w:rFonts w:ascii="TradeGothic" w:hAnsi="TradeGothic"/>
          <w:b/>
          <w:color w:val="000000"/>
          <w:sz w:val="22"/>
          <w:szCs w:val="22"/>
        </w:rPr>
        <w:t>prioriterade ämnen på vattenpolitikens område</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sz w:val="22"/>
          <w:szCs w:val="22"/>
        </w:rPr>
        <w:tab/>
        <w:t>–</w:t>
      </w:r>
      <w:r w:rsidRPr="00EA54DA">
        <w:rPr>
          <w:rFonts w:ascii="TradeGothic" w:hAnsi="TradeGothic"/>
          <w:i/>
          <w:sz w:val="22"/>
          <w:szCs w:val="22"/>
        </w:rPr>
        <w:tab/>
      </w:r>
      <w:r w:rsidRPr="00EA54DA">
        <w:rPr>
          <w:rFonts w:ascii="TradeGothic" w:hAnsi="TradeGothic"/>
          <w:i/>
          <w:color w:val="000000"/>
          <w:sz w:val="22"/>
          <w:szCs w:val="22"/>
        </w:rPr>
        <w:t>Föredragning av kommissionen</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pStyle w:val="RKnormal"/>
      </w:pPr>
      <w:r w:rsidRPr="00EA54DA">
        <w:t>Enligt artikel 16.4 i ramdirektivet för vatten (2000/60/EG) ska Kommissionen vart fjärde år se över listan över prioriterade ämnen (ämnen som fastställts enligt artikel 16.2 och som förtecknas i bilaga 10  i ramdirektivet). I direktiv 2008/105/EG artikel 8 anges att kommissionen mot bakgrund av artikel 16.4 i ramdirektivet ska göra en översyn av bilaga III i direktiv 2008/105/EG. Denna översyn ska rapporteras till Rådet och Europaparlamentet senast den 13 januari 2011. I samband med detta ska kommissionen eventuellt presentera förslag till nya prioriterade ämnen/prioriterade farliga ämnen inklusive förslag till miljökvalitetsnormer för ytvatten, sediment eller biota.</w:t>
      </w:r>
    </w:p>
    <w:p w:rsidR="00E97C0A" w:rsidRPr="00EA54DA" w:rsidRDefault="00E97C0A" w:rsidP="00E97C0A">
      <w:pPr>
        <w:spacing w:line="240" w:lineRule="auto"/>
        <w:ind w:left="851" w:hanging="851"/>
        <w:rPr>
          <w:rFonts w:ascii="TradeGothic" w:hAnsi="TradeGothic"/>
          <w:i/>
          <w:sz w:val="22"/>
          <w:szCs w:val="22"/>
          <w:lang w:eastAsia="pl-PL"/>
        </w:rPr>
      </w:pPr>
    </w:p>
    <w:p w:rsidR="00E97C0A" w:rsidRPr="00EA54DA" w:rsidRDefault="00E97C0A" w:rsidP="00E97C0A">
      <w:pPr>
        <w:spacing w:line="240" w:lineRule="auto"/>
        <w:ind w:left="851" w:hanging="851"/>
        <w:rPr>
          <w:rFonts w:ascii="TradeGothic" w:hAnsi="TradeGothic"/>
          <w:i/>
          <w:sz w:val="22"/>
          <w:szCs w:val="22"/>
          <w:lang w:eastAsia="pl-PL"/>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i)</w:t>
      </w:r>
      <w:r w:rsidRPr="00EA54DA">
        <w:rPr>
          <w:rFonts w:ascii="TradeGothic" w:hAnsi="TradeGothic"/>
          <w:b/>
          <w:sz w:val="22"/>
          <w:szCs w:val="22"/>
        </w:rPr>
        <w:tab/>
        <w:t xml:space="preserve">Förslag till Europaparlamentets och rådets förordning om inrättande av ett program för miljö- och klimatåtgärder (Life) </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Föredragning av kommissionen</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spacing w:line="240" w:lineRule="auto"/>
        <w:rPr>
          <w:rFonts w:cs="OrigGarmnd BT"/>
          <w:color w:val="000000"/>
          <w:szCs w:val="24"/>
          <w:lang w:eastAsia="sv-SE"/>
        </w:rPr>
      </w:pPr>
      <w:r w:rsidRPr="00EA54DA">
        <w:rPr>
          <w:rFonts w:cs="OrigGarmnd BT"/>
          <w:color w:val="000000"/>
          <w:szCs w:val="24"/>
          <w:lang w:eastAsia="sv-SE"/>
        </w:rPr>
        <w:t>Life+ är ett finansieringsprogram inom EU med syftet att bidra till genomförande av EU:s miljöpolitik genom olika miljö- och klimatåtgärder. Det nuvarande Life–programmet gäller år 2007–2013 och har en total budget på ca 20 miljarder kronor. Kommissionen kommer på miljörådet att presentera förslaget till nytt Life-program som ska gälla från år 2014 vilket kommer att börja förhandlas under 2012.</w:t>
      </w:r>
    </w:p>
    <w:p w:rsidR="00E97C0A" w:rsidRPr="00EA54DA" w:rsidRDefault="00E97C0A" w:rsidP="00E97C0A">
      <w:pPr>
        <w:spacing w:line="240" w:lineRule="auto"/>
        <w:rPr>
          <w:rFonts w:cs="OrigGarmnd BT"/>
          <w:color w:val="000000"/>
          <w:szCs w:val="24"/>
          <w:lang w:eastAsia="sv-SE"/>
        </w:rPr>
      </w:pPr>
    </w:p>
    <w:p w:rsidR="00E97C0A" w:rsidRPr="00EA54DA" w:rsidRDefault="00E97C0A" w:rsidP="00E97C0A">
      <w:pPr>
        <w:spacing w:line="240" w:lineRule="auto"/>
        <w:ind w:left="851" w:hanging="851"/>
        <w:rPr>
          <w:rFonts w:ascii="TradeGothic" w:hAnsi="TradeGothic"/>
          <w:b/>
          <w:sz w:val="22"/>
          <w:szCs w:val="22"/>
          <w:lang w:eastAsia="pl-PL"/>
        </w:rPr>
      </w:pPr>
    </w:p>
    <w:p w:rsidR="00E97C0A" w:rsidRPr="00EA54DA" w:rsidRDefault="00E97C0A" w:rsidP="00E97C0A">
      <w:pPr>
        <w:spacing w:line="240" w:lineRule="auto"/>
        <w:ind w:left="851" w:hanging="851"/>
        <w:rPr>
          <w:rFonts w:ascii="TradeGothic" w:hAnsi="TradeGothic"/>
          <w:b/>
          <w:sz w:val="22"/>
          <w:szCs w:val="22"/>
          <w:lang w:eastAsia="pl-PL"/>
        </w:rPr>
      </w:pPr>
      <w:r w:rsidRPr="00EA54DA">
        <w:rPr>
          <w:rFonts w:ascii="TradeGothic" w:hAnsi="TradeGothic"/>
          <w:b/>
          <w:sz w:val="22"/>
          <w:szCs w:val="22"/>
          <w:lang w:eastAsia="pl-PL"/>
        </w:rPr>
        <w:t>j)</w:t>
      </w:r>
      <w:r w:rsidRPr="00EA54DA">
        <w:rPr>
          <w:rFonts w:ascii="TradeGothic" w:hAnsi="TradeGothic"/>
          <w:b/>
          <w:sz w:val="22"/>
          <w:szCs w:val="22"/>
          <w:lang w:eastAsia="pl-PL"/>
        </w:rPr>
        <w:tab/>
      </w:r>
      <w:r w:rsidRPr="00EA54DA">
        <w:rPr>
          <w:rFonts w:ascii="TradeGothic" w:hAnsi="TradeGothic"/>
          <w:b/>
          <w:sz w:val="22"/>
          <w:szCs w:val="22"/>
        </w:rPr>
        <w:t>Förslag till Europaparlamentets och rådets förordning om en mekanism för att övervaka och rapportera utsläpp av växthusgaser och för att rapportera annan information på nationell och unionsnivå som är relevant för klimatförändringen</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Föredragning av kommissionen</w:t>
      </w:r>
    </w:p>
    <w:p w:rsidR="00E97C0A" w:rsidRPr="00EA54DA" w:rsidRDefault="00E97C0A" w:rsidP="00E97C0A">
      <w:pPr>
        <w:pStyle w:val="RKnormal"/>
        <w:rPr>
          <w:i/>
        </w:rPr>
      </w:pPr>
    </w:p>
    <w:p w:rsidR="00E97C0A" w:rsidRPr="00EA54DA" w:rsidRDefault="00E97C0A" w:rsidP="00E97C0A">
      <w:pPr>
        <w:pStyle w:val="RKnormal"/>
      </w:pPr>
      <w:r w:rsidRPr="00EA54DA">
        <w:t>Europaparlamentet och Rådets beslut 280/2004/EG om övervakningsmekanismen ska revideras. Kommissionen har därför presenterat ett förslag till förordning (2011/789/EC) som är tänkt att ersätta beslutet. Förslaget syftar till att förbättra det befintliga övervaknings- och rapporteringssystemet för utsläpp av växthusgaser med anledning av lagstiftningens bredare ram, det ökade antalet berörda parter, övervakningsmekanismens tekniska och harmoniserande karaktär och för att underlätta dess genomförande.</w:t>
      </w:r>
    </w:p>
    <w:p w:rsidR="00E97C0A" w:rsidRPr="00EA54DA" w:rsidRDefault="00E97C0A" w:rsidP="00E97C0A">
      <w:pPr>
        <w:pStyle w:val="RKnormal"/>
      </w:pPr>
    </w:p>
    <w:p w:rsidR="00E97C0A" w:rsidRPr="00EA54DA" w:rsidRDefault="00E97C0A" w:rsidP="00E97C0A">
      <w:pPr>
        <w:spacing w:line="240" w:lineRule="auto"/>
        <w:ind w:left="851" w:hanging="851"/>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k)</w:t>
      </w:r>
      <w:r w:rsidRPr="00EA54DA">
        <w:rPr>
          <w:rFonts w:ascii="TradeGothic" w:hAnsi="TradeGothic"/>
          <w:b/>
          <w:sz w:val="22"/>
          <w:szCs w:val="22"/>
        </w:rPr>
        <w:tab/>
      </w:r>
      <w:r w:rsidRPr="00EA54DA">
        <w:rPr>
          <w:rFonts w:ascii="TradeGothic" w:hAnsi="TradeGothic"/>
          <w:b/>
          <w:color w:val="000000"/>
          <w:sz w:val="22"/>
          <w:szCs w:val="22"/>
        </w:rPr>
        <w:t>Direktivet om bränslekvalitet</w:t>
      </w:r>
      <w:r w:rsidRPr="00EA54DA">
        <w:rPr>
          <w:rFonts w:ascii="TradeGothic" w:hAnsi="TradeGothic"/>
          <w:b/>
          <w:sz w:val="22"/>
          <w:szCs w:val="22"/>
        </w:rPr>
        <w:t>, Artikel 7a (genomförandeåtgärder)</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Information från kommissionen</w:t>
      </w:r>
    </w:p>
    <w:p w:rsidR="00E97C0A" w:rsidRPr="00EA54DA" w:rsidRDefault="00E97C0A" w:rsidP="00E97C0A">
      <w:pPr>
        <w:spacing w:line="240" w:lineRule="auto"/>
        <w:ind w:left="851" w:hanging="851"/>
        <w:rPr>
          <w:rFonts w:ascii="TradeGothic" w:hAnsi="TradeGothic"/>
          <w:i/>
          <w:color w:val="000000"/>
          <w:sz w:val="22"/>
          <w:szCs w:val="22"/>
          <w:highlight w:val="yellow"/>
        </w:rPr>
      </w:pPr>
    </w:p>
    <w:p w:rsidR="00E97C0A" w:rsidRPr="00EA54DA" w:rsidRDefault="00E97C0A" w:rsidP="00E97C0A">
      <w:pPr>
        <w:pStyle w:val="RKnormal"/>
      </w:pPr>
      <w:r w:rsidRPr="00EA54DA">
        <w:t>Sedan 2009 finns en ny artikel i bränslekvalitetsdirektivet, artikel 7a, som innebär krav på leverantörer av fossila drivmedel och energi (bensin, diesel, naturgas och elektricitet) att minska sina livscykelutsläpp av växthusgaser med minst 6 procent till år 2020, jämfört med utsläppsnivån för EU år 2010.</w:t>
      </w:r>
    </w:p>
    <w:p w:rsidR="00E97C0A" w:rsidRPr="00EA54DA" w:rsidRDefault="00E97C0A" w:rsidP="00E97C0A">
      <w:pPr>
        <w:pStyle w:val="RKnormal"/>
      </w:pPr>
    </w:p>
    <w:p w:rsidR="00E97C0A" w:rsidRPr="00EA54DA" w:rsidRDefault="00E97C0A" w:rsidP="00E97C0A">
      <w:pPr>
        <w:pStyle w:val="RKnormal"/>
      </w:pPr>
      <w:r w:rsidRPr="00EA54DA">
        <w:t>Direktivet ger kommissionen i uppgift att genom kommittéarbete fastställa följande:</w:t>
      </w:r>
    </w:p>
    <w:p w:rsidR="00E97C0A" w:rsidRPr="00EA54DA" w:rsidRDefault="00E97C0A" w:rsidP="00E97C0A">
      <w:pPr>
        <w:pStyle w:val="RKnormal"/>
        <w:numPr>
          <w:ilvl w:val="0"/>
          <w:numId w:val="7"/>
        </w:numPr>
      </w:pPr>
      <w:r w:rsidRPr="00EA54DA">
        <w:t>Metod för beräkning av växthusgasutsläpp under hela livscykeln från fossila drivmedel och från energi,</w:t>
      </w:r>
    </w:p>
    <w:p w:rsidR="00E97C0A" w:rsidRPr="00EA54DA" w:rsidRDefault="00E97C0A" w:rsidP="00E97C0A">
      <w:pPr>
        <w:pStyle w:val="RKnormal"/>
        <w:numPr>
          <w:ilvl w:val="0"/>
          <w:numId w:val="7"/>
        </w:numPr>
      </w:pPr>
      <w:r w:rsidRPr="00EA54DA">
        <w:t>Jämförelsenivån för 2010 och</w:t>
      </w:r>
    </w:p>
    <w:p w:rsidR="00E97C0A" w:rsidRPr="00EA54DA" w:rsidRDefault="00E97C0A" w:rsidP="00E97C0A">
      <w:pPr>
        <w:pStyle w:val="RKnormal"/>
        <w:numPr>
          <w:ilvl w:val="0"/>
          <w:numId w:val="7"/>
        </w:numPr>
      </w:pPr>
      <w:r w:rsidRPr="00EA54DA">
        <w:t>Metod för att beräkna bidraget från elfordon.</w:t>
      </w:r>
    </w:p>
    <w:p w:rsidR="00E97C0A" w:rsidRPr="00EA54DA" w:rsidRDefault="00E97C0A" w:rsidP="00E97C0A">
      <w:pPr>
        <w:pStyle w:val="RKnormal"/>
      </w:pPr>
    </w:p>
    <w:p w:rsidR="00E97C0A" w:rsidRPr="00EA54DA" w:rsidRDefault="00E97C0A" w:rsidP="00E97C0A">
      <w:pPr>
        <w:pStyle w:val="RKnormal"/>
      </w:pPr>
      <w:r w:rsidRPr="00EA54DA">
        <w:t>Den 25 oktober 2011 presenterade kommissionen sitt förslag till implementering av artikel 7a för kommittén, beträffande defaultvärden för råoljor. Diskussionen i kommittén gäller graden av differentiering av dessa defaultvärden.</w:t>
      </w:r>
    </w:p>
    <w:p w:rsidR="00E97C0A" w:rsidRPr="00EA54DA" w:rsidRDefault="00E97C0A" w:rsidP="00E97C0A">
      <w:pPr>
        <w:spacing w:line="240" w:lineRule="auto"/>
        <w:ind w:left="851" w:hanging="851"/>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l)</w:t>
      </w:r>
      <w:r w:rsidRPr="00EA54DA">
        <w:rPr>
          <w:rFonts w:ascii="TradeGothic" w:hAnsi="TradeGothic"/>
          <w:b/>
          <w:sz w:val="22"/>
          <w:szCs w:val="22"/>
        </w:rPr>
        <w:tab/>
        <w:t>Rapport om genomförandet av förordningen om flourerade växthusgaser</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Information från kommissionen</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pStyle w:val="RKnormal"/>
      </w:pPr>
      <w:r w:rsidRPr="00EA54DA">
        <w:t>Förordningen om fluorerade växthusgaser började gälla i EU i olika skeden mellan 2006 och 2011. Förordningen behandlar utsläpp av fluorerade växthusgaser, såsom fluorkolväten, perfluorkarboner och svavelhexafluorid. Dessa gaser är antropogena kemiska ämnen som används exempelvis som köldmedier, jäsmedel för cellplast, drivmedel i aerosoler och isoleringsgas i elektrisk utrustning. Det övergripande målet med förordningen är att bidra till att fullgöra EU:s åtaganden enligt Kyotoprotokollet. Kommissionens analys har påvisat vissa brister i den nuvarande tillämpningen av vissa centrala bestämmelser, särskilt vad gäller utbildning, certifiering, begränsning och återvinning.</w:t>
      </w:r>
    </w:p>
    <w:p w:rsidR="00E97C0A" w:rsidRPr="00EA54DA" w:rsidRDefault="00E97C0A" w:rsidP="00E97C0A">
      <w:pPr>
        <w:pStyle w:val="RKnormal"/>
      </w:pPr>
    </w:p>
    <w:p w:rsidR="00E97C0A" w:rsidRPr="00EA54DA" w:rsidRDefault="00E97C0A" w:rsidP="00E97C0A">
      <w:pPr>
        <w:pStyle w:val="RKnormal"/>
      </w:pPr>
      <w:r w:rsidRPr="00EA54DA">
        <w:t xml:space="preserve">Kommissionen kommer att samråda med berörda parter om ytterligare åtgärder för att åstadkomma ytterligare kostnadseffektiva minskningar av de fluorerade växthusgasutsläppen. På grundval av detta kommer kommissionen att lägga fram ett förslag till översyn av denna förordning, om detta är lämpligt. </w:t>
      </w:r>
    </w:p>
    <w:p w:rsidR="00E97C0A" w:rsidRPr="00EA54DA" w:rsidRDefault="00E97C0A" w:rsidP="00E97C0A">
      <w:pPr>
        <w:spacing w:line="240" w:lineRule="auto"/>
        <w:ind w:left="851" w:hanging="851"/>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m)</w:t>
      </w:r>
      <w:r w:rsidRPr="00EA54DA">
        <w:rPr>
          <w:rFonts w:ascii="TradeGothic" w:hAnsi="TradeGothic"/>
          <w:b/>
          <w:sz w:val="22"/>
          <w:szCs w:val="22"/>
        </w:rPr>
        <w:tab/>
        <w:t>Ytterligare åtgärder på EU-nivå för att minska användningen av plastkassar</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sz w:val="22"/>
          <w:szCs w:val="22"/>
        </w:rPr>
        <w:tab/>
        <w:t>–</w:t>
      </w:r>
      <w:r w:rsidRPr="00EA54DA">
        <w:rPr>
          <w:rFonts w:ascii="TradeGothic" w:hAnsi="TradeGothic"/>
          <w:i/>
          <w:sz w:val="22"/>
          <w:szCs w:val="22"/>
        </w:rPr>
        <w:tab/>
      </w:r>
      <w:r w:rsidRPr="00EA54DA">
        <w:rPr>
          <w:rFonts w:ascii="TradeGothic" w:hAnsi="TradeGothic"/>
          <w:i/>
          <w:color w:val="000000"/>
          <w:sz w:val="22"/>
          <w:szCs w:val="22"/>
        </w:rPr>
        <w:t>Information från den italienska delegationen</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pStyle w:val="RKnormal"/>
        <w:rPr>
          <w:iCs/>
          <w:color w:val="000000"/>
        </w:rPr>
      </w:pPr>
      <w:r w:rsidRPr="00EA54DA">
        <w:rPr>
          <w:iCs/>
          <w:color w:val="000000"/>
        </w:rPr>
        <w:t xml:space="preserve">Vid miljöministermötet i mars 2011 tog Österrike upp denna fråga som en övrig fråga. Österrike ville att kommissionen på EU-nivå bl.a. ska göra en utvärdering av befintliga regelverk för bärkassar av plast i medlemsstaterna, analysera möjligheterna till att införa obligatorisk märkning av materialet och analysera möjliga alternativ till användning av bärkassar av plast. En stor miljövinst uppnås när plastavfall förebyggs eftersom det produceras av fossilt material. Regeringen välkomnar därför att frågan lyfts inom EU. I september 2011 annonserade kommissionen sina planer på att utreda frågan om hur användningen av plastpåsar bäst kan minskas inom EU. </w:t>
      </w:r>
    </w:p>
    <w:p w:rsidR="00E97C0A" w:rsidRPr="00EA54DA" w:rsidRDefault="00E97C0A" w:rsidP="00E97C0A">
      <w:pPr>
        <w:pStyle w:val="RKnormal"/>
        <w:rPr>
          <w:rFonts w:ascii="TradeGothic" w:hAnsi="TradeGothic"/>
          <w:b/>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n)</w:t>
      </w:r>
      <w:r w:rsidRPr="00EA54DA">
        <w:rPr>
          <w:rFonts w:ascii="TradeGothic" w:hAnsi="TradeGothic"/>
          <w:b/>
          <w:sz w:val="22"/>
          <w:szCs w:val="22"/>
        </w:rPr>
        <w:tab/>
        <w:t>Ytterligare åtgärder för att inrätta en gemensam europeisk mekanism för riskdelning vid katastrofer</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sz w:val="22"/>
          <w:szCs w:val="22"/>
        </w:rPr>
        <w:tab/>
        <w:t>–</w:t>
      </w:r>
      <w:r w:rsidRPr="00EA54DA">
        <w:rPr>
          <w:rFonts w:ascii="TradeGothic" w:hAnsi="TradeGothic"/>
          <w:i/>
          <w:sz w:val="22"/>
          <w:szCs w:val="22"/>
        </w:rPr>
        <w:tab/>
      </w:r>
      <w:r w:rsidRPr="00EA54DA">
        <w:rPr>
          <w:rFonts w:ascii="TradeGothic" w:hAnsi="TradeGothic"/>
          <w:i/>
          <w:color w:val="000000"/>
          <w:sz w:val="22"/>
          <w:szCs w:val="22"/>
        </w:rPr>
        <w:t>Information från den ungerska delegationen</w:t>
      </w:r>
    </w:p>
    <w:p w:rsidR="00E97C0A" w:rsidRPr="00EA54DA" w:rsidRDefault="00E97C0A" w:rsidP="00E97C0A">
      <w:pPr>
        <w:tabs>
          <w:tab w:val="left" w:pos="2835"/>
        </w:tabs>
        <w:overflowPunct/>
        <w:spacing w:line="240" w:lineRule="auto"/>
        <w:textAlignment w:val="auto"/>
        <w:rPr>
          <w:rFonts w:cs="OrigGarmnd BT"/>
          <w:color w:val="000000"/>
          <w:szCs w:val="24"/>
          <w:lang w:eastAsia="sv-SE"/>
        </w:rPr>
      </w:pPr>
      <w:r w:rsidRPr="00EA54DA">
        <w:rPr>
          <w:rFonts w:cs="OrigGarmnd BT"/>
          <w:color w:val="000000"/>
          <w:szCs w:val="24"/>
          <w:lang w:eastAsia="sv-SE"/>
        </w:rPr>
        <w:t xml:space="preserve">Som reaktion på den industriolycka som skedde i Ungern i oktober 2010 då en damm med rödslam brast med omfattande skador på människa och miljö som konsekvens, anser sig Ungern uppmärksammat brister i existerande EU-lagstiftning (bl.a. Seveso II-direktivet) när det gäller att hantera de finansiella konsekvenserna av liknande olyckor. Ungern föreslår att EU:s lagstiftning på området ses över och kompletteras med en europeisk riskdelningsmekanism. Denna mekanism föreslås finansieras genom obligatoriska miljöförsäkringspremier för berörda industrier och företag inom branschen. Dessa medel skall sedan betalas ut till medlemsstaterna vid händelse av industriolyckor för att täcka kostnader för snabb respons och hantering av skador på miljö, hälsa och egendom. Ungern kommer att föreslå till kommissionen att göra en första analys av en möjlig etablering av en gemensam europeisk riskdelningsmekanism samt lägga fram ett lagstiftningsförslag. </w:t>
      </w:r>
    </w:p>
    <w:p w:rsidR="00E97C0A" w:rsidRPr="00EA54DA" w:rsidRDefault="00E97C0A" w:rsidP="00E97C0A">
      <w:pPr>
        <w:spacing w:line="240" w:lineRule="auto"/>
        <w:rPr>
          <w:rFonts w:ascii="TradeGothic" w:hAnsi="TradeGothic"/>
          <w:b/>
          <w:sz w:val="22"/>
          <w:szCs w:val="22"/>
        </w:rPr>
      </w:pPr>
      <w:r w:rsidRPr="00EA54DA">
        <w:rPr>
          <w:rFonts w:ascii="Helv" w:hAnsi="Helv" w:cs="Helv"/>
          <w:color w:val="000000"/>
          <w:sz w:val="20"/>
          <w:lang w:eastAsia="sv-SE"/>
        </w:rPr>
        <w:br/>
      </w:r>
    </w:p>
    <w:p w:rsidR="00E97C0A" w:rsidRPr="00EA54DA" w:rsidRDefault="00E97C0A" w:rsidP="00E97C0A">
      <w:pPr>
        <w:spacing w:line="240" w:lineRule="auto"/>
        <w:ind w:left="851" w:hanging="851"/>
        <w:rPr>
          <w:rFonts w:ascii="TradeGothic" w:hAnsi="TradeGothic"/>
          <w:b/>
          <w:sz w:val="22"/>
          <w:szCs w:val="22"/>
          <w:lang w:eastAsia="en-GB"/>
        </w:rPr>
      </w:pPr>
      <w:r w:rsidRPr="00EA54DA">
        <w:rPr>
          <w:rFonts w:ascii="TradeGothic" w:hAnsi="TradeGothic"/>
          <w:b/>
          <w:sz w:val="22"/>
          <w:szCs w:val="22"/>
          <w:lang w:eastAsia="en-GB"/>
        </w:rPr>
        <w:t>o)</w:t>
      </w:r>
      <w:r w:rsidRPr="00EA54DA">
        <w:rPr>
          <w:rFonts w:ascii="TradeGothic" w:hAnsi="TradeGothic"/>
          <w:b/>
          <w:sz w:val="22"/>
          <w:szCs w:val="22"/>
          <w:lang w:eastAsia="en-GB"/>
        </w:rPr>
        <w:tab/>
        <w:t xml:space="preserve">Konferensen "The Water, Energy and Food Security Nexus – Solution for a Green Economy" (Kopplingen mellan vatten, energi och tryggad livsmedelsförsörjning – Lösningar för en grön ekonomi) (Bonn den 16–18 november 2011)" </w:t>
      </w:r>
    </w:p>
    <w:p w:rsidR="00E97C0A" w:rsidRPr="00EA54DA" w:rsidRDefault="00E97C0A" w:rsidP="00E97C0A">
      <w:pPr>
        <w:spacing w:line="240" w:lineRule="auto"/>
        <w:ind w:left="851" w:hanging="851"/>
        <w:rPr>
          <w:rFonts w:ascii="TradeGothic" w:hAnsi="TradeGothic"/>
          <w:i/>
          <w:sz w:val="22"/>
          <w:szCs w:val="22"/>
          <w:lang w:eastAsia="en-GB"/>
        </w:rPr>
      </w:pPr>
      <w:r w:rsidRPr="00EA54DA">
        <w:rPr>
          <w:rFonts w:ascii="TradeGothic" w:hAnsi="TradeGothic"/>
          <w:i/>
          <w:sz w:val="22"/>
          <w:szCs w:val="22"/>
          <w:lang w:eastAsia="en-GB"/>
        </w:rPr>
        <w:tab/>
        <w:t>–</w:t>
      </w:r>
      <w:r w:rsidRPr="00EA54DA">
        <w:rPr>
          <w:rFonts w:ascii="TradeGothic" w:hAnsi="TradeGothic"/>
          <w:i/>
          <w:sz w:val="22"/>
          <w:szCs w:val="22"/>
          <w:lang w:eastAsia="en-GB"/>
        </w:rPr>
        <w:tab/>
      </w:r>
      <w:r w:rsidRPr="00EA54DA">
        <w:rPr>
          <w:rFonts w:ascii="TradeGothic" w:hAnsi="TradeGothic"/>
          <w:i/>
          <w:color w:val="000000"/>
          <w:sz w:val="22"/>
          <w:szCs w:val="22"/>
        </w:rPr>
        <w:t>Information från den tyska delegationen</w:t>
      </w:r>
    </w:p>
    <w:p w:rsidR="00E97C0A" w:rsidRPr="00EA54DA" w:rsidRDefault="00E97C0A" w:rsidP="00E97C0A">
      <w:pPr>
        <w:spacing w:line="240" w:lineRule="auto"/>
        <w:ind w:left="851" w:hanging="851"/>
        <w:rPr>
          <w:rFonts w:ascii="TradeGothic" w:hAnsi="TradeGothic"/>
          <w:i/>
          <w:sz w:val="22"/>
          <w:szCs w:val="22"/>
        </w:rPr>
      </w:pPr>
    </w:p>
    <w:p w:rsidR="00E97C0A" w:rsidRPr="00EA54DA" w:rsidRDefault="00E97C0A" w:rsidP="00E97C0A">
      <w:pPr>
        <w:tabs>
          <w:tab w:val="left" w:pos="2835"/>
        </w:tabs>
        <w:overflowPunct/>
        <w:spacing w:line="240" w:lineRule="auto"/>
        <w:textAlignment w:val="auto"/>
        <w:rPr>
          <w:rFonts w:cs="OrigGarmnd BT"/>
          <w:color w:val="000000"/>
          <w:szCs w:val="24"/>
          <w:lang w:eastAsia="sv-SE"/>
        </w:rPr>
      </w:pPr>
      <w:r w:rsidRPr="00EA54DA">
        <w:rPr>
          <w:rFonts w:cs="OrigGarmnd BT"/>
          <w:color w:val="000000"/>
          <w:szCs w:val="24"/>
          <w:lang w:eastAsia="sv-SE"/>
        </w:rPr>
        <w:t>Konferensen ”The Water, Energy and Food Security Nexus – Solutions for the Green Economy” ägde rum i Bonn den 16-18 november 2011 och syftade till att föra samman en bred krets av intressenter för att diskutera temat. Konferensen är ett bidrag till FN:s konferens om hållbar utveckling (UNSCD/Rio+20) och arrangerades i samarbete mellan de tyska Ekonomi- och Miljödepartementen. Särskilt fokus låg på interaktionen mellan vatten, energi och livsmedelsäkerhet och vikten av att ha en helhetsbild av detta. Syftet med konferensen var att presentera policyrekommendationer på basis av diskussioner i denna breda krets och att lyfta upp det nära beroendet mellan de tre områdena inför Rio+20. Konkreta initiativ på temat presenterades.</w:t>
      </w:r>
    </w:p>
    <w:p w:rsidR="00E97C0A" w:rsidRPr="00EA54DA" w:rsidRDefault="00E97C0A" w:rsidP="00E97C0A">
      <w:pPr>
        <w:tabs>
          <w:tab w:val="left" w:pos="2835"/>
        </w:tabs>
        <w:overflowPunct/>
        <w:spacing w:line="240" w:lineRule="auto"/>
        <w:textAlignment w:val="auto"/>
        <w:rPr>
          <w:rFonts w:cs="OrigGarmnd BT"/>
          <w:color w:val="000000"/>
          <w:szCs w:val="24"/>
          <w:lang w:eastAsia="sv-SE"/>
        </w:rPr>
      </w:pPr>
    </w:p>
    <w:p w:rsidR="00E97C0A" w:rsidRPr="00EA54DA" w:rsidRDefault="00E97C0A" w:rsidP="00E97C0A">
      <w:pPr>
        <w:tabs>
          <w:tab w:val="left" w:pos="2835"/>
        </w:tabs>
        <w:overflowPunct/>
        <w:spacing w:line="240" w:lineRule="auto"/>
        <w:textAlignment w:val="auto"/>
        <w:rPr>
          <w:rFonts w:cs="OrigGarmnd BT"/>
          <w:color w:val="000000"/>
          <w:szCs w:val="24"/>
          <w:lang w:eastAsia="sv-SE"/>
        </w:rPr>
      </w:pPr>
      <w:r w:rsidRPr="00EA54DA">
        <w:rPr>
          <w:rFonts w:cs="OrigGarmnd BT"/>
          <w:color w:val="000000"/>
          <w:szCs w:val="24"/>
          <w:lang w:eastAsia="sv-SE"/>
        </w:rPr>
        <w:t xml:space="preserve">Sverige deltog vid mötet i panel och presentationer av Stockholm Environment Institute, Stockholm International Water Institute och Kungliga Tekniska Högskolan. </w:t>
      </w:r>
    </w:p>
    <w:p w:rsidR="00E97C0A" w:rsidRPr="00EA54DA" w:rsidRDefault="00E97C0A" w:rsidP="00E97C0A">
      <w:pPr>
        <w:spacing w:line="240" w:lineRule="auto"/>
        <w:ind w:left="851" w:hanging="851"/>
        <w:rPr>
          <w:rFonts w:ascii="TradeGothic" w:hAnsi="TradeGothic"/>
          <w:i/>
          <w:sz w:val="22"/>
          <w:szCs w:val="22"/>
        </w:rPr>
      </w:pPr>
    </w:p>
    <w:p w:rsidR="00E97C0A" w:rsidRPr="00EA54DA" w:rsidRDefault="00E97C0A" w:rsidP="00E97C0A">
      <w:pPr>
        <w:spacing w:line="240" w:lineRule="auto"/>
        <w:ind w:left="851" w:hanging="851"/>
        <w:rPr>
          <w:rFonts w:ascii="TradeGothic" w:hAnsi="TradeGothic"/>
          <w:i/>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p)</w:t>
      </w:r>
      <w:r w:rsidRPr="00EA54DA">
        <w:rPr>
          <w:rFonts w:ascii="TradeGothic" w:hAnsi="TradeGothic"/>
          <w:b/>
          <w:sz w:val="22"/>
          <w:szCs w:val="22"/>
        </w:rPr>
        <w:tab/>
      </w:r>
      <w:r w:rsidRPr="00EA54DA">
        <w:rPr>
          <w:rFonts w:ascii="TradeGothic" w:hAnsi="TradeGothic"/>
          <w:b/>
          <w:color w:val="000000"/>
          <w:sz w:val="22"/>
          <w:szCs w:val="22"/>
        </w:rPr>
        <w:t>ETS/Luftfart</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sz w:val="22"/>
          <w:szCs w:val="22"/>
        </w:rPr>
        <w:tab/>
        <w:t>–</w:t>
      </w:r>
      <w:r w:rsidRPr="00EA54DA">
        <w:rPr>
          <w:rFonts w:ascii="TradeGothic" w:hAnsi="TradeGothic"/>
          <w:i/>
          <w:sz w:val="22"/>
          <w:szCs w:val="22"/>
        </w:rPr>
        <w:tab/>
      </w:r>
      <w:r w:rsidRPr="00EA54DA">
        <w:rPr>
          <w:rFonts w:ascii="TradeGothic" w:hAnsi="TradeGothic"/>
          <w:i/>
          <w:color w:val="000000"/>
          <w:sz w:val="22"/>
          <w:szCs w:val="22"/>
        </w:rPr>
        <w:t>Muntlig information från kommissionen</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pStyle w:val="RKnormal"/>
        <w:rPr>
          <w:rFonts w:eastAsia="MS Mincho"/>
          <w:lang w:eastAsia="ja-JP"/>
        </w:rPr>
      </w:pPr>
      <w:r w:rsidRPr="00EA54DA">
        <w:rPr>
          <w:rFonts w:eastAsia="MS Mincho"/>
          <w:lang w:eastAsia="ja-JP"/>
        </w:rPr>
        <w:t xml:space="preserve">Från och med 2012 omfattas luftfart av EU:s system för handel med utsläppsrätter. Flygningar såväl inom som till och från EU omfattas av systemet oberoende av i vilket land bolaget som genomför en flygning har sin hemvist. För att undvika dubbelreglering finns en möjlighet att undanta flygningar från länder som vidtagit motsvarande åtgärder som EU för att begränsa flygets utsläpp. </w:t>
      </w:r>
    </w:p>
    <w:p w:rsidR="00E97C0A" w:rsidRPr="00EA54DA" w:rsidRDefault="00E97C0A" w:rsidP="00E97C0A">
      <w:pPr>
        <w:pStyle w:val="RKnormal"/>
        <w:rPr>
          <w:rFonts w:eastAsia="MS Mincho"/>
          <w:lang w:eastAsia="ja-JP"/>
        </w:rPr>
      </w:pPr>
    </w:p>
    <w:p w:rsidR="00E97C0A" w:rsidRPr="00EA54DA" w:rsidRDefault="00E97C0A" w:rsidP="00E97C0A">
      <w:pPr>
        <w:pStyle w:val="RKnormal"/>
        <w:rPr>
          <w:rFonts w:eastAsia="MS Mincho"/>
          <w:lang w:eastAsia="ja-JP"/>
        </w:rPr>
      </w:pPr>
      <w:r w:rsidRPr="00EA54DA">
        <w:rPr>
          <w:rFonts w:eastAsia="MS Mincho"/>
          <w:lang w:eastAsia="ja-JP"/>
        </w:rPr>
        <w:t xml:space="preserve">Tidigt stod det klart att flera amerikanska flygbolag inte accepterar att ingå i EU:s system för handel med utsläppsrätter. Bolagen och deras branschorganisationer menar att de ändringar av EU:s direktiv om handel med utsläppsrätter som innebär att även luftfarten omfattas av handelssystemet strider mot Chicagokonventionen och folkrätten och därför är ogiltigt i stora delar.  Talan väcktes under 2010 i nationell brittisk domstol och denna har begärt ett förhandsavgörande av EU-domstolen som för närvarande behandlar ärendet. </w:t>
      </w:r>
    </w:p>
    <w:p w:rsidR="00E97C0A" w:rsidRPr="00EA54DA" w:rsidRDefault="00E97C0A" w:rsidP="00E97C0A">
      <w:pPr>
        <w:pStyle w:val="RKnormal"/>
        <w:rPr>
          <w:rFonts w:eastAsia="MS Mincho"/>
          <w:lang w:eastAsia="ja-JP"/>
        </w:rPr>
      </w:pPr>
    </w:p>
    <w:p w:rsidR="00E97C0A" w:rsidRPr="00EA54DA" w:rsidRDefault="00E97C0A" w:rsidP="00E97C0A">
      <w:pPr>
        <w:pStyle w:val="RKnormal"/>
        <w:rPr>
          <w:rFonts w:eastAsia="MS Mincho"/>
          <w:lang w:eastAsia="ja-JP"/>
        </w:rPr>
      </w:pPr>
      <w:r w:rsidRPr="00EA54DA">
        <w:rPr>
          <w:rFonts w:eastAsia="MS Mincho"/>
          <w:lang w:eastAsia="ja-JP"/>
        </w:rPr>
        <w:t>Under 2011 har kinesiska flygbolag uttryckt stort missnöje över att de kommer att omfattas av EU:s handelssystem och de har bland annat hotat med motåtgärder som skulle drabba europeiska flygbolag och flygplanstillverkare. Kina har även från statligt håll kritiserat EU i frågan. Flera andra länder har stämt in i kritiken och en icke-bindande resolution som kritiserar EU:s agerande antogs av ICAO:s råd november 2011. De EU-länder som har säte i ICAO:s råd reserverade sig mot beslutet.</w:t>
      </w:r>
    </w:p>
    <w:p w:rsidR="00E97C0A" w:rsidRPr="00EA54DA" w:rsidRDefault="00E97C0A" w:rsidP="00E97C0A">
      <w:pPr>
        <w:pStyle w:val="RKnormal"/>
        <w:rPr>
          <w:rFonts w:eastAsia="MS Mincho"/>
          <w:lang w:eastAsia="ja-JP"/>
        </w:rPr>
      </w:pPr>
    </w:p>
    <w:p w:rsidR="00E97C0A" w:rsidRPr="00EA54DA" w:rsidRDefault="00E97C0A" w:rsidP="00E97C0A">
      <w:pPr>
        <w:pStyle w:val="RKnormal"/>
        <w:rPr>
          <w:rFonts w:eastAsia="MS Mincho"/>
          <w:lang w:eastAsia="ja-JP"/>
        </w:rPr>
      </w:pPr>
      <w:r w:rsidRPr="00EA54DA">
        <w:rPr>
          <w:rFonts w:eastAsia="MS Mincho"/>
          <w:lang w:eastAsia="ja-JP"/>
        </w:rPr>
        <w:t>Kommissionär Hedegaard har vid flera tillfällen manat till politisk uppslutning bakom EU:s beslut om att inkludera flyget i systemet för handel med utsläppsrätter mot bakgrund av den upptrappade lobbyingen i frågan.</w:t>
      </w:r>
    </w:p>
    <w:p w:rsidR="00E97C0A" w:rsidRPr="00EA54DA" w:rsidRDefault="00E97C0A" w:rsidP="00E97C0A">
      <w:pPr>
        <w:pStyle w:val="RKnormal"/>
      </w:pPr>
    </w:p>
    <w:p w:rsidR="00E97C0A" w:rsidRPr="00EA54DA" w:rsidRDefault="00E97C0A" w:rsidP="00E97C0A">
      <w:pPr>
        <w:pStyle w:val="RKnormal"/>
      </w:pPr>
      <w:r w:rsidRPr="00EA54DA">
        <w:t xml:space="preserve">Regeringen står fullt ut bakom ändringarna i handelsdirektivet som innebär att EU:s utsläppshandelssystem utvidgats till att även omfatta luftfart, inklusive flygningar till och från EU </w:t>
      </w:r>
      <w:r w:rsidRPr="00EA54DA">
        <w:rPr>
          <w:rFonts w:eastAsia="MS Mincho"/>
          <w:lang w:eastAsia="ja-JP"/>
        </w:rPr>
        <w:t>oberoende av i vilket land bolaget som genomför en flygning har sin hemvist</w:t>
      </w:r>
      <w:r w:rsidRPr="00EA54DA">
        <w:t>. Regeringen har lämnat in ett skriftlig yttrande till EU-domstolen till stöd för direktivet och även muntligt framlagt detta för domstolen.</w:t>
      </w:r>
    </w:p>
    <w:p w:rsidR="00E97C0A" w:rsidRPr="00EA54DA" w:rsidRDefault="00E97C0A" w:rsidP="00E97C0A">
      <w:pPr>
        <w:spacing w:line="240" w:lineRule="auto"/>
        <w:ind w:left="851" w:hanging="851"/>
        <w:rPr>
          <w:rFonts w:ascii="TradeGothic" w:hAnsi="TradeGothic"/>
          <w:b/>
          <w:color w:val="000000"/>
          <w:sz w:val="22"/>
          <w:szCs w:val="22"/>
        </w:rPr>
      </w:pPr>
    </w:p>
    <w:p w:rsidR="00E97C0A" w:rsidRPr="00EA54DA" w:rsidRDefault="00E97C0A" w:rsidP="00E97C0A">
      <w:pPr>
        <w:spacing w:line="240" w:lineRule="auto"/>
        <w:ind w:left="851" w:hanging="851"/>
        <w:rPr>
          <w:rFonts w:ascii="TradeGothic" w:hAnsi="TradeGothic"/>
          <w:b/>
          <w:color w:val="000000"/>
          <w:sz w:val="22"/>
          <w:szCs w:val="22"/>
        </w:rPr>
      </w:pPr>
    </w:p>
    <w:p w:rsidR="00E97C0A" w:rsidRPr="00EA54DA" w:rsidRDefault="00E97C0A" w:rsidP="00E97C0A">
      <w:pPr>
        <w:spacing w:line="240" w:lineRule="auto"/>
        <w:ind w:left="851" w:hanging="851"/>
        <w:rPr>
          <w:rFonts w:ascii="TradeGothic" w:hAnsi="TradeGothic"/>
          <w:b/>
          <w:sz w:val="22"/>
          <w:szCs w:val="22"/>
        </w:rPr>
      </w:pPr>
      <w:r w:rsidRPr="00EA54DA">
        <w:rPr>
          <w:rFonts w:ascii="TradeGothic" w:hAnsi="TradeGothic"/>
          <w:b/>
          <w:sz w:val="22"/>
          <w:szCs w:val="22"/>
        </w:rPr>
        <w:t>q)</w:t>
      </w:r>
      <w:r w:rsidRPr="00EA54DA">
        <w:rPr>
          <w:rFonts w:ascii="TradeGothic" w:hAnsi="TradeGothic"/>
          <w:b/>
          <w:sz w:val="22"/>
          <w:szCs w:val="22"/>
        </w:rPr>
        <w:tab/>
        <w:t xml:space="preserve">Resultatet av det tionde mötet i konferensen mellan parterna i </w:t>
      </w:r>
      <w:r w:rsidRPr="00EA54DA">
        <w:rPr>
          <w:rFonts w:ascii="TradeGothic" w:hAnsi="TradeGothic"/>
          <w:b/>
          <w:color w:val="000000"/>
          <w:sz w:val="22"/>
          <w:szCs w:val="22"/>
        </w:rPr>
        <w:t xml:space="preserve">Förenta nationernas konvention för bekämpning av ökenspridning </w:t>
      </w:r>
      <w:r w:rsidRPr="00EA54DA">
        <w:rPr>
          <w:rFonts w:ascii="TradeGothic" w:hAnsi="TradeGothic"/>
          <w:b/>
          <w:sz w:val="22"/>
          <w:szCs w:val="22"/>
        </w:rPr>
        <w:br/>
        <w:t>(Changwon, Korea, den 10–21 oktober 2011)</w:t>
      </w:r>
    </w:p>
    <w:p w:rsidR="00E97C0A" w:rsidRPr="00EA54DA" w:rsidRDefault="00E97C0A" w:rsidP="00E97C0A">
      <w:pPr>
        <w:spacing w:line="240" w:lineRule="auto"/>
        <w:ind w:left="851" w:hanging="851"/>
        <w:rPr>
          <w:rFonts w:ascii="TradeGothic" w:hAnsi="TradeGothic"/>
          <w:i/>
          <w:sz w:val="22"/>
          <w:szCs w:val="22"/>
        </w:rPr>
      </w:pPr>
      <w:r w:rsidRPr="00EA54DA">
        <w:rPr>
          <w:rFonts w:ascii="TradeGothic" w:hAnsi="TradeGothic"/>
          <w:i/>
          <w:sz w:val="22"/>
          <w:szCs w:val="22"/>
        </w:rPr>
        <w:tab/>
        <w:t>–</w:t>
      </w:r>
      <w:r w:rsidRPr="00EA54DA">
        <w:rPr>
          <w:rFonts w:ascii="TradeGothic" w:hAnsi="TradeGothic"/>
          <w:i/>
          <w:sz w:val="22"/>
          <w:szCs w:val="22"/>
        </w:rPr>
        <w:tab/>
        <w:t>Information från ordförandeskapet</w:t>
      </w:r>
    </w:p>
    <w:p w:rsidR="00E97C0A" w:rsidRPr="00EA54DA" w:rsidRDefault="00E97C0A" w:rsidP="00E97C0A">
      <w:pPr>
        <w:spacing w:line="240" w:lineRule="auto"/>
        <w:ind w:left="851" w:hanging="851"/>
        <w:rPr>
          <w:rFonts w:ascii="TradeGothic" w:hAnsi="TradeGothic"/>
          <w:i/>
          <w:sz w:val="22"/>
          <w:szCs w:val="22"/>
        </w:rPr>
      </w:pPr>
    </w:p>
    <w:p w:rsidR="00E97C0A" w:rsidRPr="00EA54DA" w:rsidRDefault="00E97C0A" w:rsidP="00E97C0A">
      <w:pPr>
        <w:rPr>
          <w:lang w:eastAsia="sv-SE"/>
        </w:rPr>
      </w:pPr>
      <w:r w:rsidRPr="00EA54DA">
        <w:rPr>
          <w:lang w:eastAsia="sv-SE"/>
        </w:rPr>
        <w:t xml:space="preserve">I oktober i år hölls det tionde mötet med parterna till FN:s konvention för att bekämpa ökenspridning (UNCCD). Totalt deltog 156 länder. Tidigare år har </w:t>
      </w:r>
      <w:r w:rsidRPr="00EA54DA">
        <w:rPr>
          <w:bCs/>
          <w:lang w:eastAsia="sv-SE"/>
        </w:rPr>
        <w:t>UNCCD</w:t>
      </w:r>
      <w:r w:rsidRPr="00EA54DA">
        <w:rPr>
          <w:lang w:eastAsia="sv-SE"/>
        </w:rPr>
        <w:t xml:space="preserve"> haft samarbetsproblem i och med organisationsstrukturen, dvs. att den s.k. Globala mekanismen för att mobilisera resurser till länder drabbade av torka är knuten till IFAD </w:t>
      </w:r>
      <w:r w:rsidRPr="00EA54DA">
        <w:rPr>
          <w:bCs/>
          <w:lang w:eastAsia="sv-SE"/>
        </w:rPr>
        <w:t xml:space="preserve">(Internationella fonden för jordbruk och utveckling) </w:t>
      </w:r>
      <w:r w:rsidRPr="00EA54DA">
        <w:rPr>
          <w:lang w:eastAsia="sv-SE"/>
        </w:rPr>
        <w:t xml:space="preserve">i Rom, medan UNCCD:s sekretariat ligger i Bonn. Vid </w:t>
      </w:r>
      <w:r w:rsidRPr="00EA54DA">
        <w:rPr>
          <w:bCs/>
          <w:lang w:eastAsia="sv-SE"/>
        </w:rPr>
        <w:t>parts</w:t>
      </w:r>
      <w:r w:rsidRPr="00EA54DA">
        <w:rPr>
          <w:lang w:eastAsia="sv-SE"/>
        </w:rPr>
        <w:t>mötet beslutades att flytta över ansvar för redovisning och rättsliga frågor från Rom till Bonn i ett led att lösa organisatoriska och administrativa svårigheter. Sydkorea drev inför och vid mötet det s.k. Changwon-initiativet med syfte att förstärka den vetenskapliga grunden i organisationens arbete, uppbåda resurser och främja partnerskap samt förespråka “best practice” genom att inrätta ett pris som belönar länder som bedriver hållbart brukande av land. Initiativet antogs inte formellt. Generellt innebar mötet ett steg vidare i en reformprocess av UNCCD.</w:t>
      </w:r>
    </w:p>
    <w:p w:rsidR="00E97C0A" w:rsidRPr="00EA54DA" w:rsidRDefault="00E97C0A" w:rsidP="00E97C0A">
      <w:pPr>
        <w:rPr>
          <w:rFonts w:ascii="TradeGothic" w:hAnsi="TradeGothic"/>
          <w:i/>
          <w:sz w:val="22"/>
          <w:szCs w:val="22"/>
        </w:rPr>
      </w:pPr>
    </w:p>
    <w:p w:rsidR="00E97C0A" w:rsidRPr="00EA54DA" w:rsidRDefault="00E97C0A" w:rsidP="00E97C0A">
      <w:pPr>
        <w:spacing w:line="240" w:lineRule="auto"/>
        <w:ind w:left="851" w:hanging="851"/>
        <w:rPr>
          <w:rFonts w:ascii="TradeGothic" w:hAnsi="TradeGothic"/>
          <w:b/>
          <w:color w:val="000000"/>
          <w:sz w:val="22"/>
          <w:szCs w:val="22"/>
        </w:rPr>
      </w:pPr>
      <w:r w:rsidRPr="00EA54DA">
        <w:rPr>
          <w:rFonts w:ascii="TradeGothic" w:hAnsi="TradeGothic"/>
          <w:b/>
          <w:color w:val="000000"/>
          <w:sz w:val="22"/>
          <w:szCs w:val="22"/>
        </w:rPr>
        <w:t>r)</w:t>
      </w:r>
      <w:r w:rsidRPr="00EA54DA">
        <w:rPr>
          <w:rFonts w:ascii="TradeGothic" w:hAnsi="TradeGothic"/>
          <w:b/>
          <w:color w:val="000000"/>
          <w:sz w:val="22"/>
          <w:szCs w:val="22"/>
        </w:rPr>
        <w:tab/>
      </w:r>
      <w:r w:rsidRPr="00EA54DA">
        <w:rPr>
          <w:rFonts w:ascii="TradeGothic" w:hAnsi="TradeGothic"/>
          <w:b/>
          <w:sz w:val="22"/>
          <w:szCs w:val="22"/>
        </w:rPr>
        <w:t xml:space="preserve">Resultatet av </w:t>
      </w:r>
      <w:r w:rsidRPr="00EA54DA">
        <w:rPr>
          <w:rFonts w:ascii="TradeGothic" w:hAnsi="TradeGothic"/>
          <w:b/>
          <w:color w:val="000000"/>
          <w:sz w:val="22"/>
          <w:szCs w:val="22"/>
        </w:rPr>
        <w:t>det tionde mötet i konferensen mellan parterna i Baselkonventionen om kontroll av gränsöverskridande transporter och om slutligt omhändertagande av farligt avfall (Cartagena, Colombia, den 17–21 oktober 2011)</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Information från ordförandeskapet och kommissionen</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pStyle w:val="RKnormal"/>
      </w:pPr>
      <w:r w:rsidRPr="00EA54DA">
        <w:t>Det tionde partsmötet COP 10 under Baselkonventionen om gränsöverskridande transporter av avfall och slutligt omhändertagande hölls i Cartagena Colombia den 17- 21 oktober 2011. Baselkonventionen syftar till att skydda människors hälsa och miljön från påverkan som kan uppkomma genom hantering och gränsöverskridande transporter av farligt avfall. Detta gäller särskilt för utvecklingsländer.</w:t>
      </w:r>
    </w:p>
    <w:p w:rsidR="00E97C0A" w:rsidRPr="00EA54DA" w:rsidRDefault="00E97C0A" w:rsidP="00E97C0A">
      <w:pPr>
        <w:pStyle w:val="RKnormal"/>
      </w:pPr>
    </w:p>
    <w:p w:rsidR="00E97C0A" w:rsidRPr="00EA54DA" w:rsidRDefault="00E97C0A" w:rsidP="00E97C0A">
      <w:pPr>
        <w:overflowPunct/>
        <w:spacing w:line="240" w:lineRule="auto"/>
        <w:textAlignment w:val="auto"/>
        <w:rPr>
          <w:rFonts w:ascii="Tms Rmn" w:hAnsi="Tms Rmn"/>
          <w:szCs w:val="24"/>
          <w:lang w:eastAsia="sv-SE"/>
        </w:rPr>
      </w:pPr>
      <w:r w:rsidRPr="00EA54DA">
        <w:t xml:space="preserve">Det viktigaste resultatet från mötet var att en enighet nåddes om hur många parter som krävs för att det s. k. Ban-tillägget som förbjuder export av farligt avfall från OECD länder till icke-OECD länder ska träda ikraft. Mötet beslutade även om en nytt strategiskt ramverk för år 2012-2021. Det beslutades att sekretariatet får pröva utökade möjligheter för kontroll av efterlevnaden. På partsmötet för Baselkonventionen beslutades även om att godkänna det gemensamma beslut om samarbete och koordinering och få synergier mellan de tre konventionerna, vilket redan beslutats för Stockholm- och Rotterdamkonventionen. Parterna kunde dock inte enas om huruvida den nya Hong Kong-konventionen som reglerar återvinning av fartyg har en likvärdigt miljöskydd som Baselkonventionen. En deklaration om förebyggande och minimering av avfall antogs på initiativ av värdlandet Colombia. </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spacing w:line="240" w:lineRule="auto"/>
        <w:ind w:left="851" w:hanging="851"/>
        <w:rPr>
          <w:rFonts w:ascii="TradeGothic" w:hAnsi="TradeGothic"/>
          <w:b/>
          <w:bCs/>
          <w:iCs/>
          <w:sz w:val="22"/>
          <w:szCs w:val="22"/>
        </w:rPr>
      </w:pPr>
      <w:r w:rsidRPr="00EA54DA">
        <w:rPr>
          <w:rFonts w:ascii="TradeGothic" w:hAnsi="TradeGothic"/>
          <w:b/>
          <w:bCs/>
          <w:iCs/>
          <w:sz w:val="22"/>
          <w:szCs w:val="22"/>
        </w:rPr>
        <w:t>s)</w:t>
      </w:r>
      <w:r w:rsidRPr="00EA54DA">
        <w:rPr>
          <w:rFonts w:ascii="TradeGothic" w:hAnsi="TradeGothic"/>
          <w:b/>
          <w:bCs/>
          <w:iCs/>
          <w:sz w:val="22"/>
          <w:szCs w:val="22"/>
        </w:rPr>
        <w:tab/>
      </w:r>
      <w:r w:rsidRPr="00EA54DA">
        <w:rPr>
          <w:rFonts w:ascii="TradeGothic" w:hAnsi="TradeGothic"/>
          <w:b/>
          <w:color w:val="000000"/>
          <w:sz w:val="22"/>
          <w:szCs w:val="22"/>
        </w:rPr>
        <w:t>Reach och kandidatlistan över ämnen som inger mycket stora betänkligheter för människors hälsa och miljön</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bCs/>
          <w:i/>
          <w:iCs/>
          <w:sz w:val="22"/>
          <w:szCs w:val="22"/>
        </w:rPr>
        <w:tab/>
        <w:t>–</w:t>
      </w:r>
      <w:r w:rsidRPr="00EA54DA">
        <w:rPr>
          <w:rFonts w:ascii="TradeGothic" w:hAnsi="TradeGothic"/>
          <w:bCs/>
          <w:i/>
          <w:iCs/>
          <w:sz w:val="22"/>
          <w:szCs w:val="22"/>
        </w:rPr>
        <w:tab/>
      </w:r>
      <w:r w:rsidRPr="00EA54DA">
        <w:rPr>
          <w:rFonts w:ascii="TradeGothic" w:hAnsi="TradeGothic"/>
          <w:i/>
          <w:color w:val="000000"/>
          <w:sz w:val="22"/>
          <w:szCs w:val="22"/>
        </w:rPr>
        <w:t>Information från kommissionen</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pStyle w:val="RKnormal"/>
        <w:rPr>
          <w:iCs/>
          <w:color w:val="000000"/>
        </w:rPr>
      </w:pPr>
      <w:r w:rsidRPr="00EA54DA">
        <w:rPr>
          <w:iCs/>
          <w:color w:val="000000"/>
        </w:rPr>
        <w:t xml:space="preserve">EU:s kemikalieförordning REACH (1907/2006) om registrering, utvärdering, godkännande och begränsning av kemikalier är en horisontell kemikalielagstiftning för kontroll av farliga kemikalier. REACH inbegriper bestämmelser om tillståndsprövning för ämnen som inger mycket stora risker för människors hälsa och miljö (SVHC – Substances of Very High Concern). Syftet är att kontrollera riskerna vid användning och gradvis ersätta dessa ämnen där så är tekniskt och ekonomiskt genomförbart. Dessa ämnen ska identifieras av medlemsstaterna och av EU-kommissionen och successivt inkluderas i en kandidatförteckning för  att  slutligen inkluderas i förteckningen över tillståndsämnen (bilaga XIV). Kommissionärerna Tajani och Potocnik meddelade i ett brev i mars 2010 att arbetet med att inkludera nya ämnen i kandidatföreteckningen behöver trappas upp. Målsättningen skulle vara att ha inkluderat minst 136 ämnen i förteckningen senast utgången av 2012. </w:t>
      </w:r>
    </w:p>
    <w:p w:rsidR="00E97C0A" w:rsidRPr="00EA54DA" w:rsidRDefault="00E97C0A" w:rsidP="00E97C0A">
      <w:pPr>
        <w:pStyle w:val="RKnormal"/>
        <w:rPr>
          <w:iCs/>
          <w:color w:val="000000"/>
        </w:rPr>
      </w:pPr>
    </w:p>
    <w:p w:rsidR="00E97C0A" w:rsidRPr="00EA54DA" w:rsidRDefault="00E97C0A" w:rsidP="00E97C0A">
      <w:pPr>
        <w:pStyle w:val="RKnormal"/>
        <w:rPr>
          <w:iCs/>
          <w:color w:val="000000"/>
        </w:rPr>
      </w:pPr>
      <w:r w:rsidRPr="00EA54DA">
        <w:rPr>
          <w:iCs/>
          <w:color w:val="000000"/>
        </w:rPr>
        <w:t>EU-kommissionen noterar nu att förteckningen till januari 2012 sannolikt inte kommer att innehålla fler än 73 ämnen. Därmed återstår att identifiera ytterligare minst 63 ämnen till utgången av 2012 för att nå kommissionärernas mål. EU-kommissionen bedömer att ECHA fullgör sina uppgifter och att det således är medlemsstaterna som måste öka sina ansträngningar.</w:t>
      </w:r>
    </w:p>
    <w:p w:rsidR="00E97C0A" w:rsidRPr="00EA54DA" w:rsidRDefault="00E97C0A" w:rsidP="00E97C0A">
      <w:pPr>
        <w:spacing w:line="240" w:lineRule="auto"/>
        <w:ind w:left="851" w:hanging="851"/>
        <w:rPr>
          <w:rFonts w:ascii="TradeGothic" w:hAnsi="TradeGothic"/>
          <w:b/>
          <w:bCs/>
          <w:sz w:val="22"/>
          <w:szCs w:val="22"/>
        </w:rPr>
      </w:pPr>
    </w:p>
    <w:p w:rsidR="00E97C0A" w:rsidRPr="00EA54DA" w:rsidRDefault="00E97C0A" w:rsidP="00E97C0A">
      <w:pPr>
        <w:spacing w:line="240" w:lineRule="auto"/>
        <w:ind w:left="851" w:hanging="851"/>
        <w:rPr>
          <w:rFonts w:ascii="TradeGothic" w:hAnsi="TradeGothic"/>
          <w:b/>
          <w:color w:val="000000"/>
          <w:sz w:val="22"/>
          <w:szCs w:val="22"/>
        </w:rPr>
      </w:pPr>
      <w:r w:rsidRPr="00EA54DA">
        <w:rPr>
          <w:rFonts w:ascii="TradeGothic" w:hAnsi="TradeGothic"/>
          <w:b/>
          <w:color w:val="000000"/>
          <w:sz w:val="22"/>
          <w:szCs w:val="22"/>
        </w:rPr>
        <w:t>t)</w:t>
      </w:r>
      <w:r w:rsidRPr="00EA54DA">
        <w:rPr>
          <w:rFonts w:ascii="TradeGothic" w:hAnsi="TradeGothic"/>
          <w:b/>
          <w:color w:val="000000"/>
          <w:sz w:val="22"/>
          <w:szCs w:val="22"/>
        </w:rPr>
        <w:tab/>
        <w:t>Årlig tillväxtöversikt</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Muntlig information från kommissionen</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rPr>
          <w:lang w:eastAsia="sv-SE"/>
        </w:rPr>
      </w:pPr>
      <w:r w:rsidRPr="00EA54DA">
        <w:rPr>
          <w:lang w:eastAsia="sv-SE"/>
        </w:rPr>
        <w:t xml:space="preserve">Den 23 november 2011 presenterade kommissionen sin årliga tillväxtrapport för 2012. Rapporten anger förslag till övergripande prioriteringar för den ekonomiska- och sysselsättningspolitiken för de kommande 12 månaderna inom ramen för den andra europeiska terminen. I tillväxtrapporten pekar kommissionen på det brådskande behovet av att komma tillrätta med krisen i euroområdet och återskapa förtroende för att därmed undvika en kraftig försämring av det ekonomiska läget i hela EU. Kommissionens årliga tillväxtrapport kommer att ligga till grund för behandlingen vid Europeiska rådets möte den 1-2 mars 2012. Rådsslutsatser från Europeiska rådet kommer att vara vägledande inför medlemsstaternas rapportering om genomförande inom Europa 2020-strategin och Stabilitets- och tillväxtpakten. </w:t>
      </w: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spacing w:line="240" w:lineRule="auto"/>
        <w:ind w:left="851" w:hanging="851"/>
        <w:rPr>
          <w:rFonts w:ascii="TradeGothic" w:hAnsi="TradeGothic"/>
          <w:i/>
          <w:color w:val="000000"/>
          <w:sz w:val="22"/>
          <w:szCs w:val="22"/>
        </w:rPr>
      </w:pPr>
    </w:p>
    <w:p w:rsidR="00E97C0A" w:rsidRPr="00EA54DA" w:rsidRDefault="00E97C0A" w:rsidP="00E97C0A">
      <w:pPr>
        <w:spacing w:line="240" w:lineRule="auto"/>
        <w:ind w:left="851" w:hanging="851"/>
        <w:rPr>
          <w:rFonts w:ascii="TradeGothic" w:hAnsi="TradeGothic"/>
          <w:b/>
          <w:color w:val="000000"/>
          <w:sz w:val="22"/>
          <w:szCs w:val="22"/>
        </w:rPr>
      </w:pPr>
      <w:r w:rsidRPr="00EA54DA">
        <w:rPr>
          <w:rFonts w:ascii="TradeGothic" w:hAnsi="TradeGothic"/>
          <w:b/>
          <w:color w:val="000000"/>
          <w:sz w:val="22"/>
          <w:szCs w:val="22"/>
        </w:rPr>
        <w:t>u)</w:t>
      </w:r>
      <w:r w:rsidRPr="00EA54DA">
        <w:rPr>
          <w:rFonts w:ascii="TradeGothic" w:hAnsi="TradeGothic"/>
          <w:b/>
          <w:color w:val="000000"/>
          <w:sz w:val="22"/>
          <w:szCs w:val="22"/>
        </w:rPr>
        <w:tab/>
        <w:t>Arbetsprogram för det tillträdande ordförandeskapet</w:t>
      </w:r>
    </w:p>
    <w:p w:rsidR="00E97C0A" w:rsidRPr="00EA54DA" w:rsidRDefault="00E97C0A" w:rsidP="00E97C0A">
      <w:pPr>
        <w:spacing w:line="240" w:lineRule="auto"/>
        <w:ind w:left="851" w:hanging="851"/>
        <w:rPr>
          <w:rFonts w:ascii="TradeGothic" w:hAnsi="TradeGothic"/>
          <w:i/>
          <w:color w:val="000000"/>
          <w:sz w:val="22"/>
          <w:szCs w:val="22"/>
        </w:rPr>
      </w:pPr>
      <w:r w:rsidRPr="00EA54DA">
        <w:rPr>
          <w:rFonts w:ascii="TradeGothic" w:hAnsi="TradeGothic"/>
          <w:i/>
          <w:color w:val="000000"/>
          <w:sz w:val="22"/>
          <w:szCs w:val="22"/>
        </w:rPr>
        <w:tab/>
        <w:t>–</w:t>
      </w:r>
      <w:r w:rsidRPr="00EA54DA">
        <w:rPr>
          <w:rFonts w:ascii="TradeGothic" w:hAnsi="TradeGothic"/>
          <w:i/>
          <w:color w:val="000000"/>
          <w:sz w:val="22"/>
          <w:szCs w:val="22"/>
        </w:rPr>
        <w:tab/>
        <w:t>Information från den danska delegationen</w:t>
      </w:r>
    </w:p>
    <w:p w:rsidR="00E97C0A" w:rsidRPr="00EA54DA" w:rsidRDefault="00E97C0A" w:rsidP="00E97C0A">
      <w:pPr>
        <w:spacing w:line="240" w:lineRule="auto"/>
        <w:ind w:left="851" w:hanging="851"/>
        <w:rPr>
          <w:rFonts w:ascii="TradeGothic" w:hAnsi="TradeGothic"/>
          <w:i/>
          <w:color w:val="000000"/>
          <w:sz w:val="22"/>
          <w:szCs w:val="22"/>
        </w:rPr>
      </w:pPr>
    </w:p>
    <w:p w:rsidR="004B4F9C" w:rsidRPr="00EA54DA" w:rsidRDefault="00E97C0A" w:rsidP="00E97C0A">
      <w:pPr>
        <w:pStyle w:val="RKnormal"/>
      </w:pPr>
      <w:r w:rsidRPr="00EA54DA">
        <w:t xml:space="preserve">Danmark tar över ordförandeskapet i EU efter Polen. Det danska ordförandeskapet sträcker sig från den 1 januari till den 30 juni 2012. Vid rådsmötet den 19 december har den danska delegationen för avsikt att presentera sitt arbetsprogram för denna period. </w:t>
      </w:r>
    </w:p>
    <w:sectPr w:rsidR="004B4F9C" w:rsidRPr="00EA54DA">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F5A76" w:rsidRPr="00EA54DA" w:rsidRDefault="005F5A76">
      <w:r w:rsidRPr="00EA54DA">
        <w:separator/>
      </w:r>
    </w:p>
  </w:endnote>
  <w:endnote w:type="continuationSeparator" w:id="0">
    <w:p w:rsidR="005F5A76" w:rsidRPr="00EA54DA" w:rsidRDefault="005F5A76">
      <w:r w:rsidRPr="00EA54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panose1 w:val="00000000000000000000"/>
    <w:charset w:val="00"/>
    <w:family w:val="roman"/>
    <w:notTrueType/>
    <w:pitch w:val="variable"/>
    <w:sig w:usb0="00000003" w:usb1="00000000" w:usb2="00000000" w:usb3="00000000" w:csb0="00000001" w:csb1="00000000"/>
  </w:font>
  <w:font w:name="TradeGoth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Berkeley-Book">
    <w:altName w:val="Cambri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F5A76" w:rsidRPr="00EA54DA" w:rsidRDefault="005F5A76">
      <w:r w:rsidRPr="00EA54DA">
        <w:separator/>
      </w:r>
    </w:p>
  </w:footnote>
  <w:footnote w:type="continuationSeparator" w:id="0">
    <w:p w:rsidR="005F5A76" w:rsidRPr="00EA54DA" w:rsidRDefault="005F5A76">
      <w:r w:rsidRPr="00EA54DA">
        <w:continuationSeparator/>
      </w:r>
    </w:p>
  </w:footnote>
  <w:footnote w:id="1">
    <w:p w:rsidR="003C40E4" w:rsidRPr="00EA54DA" w:rsidRDefault="003C40E4" w:rsidP="0057468B">
      <w:pPr>
        <w:overflowPunct/>
        <w:spacing w:line="240" w:lineRule="auto"/>
        <w:jc w:val="both"/>
        <w:textAlignment w:val="auto"/>
        <w:rPr>
          <w:rFonts w:ascii="Berkeley-Book" w:hAnsi="Berkeley-Book" w:cs="Berkeley-Book"/>
          <w:sz w:val="20"/>
          <w:lang w:eastAsia="sv-SE"/>
        </w:rPr>
      </w:pPr>
      <w:r w:rsidRPr="00EA54DA">
        <w:rPr>
          <w:rStyle w:val="Fotnotsreferens"/>
        </w:rPr>
        <w:footnoteRef/>
      </w:r>
      <w:r w:rsidRPr="00EA54DA">
        <w:t xml:space="preserve"> </w:t>
      </w:r>
      <w:r w:rsidRPr="00EA54DA">
        <w:rPr>
          <w:sz w:val="20"/>
        </w:rPr>
        <w:t>Förordning (EG) nr 1272/2008 om klassificering, märkning och förpackning av ämnen och blandningar trädde i kraft i januari 2009. Inom ramen för förordningen klassificeras ett stort antal kemiska ämnen och blandningar. Ett av syftena med CLP-förordningen är att uppnå en harmonisering angående bestämmandet av vilka egenskaper hos ämnen och blandningar som bör leda till att de klassificeras som farliga.</w:t>
      </w:r>
    </w:p>
    <w:p w:rsidR="003C40E4" w:rsidRPr="00EA54DA" w:rsidRDefault="003C40E4" w:rsidP="0057468B">
      <w:pPr>
        <w:rPr>
          <w:sz w:val="20"/>
        </w:rPr>
      </w:pPr>
    </w:p>
    <w:p w:rsidR="003C40E4" w:rsidRPr="00EA54DA" w:rsidRDefault="003C40E4" w:rsidP="0057468B">
      <w:pPr>
        <w:pStyle w:val="Fotnots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E4" w:rsidRPr="00EA54DA" w:rsidRDefault="003C40E4">
    <w:pPr>
      <w:pStyle w:val="Sidhuvud"/>
      <w:framePr w:wrap="around" w:vAnchor="text" w:hAnchor="margin" w:xAlign="right" w:y="1"/>
      <w:rPr>
        <w:rStyle w:val="Sidnummer"/>
      </w:rPr>
    </w:pPr>
    <w:r w:rsidRPr="00EA54DA">
      <w:rPr>
        <w:rStyle w:val="Sidnummer"/>
      </w:rPr>
      <w:fldChar w:fldCharType="begin" w:fldLock="1"/>
    </w:r>
    <w:r w:rsidRPr="00EA54DA">
      <w:rPr>
        <w:rStyle w:val="Sidnummer"/>
      </w:rPr>
      <w:instrText xml:space="preserve">PAGE  </w:instrText>
    </w:r>
    <w:r w:rsidRPr="00EA54DA">
      <w:rPr>
        <w:rStyle w:val="Sidnummer"/>
      </w:rPr>
      <w:fldChar w:fldCharType="separate"/>
    </w:r>
    <w:r w:rsidR="00EC4C7E" w:rsidRPr="00EA54DA">
      <w:rPr>
        <w:rStyle w:val="Sidnummer"/>
      </w:rPr>
      <w:t>18</w:t>
    </w:r>
    <w:r w:rsidRPr="00EA54D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C40E4" w:rsidRPr="00EA54DA">
      <w:tblPrEx>
        <w:tblCellMar>
          <w:top w:w="0" w:type="dxa"/>
          <w:bottom w:w="0" w:type="dxa"/>
        </w:tblCellMar>
      </w:tblPrEx>
      <w:trPr>
        <w:cantSplit/>
      </w:trPr>
      <w:tc>
        <w:tcPr>
          <w:tcW w:w="3119" w:type="dxa"/>
        </w:tcPr>
        <w:p w:rsidR="003C40E4" w:rsidRPr="00EA54DA" w:rsidRDefault="003C40E4">
          <w:pPr>
            <w:pStyle w:val="Sidhuvud"/>
            <w:spacing w:line="200" w:lineRule="atLeast"/>
            <w:ind w:right="357"/>
            <w:rPr>
              <w:rFonts w:ascii="TradeGothic" w:hAnsi="TradeGothic"/>
              <w:b/>
              <w:bCs/>
              <w:sz w:val="16"/>
            </w:rPr>
          </w:pPr>
        </w:p>
      </w:tc>
      <w:tc>
        <w:tcPr>
          <w:tcW w:w="4111" w:type="dxa"/>
          <w:tcMar>
            <w:left w:w="567" w:type="dxa"/>
          </w:tcMar>
        </w:tcPr>
        <w:p w:rsidR="003C40E4" w:rsidRPr="00EA54DA" w:rsidRDefault="003C40E4">
          <w:pPr>
            <w:pStyle w:val="Sidhuvud"/>
            <w:ind w:right="360"/>
          </w:pPr>
        </w:p>
      </w:tc>
      <w:tc>
        <w:tcPr>
          <w:tcW w:w="1525" w:type="dxa"/>
        </w:tcPr>
        <w:p w:rsidR="003C40E4" w:rsidRPr="00EA54DA" w:rsidRDefault="003C40E4">
          <w:pPr>
            <w:pStyle w:val="Sidhuvud"/>
            <w:ind w:right="360"/>
          </w:pPr>
        </w:p>
      </w:tc>
    </w:tr>
  </w:tbl>
  <w:p w:rsidR="003C40E4" w:rsidRPr="00EA54DA" w:rsidRDefault="003C40E4">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E4" w:rsidRPr="00EA54DA" w:rsidRDefault="003C40E4">
    <w:pPr>
      <w:pStyle w:val="Sidhuvud"/>
      <w:framePr w:wrap="around" w:vAnchor="text" w:hAnchor="margin" w:xAlign="right" w:y="1"/>
      <w:rPr>
        <w:rStyle w:val="Sidnummer"/>
      </w:rPr>
    </w:pPr>
    <w:r w:rsidRPr="00EA54DA">
      <w:rPr>
        <w:rStyle w:val="Sidnummer"/>
      </w:rPr>
      <w:fldChar w:fldCharType="begin" w:fldLock="1"/>
    </w:r>
    <w:r w:rsidRPr="00EA54DA">
      <w:rPr>
        <w:rStyle w:val="Sidnummer"/>
      </w:rPr>
      <w:instrText xml:space="preserve">PAGE  </w:instrText>
    </w:r>
    <w:r w:rsidRPr="00EA54DA">
      <w:rPr>
        <w:rStyle w:val="Sidnummer"/>
      </w:rPr>
      <w:fldChar w:fldCharType="separate"/>
    </w:r>
    <w:r w:rsidR="00EC4C7E" w:rsidRPr="00EA54DA">
      <w:rPr>
        <w:rStyle w:val="Sidnummer"/>
      </w:rPr>
      <w:t>17</w:t>
    </w:r>
    <w:r w:rsidRPr="00EA54DA">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3C40E4" w:rsidRPr="00EA54DA">
      <w:tblPrEx>
        <w:tblCellMar>
          <w:top w:w="0" w:type="dxa"/>
          <w:bottom w:w="0" w:type="dxa"/>
        </w:tblCellMar>
      </w:tblPrEx>
      <w:trPr>
        <w:cantSplit/>
      </w:trPr>
      <w:tc>
        <w:tcPr>
          <w:tcW w:w="3119" w:type="dxa"/>
        </w:tcPr>
        <w:p w:rsidR="003C40E4" w:rsidRPr="00EA54DA" w:rsidRDefault="003C40E4">
          <w:pPr>
            <w:pStyle w:val="Sidhuvud"/>
            <w:spacing w:line="200" w:lineRule="atLeast"/>
            <w:ind w:right="357"/>
            <w:rPr>
              <w:rFonts w:ascii="TradeGothic" w:hAnsi="TradeGothic"/>
              <w:b/>
              <w:bCs/>
              <w:sz w:val="16"/>
            </w:rPr>
          </w:pPr>
        </w:p>
      </w:tc>
      <w:tc>
        <w:tcPr>
          <w:tcW w:w="4111" w:type="dxa"/>
          <w:tcMar>
            <w:left w:w="567" w:type="dxa"/>
          </w:tcMar>
        </w:tcPr>
        <w:p w:rsidR="003C40E4" w:rsidRPr="00EA54DA" w:rsidRDefault="003C40E4">
          <w:pPr>
            <w:pStyle w:val="Sidhuvud"/>
            <w:ind w:right="360"/>
          </w:pPr>
        </w:p>
      </w:tc>
      <w:tc>
        <w:tcPr>
          <w:tcW w:w="1525" w:type="dxa"/>
        </w:tcPr>
        <w:p w:rsidR="003C40E4" w:rsidRPr="00EA54DA" w:rsidRDefault="003C40E4">
          <w:pPr>
            <w:pStyle w:val="Sidhuvud"/>
            <w:ind w:right="360"/>
          </w:pPr>
        </w:p>
      </w:tc>
    </w:tr>
  </w:tbl>
  <w:p w:rsidR="003C40E4" w:rsidRPr="00EA54DA" w:rsidRDefault="003C40E4">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40E4" w:rsidRPr="00EA54DA" w:rsidRDefault="00EA54DA">
    <w:pPr>
      <w:framePr w:w="2948" w:h="1321" w:hRule="exact" w:wrap="notBeside" w:vAnchor="page" w:hAnchor="page" w:x="1362" w:y="653"/>
    </w:pPr>
    <w:r w:rsidRPr="00EA54DA">
      <w:rPr>
        <w:noProof/>
      </w:rPr>
      <w:drawing>
        <wp:inline distT="0" distB="0" distL="0" distR="0">
          <wp:extent cx="187261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2615" cy="838200"/>
                  </a:xfrm>
                  <a:prstGeom prst="rect">
                    <a:avLst/>
                  </a:prstGeom>
                  <a:noFill/>
                  <a:ln>
                    <a:noFill/>
                  </a:ln>
                </pic:spPr>
              </pic:pic>
            </a:graphicData>
          </a:graphic>
        </wp:inline>
      </w:drawing>
    </w:r>
  </w:p>
  <w:p w:rsidR="003C40E4" w:rsidRPr="00EA54DA" w:rsidRDefault="003C40E4">
    <w:pPr>
      <w:pStyle w:val="RKrubrik"/>
      <w:keepNext w:val="0"/>
      <w:tabs>
        <w:tab w:val="clear" w:pos="1134"/>
        <w:tab w:val="clear" w:pos="2835"/>
      </w:tabs>
      <w:spacing w:before="0" w:after="0" w:line="320" w:lineRule="atLeast"/>
      <w:rPr>
        <w:bCs/>
      </w:rPr>
    </w:pPr>
  </w:p>
  <w:p w:rsidR="003C40E4" w:rsidRPr="00EA54DA" w:rsidRDefault="003C40E4">
    <w:pPr>
      <w:rPr>
        <w:rFonts w:ascii="TradeGothic" w:hAnsi="TradeGothic"/>
        <w:b/>
        <w:bCs/>
        <w:spacing w:val="12"/>
        <w:sz w:val="22"/>
      </w:rPr>
    </w:pPr>
  </w:p>
  <w:p w:rsidR="003C40E4" w:rsidRPr="00EA54DA" w:rsidRDefault="003C40E4">
    <w:pPr>
      <w:pStyle w:val="RKrubrik"/>
      <w:keepNext w:val="0"/>
      <w:tabs>
        <w:tab w:val="clear" w:pos="1134"/>
        <w:tab w:val="clear" w:pos="2835"/>
      </w:tabs>
      <w:spacing w:before="0" w:after="0" w:line="320" w:lineRule="atLeast"/>
      <w:rPr>
        <w:bCs/>
      </w:rPr>
    </w:pPr>
  </w:p>
  <w:p w:rsidR="003C40E4" w:rsidRPr="00EA54DA" w:rsidRDefault="003C40E4">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578D"/>
    <w:multiLevelType w:val="hybridMultilevel"/>
    <w:tmpl w:val="2982C21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DBD383C"/>
    <w:multiLevelType w:val="hybridMultilevel"/>
    <w:tmpl w:val="23025C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3" w15:restartNumberingAfterBreak="0">
    <w:nsid w:val="36C90BFE"/>
    <w:multiLevelType w:val="hybridMultilevel"/>
    <w:tmpl w:val="BAE0979C"/>
    <w:lvl w:ilvl="0" w:tplc="0BA63CB0">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E61029"/>
    <w:multiLevelType w:val="hybridMultilevel"/>
    <w:tmpl w:val="B396138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62089E"/>
    <w:multiLevelType w:val="hybridMultilevel"/>
    <w:tmpl w:val="254E75B0"/>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6" w15:restartNumberingAfterBreak="0">
    <w:nsid w:val="70F10DFE"/>
    <w:multiLevelType w:val="hybridMultilevel"/>
    <w:tmpl w:val="137498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5447C33"/>
    <w:multiLevelType w:val="hybridMultilevel"/>
    <w:tmpl w:val="99C4A4F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955668728">
    <w:abstractNumId w:val="0"/>
  </w:num>
  <w:num w:numId="2" w16cid:durableId="1015307853">
    <w:abstractNumId w:val="5"/>
  </w:num>
  <w:num w:numId="3" w16cid:durableId="2047676548">
    <w:abstractNumId w:val="3"/>
  </w:num>
  <w:num w:numId="4" w16cid:durableId="1120994797">
    <w:abstractNumId w:val="2"/>
  </w:num>
  <w:num w:numId="5" w16cid:durableId="2133358126">
    <w:abstractNumId w:val="2"/>
  </w:num>
  <w:num w:numId="6" w16cid:durableId="389231026">
    <w:abstractNumId w:val="1"/>
  </w:num>
  <w:num w:numId="7" w16cid:durableId="1015427256">
    <w:abstractNumId w:val="4"/>
  </w:num>
  <w:num w:numId="8" w16cid:durableId="1296641772">
    <w:abstractNumId w:val="6"/>
  </w:num>
  <w:num w:numId="9" w16cid:durableId="162608506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Miljödepartementet"/>
    <w:docVar w:name="Regering" w:val="N"/>
  </w:docVars>
  <w:rsids>
    <w:rsidRoot w:val="00182B87"/>
    <w:rsid w:val="000046B5"/>
    <w:rsid w:val="00010AAC"/>
    <w:rsid w:val="000125EC"/>
    <w:rsid w:val="0003210C"/>
    <w:rsid w:val="00046CE4"/>
    <w:rsid w:val="0007686C"/>
    <w:rsid w:val="000A059F"/>
    <w:rsid w:val="000B71FE"/>
    <w:rsid w:val="000C6197"/>
    <w:rsid w:val="000D22BD"/>
    <w:rsid w:val="000D46B5"/>
    <w:rsid w:val="000D6DE8"/>
    <w:rsid w:val="000E2945"/>
    <w:rsid w:val="000F010D"/>
    <w:rsid w:val="000F0FA6"/>
    <w:rsid w:val="000F73CB"/>
    <w:rsid w:val="000F7ADF"/>
    <w:rsid w:val="001013D5"/>
    <w:rsid w:val="00122AE2"/>
    <w:rsid w:val="00125ED4"/>
    <w:rsid w:val="001402B3"/>
    <w:rsid w:val="00142158"/>
    <w:rsid w:val="00143A50"/>
    <w:rsid w:val="00150384"/>
    <w:rsid w:val="00155AFF"/>
    <w:rsid w:val="00167E4E"/>
    <w:rsid w:val="001805B7"/>
    <w:rsid w:val="00182B87"/>
    <w:rsid w:val="001939E0"/>
    <w:rsid w:val="001A2B19"/>
    <w:rsid w:val="001B5F5E"/>
    <w:rsid w:val="001C0BF1"/>
    <w:rsid w:val="001C689E"/>
    <w:rsid w:val="001C7976"/>
    <w:rsid w:val="0021107B"/>
    <w:rsid w:val="00211C5F"/>
    <w:rsid w:val="0022192E"/>
    <w:rsid w:val="00234C0D"/>
    <w:rsid w:val="00235E2F"/>
    <w:rsid w:val="0024570A"/>
    <w:rsid w:val="00246840"/>
    <w:rsid w:val="0026271E"/>
    <w:rsid w:val="0026624F"/>
    <w:rsid w:val="00274645"/>
    <w:rsid w:val="00275E6E"/>
    <w:rsid w:val="002A37A8"/>
    <w:rsid w:val="002B239E"/>
    <w:rsid w:val="002C61C9"/>
    <w:rsid w:val="002E00CF"/>
    <w:rsid w:val="00317D8E"/>
    <w:rsid w:val="00333538"/>
    <w:rsid w:val="00334357"/>
    <w:rsid w:val="00341439"/>
    <w:rsid w:val="00353351"/>
    <w:rsid w:val="00371848"/>
    <w:rsid w:val="00385051"/>
    <w:rsid w:val="003B393F"/>
    <w:rsid w:val="003C1008"/>
    <w:rsid w:val="003C1B21"/>
    <w:rsid w:val="003C40E4"/>
    <w:rsid w:val="003F1D29"/>
    <w:rsid w:val="00404F1F"/>
    <w:rsid w:val="004053C7"/>
    <w:rsid w:val="004132E5"/>
    <w:rsid w:val="004214F9"/>
    <w:rsid w:val="004348D9"/>
    <w:rsid w:val="00435D82"/>
    <w:rsid w:val="00450EC9"/>
    <w:rsid w:val="004518AF"/>
    <w:rsid w:val="00451E1D"/>
    <w:rsid w:val="00454A82"/>
    <w:rsid w:val="00456CEB"/>
    <w:rsid w:val="0047135B"/>
    <w:rsid w:val="004743D7"/>
    <w:rsid w:val="00476C40"/>
    <w:rsid w:val="004A328D"/>
    <w:rsid w:val="004B4F9C"/>
    <w:rsid w:val="004C601A"/>
    <w:rsid w:val="004D3067"/>
    <w:rsid w:val="004D356E"/>
    <w:rsid w:val="004D608B"/>
    <w:rsid w:val="004D6C09"/>
    <w:rsid w:val="00514B24"/>
    <w:rsid w:val="005404AB"/>
    <w:rsid w:val="005531D8"/>
    <w:rsid w:val="005577DF"/>
    <w:rsid w:val="005649E7"/>
    <w:rsid w:val="00570535"/>
    <w:rsid w:val="0057468B"/>
    <w:rsid w:val="00586624"/>
    <w:rsid w:val="005B004A"/>
    <w:rsid w:val="005B1417"/>
    <w:rsid w:val="005C3D27"/>
    <w:rsid w:val="005C5EB8"/>
    <w:rsid w:val="005C6D2A"/>
    <w:rsid w:val="005D3778"/>
    <w:rsid w:val="005F35A9"/>
    <w:rsid w:val="005F3F62"/>
    <w:rsid w:val="005F56E5"/>
    <w:rsid w:val="005F5A76"/>
    <w:rsid w:val="0063308B"/>
    <w:rsid w:val="006335E5"/>
    <w:rsid w:val="006678A0"/>
    <w:rsid w:val="006B458F"/>
    <w:rsid w:val="006C74C4"/>
    <w:rsid w:val="006C760F"/>
    <w:rsid w:val="006E4E11"/>
    <w:rsid w:val="006F0AB6"/>
    <w:rsid w:val="007000DE"/>
    <w:rsid w:val="00703584"/>
    <w:rsid w:val="00716A49"/>
    <w:rsid w:val="007242A3"/>
    <w:rsid w:val="00752556"/>
    <w:rsid w:val="00765021"/>
    <w:rsid w:val="00776771"/>
    <w:rsid w:val="00790C68"/>
    <w:rsid w:val="007B7A55"/>
    <w:rsid w:val="007C4A81"/>
    <w:rsid w:val="007E7C81"/>
    <w:rsid w:val="007F5879"/>
    <w:rsid w:val="007F6112"/>
    <w:rsid w:val="0080394C"/>
    <w:rsid w:val="00804149"/>
    <w:rsid w:val="0081192A"/>
    <w:rsid w:val="00842D8C"/>
    <w:rsid w:val="0084399F"/>
    <w:rsid w:val="00847208"/>
    <w:rsid w:val="00853430"/>
    <w:rsid w:val="00853E90"/>
    <w:rsid w:val="00873DAA"/>
    <w:rsid w:val="008824AC"/>
    <w:rsid w:val="00885B86"/>
    <w:rsid w:val="00891738"/>
    <w:rsid w:val="008B68DA"/>
    <w:rsid w:val="008C0E6F"/>
    <w:rsid w:val="008D1F24"/>
    <w:rsid w:val="008D4C4F"/>
    <w:rsid w:val="008D64C8"/>
    <w:rsid w:val="008E0FEC"/>
    <w:rsid w:val="008E7EE8"/>
    <w:rsid w:val="008F0537"/>
    <w:rsid w:val="008F10CB"/>
    <w:rsid w:val="008F49A1"/>
    <w:rsid w:val="00906F73"/>
    <w:rsid w:val="009124F7"/>
    <w:rsid w:val="00922DDF"/>
    <w:rsid w:val="009257FE"/>
    <w:rsid w:val="00925C33"/>
    <w:rsid w:val="00940617"/>
    <w:rsid w:val="0095521E"/>
    <w:rsid w:val="009615F7"/>
    <w:rsid w:val="00970A28"/>
    <w:rsid w:val="00993F01"/>
    <w:rsid w:val="009A4444"/>
    <w:rsid w:val="009B553A"/>
    <w:rsid w:val="009C24D7"/>
    <w:rsid w:val="009C3AD3"/>
    <w:rsid w:val="009C71BF"/>
    <w:rsid w:val="009F1513"/>
    <w:rsid w:val="009F41F4"/>
    <w:rsid w:val="009F5644"/>
    <w:rsid w:val="00A14415"/>
    <w:rsid w:val="00A21F7C"/>
    <w:rsid w:val="00A32A80"/>
    <w:rsid w:val="00A47099"/>
    <w:rsid w:val="00A50FB8"/>
    <w:rsid w:val="00A5484A"/>
    <w:rsid w:val="00A65D93"/>
    <w:rsid w:val="00A77272"/>
    <w:rsid w:val="00A86529"/>
    <w:rsid w:val="00AA31D4"/>
    <w:rsid w:val="00AA747B"/>
    <w:rsid w:val="00AB2A4E"/>
    <w:rsid w:val="00AC376E"/>
    <w:rsid w:val="00AD0E68"/>
    <w:rsid w:val="00AD7EA2"/>
    <w:rsid w:val="00AE3D36"/>
    <w:rsid w:val="00AE65C0"/>
    <w:rsid w:val="00AF12FC"/>
    <w:rsid w:val="00AF4FEA"/>
    <w:rsid w:val="00B34DE9"/>
    <w:rsid w:val="00B350DF"/>
    <w:rsid w:val="00B402F3"/>
    <w:rsid w:val="00B436B7"/>
    <w:rsid w:val="00B50411"/>
    <w:rsid w:val="00B6483B"/>
    <w:rsid w:val="00B722C0"/>
    <w:rsid w:val="00B73502"/>
    <w:rsid w:val="00B931CD"/>
    <w:rsid w:val="00BA0586"/>
    <w:rsid w:val="00BA223A"/>
    <w:rsid w:val="00BA37A1"/>
    <w:rsid w:val="00BC516A"/>
    <w:rsid w:val="00BD123C"/>
    <w:rsid w:val="00BD29B0"/>
    <w:rsid w:val="00BD2B17"/>
    <w:rsid w:val="00BD77AF"/>
    <w:rsid w:val="00BF0613"/>
    <w:rsid w:val="00C2293C"/>
    <w:rsid w:val="00C36CE6"/>
    <w:rsid w:val="00C44408"/>
    <w:rsid w:val="00C51E93"/>
    <w:rsid w:val="00C52C01"/>
    <w:rsid w:val="00C83F10"/>
    <w:rsid w:val="00C857DC"/>
    <w:rsid w:val="00C87447"/>
    <w:rsid w:val="00CB255D"/>
    <w:rsid w:val="00CB4C26"/>
    <w:rsid w:val="00CE276E"/>
    <w:rsid w:val="00CE5269"/>
    <w:rsid w:val="00D17508"/>
    <w:rsid w:val="00D20329"/>
    <w:rsid w:val="00D305A5"/>
    <w:rsid w:val="00D32238"/>
    <w:rsid w:val="00D327DD"/>
    <w:rsid w:val="00D44B44"/>
    <w:rsid w:val="00D61E2C"/>
    <w:rsid w:val="00D63BEA"/>
    <w:rsid w:val="00D94C62"/>
    <w:rsid w:val="00DB0B1A"/>
    <w:rsid w:val="00DC4E6B"/>
    <w:rsid w:val="00DE788E"/>
    <w:rsid w:val="00DF1E94"/>
    <w:rsid w:val="00DF7C9E"/>
    <w:rsid w:val="00E05272"/>
    <w:rsid w:val="00E057E0"/>
    <w:rsid w:val="00E075EC"/>
    <w:rsid w:val="00E15E63"/>
    <w:rsid w:val="00E32B65"/>
    <w:rsid w:val="00E43DBF"/>
    <w:rsid w:val="00E661F2"/>
    <w:rsid w:val="00E74DA9"/>
    <w:rsid w:val="00E97C0A"/>
    <w:rsid w:val="00EA54DA"/>
    <w:rsid w:val="00EB14A9"/>
    <w:rsid w:val="00EB560F"/>
    <w:rsid w:val="00EC25F9"/>
    <w:rsid w:val="00EC4C7E"/>
    <w:rsid w:val="00ED1D13"/>
    <w:rsid w:val="00ED28AD"/>
    <w:rsid w:val="00EE54C1"/>
    <w:rsid w:val="00EE7BF6"/>
    <w:rsid w:val="00EF13BB"/>
    <w:rsid w:val="00EF257B"/>
    <w:rsid w:val="00EF6871"/>
    <w:rsid w:val="00F0093C"/>
    <w:rsid w:val="00F0647C"/>
    <w:rsid w:val="00F11C46"/>
    <w:rsid w:val="00F20FD4"/>
    <w:rsid w:val="00F25528"/>
    <w:rsid w:val="00F35F99"/>
    <w:rsid w:val="00F53748"/>
    <w:rsid w:val="00F64208"/>
    <w:rsid w:val="00F6698B"/>
    <w:rsid w:val="00F96B28"/>
    <w:rsid w:val="00FA6F37"/>
    <w:rsid w:val="00FB74A6"/>
    <w:rsid w:val="00FD5DFC"/>
    <w:rsid w:val="00FE03E2"/>
    <w:rsid w:val="00FE209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5C95DB-BB17-4098-A2BE-24D998C6A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rsid w:val="00EE54C1"/>
    <w:rPr>
      <w:rFonts w:ascii="OrigGarmnd BT" w:hAnsi="OrigGarmnd BT"/>
      <w:sz w:val="24"/>
      <w:lang w:val="sv-SE" w:eastAsia="en-US" w:bidi="ar-SA"/>
    </w:rPr>
  </w:style>
  <w:style w:type="paragraph" w:customStyle="1" w:styleId="EntRefer">
    <w:name w:val="EntRefer"/>
    <w:basedOn w:val="Normal"/>
    <w:rsid w:val="008D4C4F"/>
    <w:pPr>
      <w:widowControl w:val="0"/>
      <w:overflowPunct/>
      <w:autoSpaceDE/>
      <w:autoSpaceDN/>
      <w:adjustRightInd/>
      <w:spacing w:line="240" w:lineRule="auto"/>
      <w:textAlignment w:val="auto"/>
    </w:pPr>
    <w:rPr>
      <w:rFonts w:ascii="Times New Roman" w:hAnsi="Times New Roman"/>
      <w:b/>
      <w:lang w:eastAsia="fr-BE"/>
    </w:rPr>
  </w:style>
  <w:style w:type="paragraph" w:customStyle="1" w:styleId="Par-dash">
    <w:name w:val="Par-dash"/>
    <w:basedOn w:val="Normal"/>
    <w:next w:val="Normal"/>
    <w:rsid w:val="008D4C4F"/>
    <w:pPr>
      <w:widowControl w:val="0"/>
      <w:numPr>
        <w:numId w:val="4"/>
      </w:numPr>
      <w:overflowPunct/>
      <w:autoSpaceDE/>
      <w:autoSpaceDN/>
      <w:adjustRightInd/>
      <w:spacing w:line="360" w:lineRule="auto"/>
      <w:textAlignment w:val="auto"/>
    </w:pPr>
    <w:rPr>
      <w:rFonts w:ascii="Times New Roman" w:hAnsi="Times New Roman"/>
      <w:lang w:eastAsia="fr-BE"/>
    </w:rPr>
  </w:style>
  <w:style w:type="character" w:styleId="Stark">
    <w:name w:val="Strong"/>
    <w:qFormat/>
    <w:rsid w:val="00570535"/>
    <w:rPr>
      <w:b/>
      <w:bCs/>
    </w:rPr>
  </w:style>
  <w:style w:type="paragraph" w:customStyle="1" w:styleId="lead">
    <w:name w:val="lead"/>
    <w:basedOn w:val="Normal"/>
    <w:rsid w:val="00122AE2"/>
    <w:pPr>
      <w:overflowPunct/>
      <w:autoSpaceDE/>
      <w:autoSpaceDN/>
      <w:adjustRightInd/>
      <w:spacing w:before="100" w:beforeAutospacing="1" w:after="100" w:afterAutospacing="1" w:line="240" w:lineRule="auto"/>
      <w:textAlignment w:val="auto"/>
    </w:pPr>
    <w:rPr>
      <w:rFonts w:ascii="Times New Roman" w:eastAsia="Calibri" w:hAnsi="Times New Roman"/>
      <w:szCs w:val="24"/>
      <w:lang w:eastAsia="sv-SE"/>
    </w:rPr>
  </w:style>
  <w:style w:type="paragraph" w:customStyle="1" w:styleId="ListParagraph">
    <w:name w:val="List Paragraph"/>
    <w:basedOn w:val="Normal"/>
    <w:rsid w:val="00246840"/>
    <w:pPr>
      <w:overflowPunct/>
      <w:autoSpaceDE/>
      <w:autoSpaceDN/>
      <w:adjustRightInd/>
      <w:spacing w:after="200" w:line="276" w:lineRule="auto"/>
      <w:ind w:left="720"/>
      <w:contextualSpacing/>
      <w:textAlignment w:val="auto"/>
    </w:pPr>
    <w:rPr>
      <w:rFonts w:ascii="Calibri" w:hAnsi="Calibri"/>
      <w:sz w:val="22"/>
      <w:szCs w:val="22"/>
    </w:rPr>
  </w:style>
  <w:style w:type="paragraph" w:styleId="Ballongtext">
    <w:name w:val="Balloon Text"/>
    <w:basedOn w:val="Normal"/>
    <w:link w:val="BallongtextChar"/>
    <w:rsid w:val="00B402F3"/>
    <w:pPr>
      <w:spacing w:line="240" w:lineRule="auto"/>
    </w:pPr>
    <w:rPr>
      <w:rFonts w:ascii="Tahoma" w:hAnsi="Tahoma" w:cs="Tahoma"/>
      <w:sz w:val="16"/>
      <w:szCs w:val="16"/>
    </w:rPr>
  </w:style>
  <w:style w:type="character" w:customStyle="1" w:styleId="BallongtextChar">
    <w:name w:val="Ballongtext Char"/>
    <w:link w:val="Ballongtext"/>
    <w:rsid w:val="00B402F3"/>
    <w:rPr>
      <w:rFonts w:ascii="Tahoma" w:hAnsi="Tahoma" w:cs="Tahoma"/>
      <w:sz w:val="16"/>
      <w:szCs w:val="16"/>
      <w:lang w:eastAsia="en-US"/>
    </w:rPr>
  </w:style>
  <w:style w:type="paragraph" w:styleId="Fotnotstext">
    <w:name w:val="footnote text"/>
    <w:basedOn w:val="Normal"/>
    <w:semiHidden/>
    <w:rsid w:val="00EB14A9"/>
    <w:rPr>
      <w:sz w:val="20"/>
    </w:rPr>
  </w:style>
  <w:style w:type="character" w:styleId="Fotnotsreferens">
    <w:name w:val="footnote reference"/>
    <w:semiHidden/>
    <w:rsid w:val="00EB14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2443325">
      <w:bodyDiv w:val="1"/>
      <w:marLeft w:val="0"/>
      <w:marRight w:val="0"/>
      <w:marTop w:val="0"/>
      <w:marBottom w:val="0"/>
      <w:divBdr>
        <w:top w:val="none" w:sz="0" w:space="0" w:color="auto"/>
        <w:left w:val="none" w:sz="0" w:space="0" w:color="auto"/>
        <w:bottom w:val="none" w:sz="0" w:space="0" w:color="auto"/>
        <w:right w:val="none" w:sz="0" w:space="0" w:color="auto"/>
      </w:divBdr>
      <w:divsChild>
        <w:div w:id="445469174">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5510</Words>
  <Characters>34383</Characters>
  <Application>Microsoft Office Word</Application>
  <DocSecurity>4</DocSecurity>
  <Lines>799</Lines>
  <Paragraphs>219</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39674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cp:lastModifiedBy>Lars Brink</cp:lastModifiedBy>
  <cp:revision>2</cp:revision>
  <cp:lastPrinted>2011-12-12T11:15:00Z</cp:lastPrinted>
  <dcterms:created xsi:type="dcterms:W3CDTF">2025-12-17T21:40:00Z</dcterms:created>
  <dcterms:modified xsi:type="dcterms:W3CDTF">2025-12-17T21:40:00Z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11;0;0;315</vt:lpwstr>
  </property>
  <property fmtid="{D5CDD505-2E9C-101B-9397-08002B2CF9AE}" pid="3" name="Sprak">
    <vt:lpwstr>Svenska</vt:lpwstr>
  </property>
  <property fmtid="{D5CDD505-2E9C-101B-9397-08002B2CF9AE}" pid="4" name="DokID">
    <vt:i4>61</vt:i4>
  </property>
  <property fmtid="{D5CDD505-2E9C-101B-9397-08002B2CF9AE}" pid="5" name="RKOrdnaDepartement">
    <vt:lpwstr>Miljödepartementet</vt:lpwstr>
  </property>
  <property fmtid="{D5CDD505-2E9C-101B-9397-08002B2CF9AE}" pid="6" name="RKOrdnaActivityCategory">
    <vt:lpwstr>4.1. Europeiska unionen</vt:lpwstr>
  </property>
  <property fmtid="{D5CDD505-2E9C-101B-9397-08002B2CF9AE}" pid="7" name="RKOrdnaDiarienummer">
    <vt:lpwstr/>
  </property>
  <property fmtid="{D5CDD505-2E9C-101B-9397-08002B2CF9AE}" pid="8" name="ContentType">
    <vt:lpwstr>Word</vt:lpwstr>
  </property>
  <property fmtid="{D5CDD505-2E9C-101B-9397-08002B2CF9AE}" pid="9" name="RKOrdnaSearchKeywords">
    <vt:lpwstr/>
  </property>
  <property fmtid="{D5CDD505-2E9C-101B-9397-08002B2CF9AE}" pid="10" name="RKOrdnaSarskildSkyddsvard">
    <vt:lpwstr>0</vt:lpwstr>
  </property>
</Properties>
</file>