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D7586">
        <w:tblPrEx>
          <w:tblCellMar>
            <w:top w:w="0" w:type="dxa"/>
            <w:bottom w:w="0" w:type="dxa"/>
          </w:tblCellMar>
        </w:tblPrEx>
        <w:trPr>
          <w:cantSplit/>
          <w:trHeight w:val="1720"/>
        </w:trPr>
        <w:tc>
          <w:tcPr>
            <w:tcW w:w="6024" w:type="dxa"/>
            <w:gridSpan w:val="2"/>
          </w:tcPr>
          <w:p w:rsidR="00021365" w:rsidRPr="005D7586" w:rsidRDefault="00021365">
            <w:pPr>
              <w:pStyle w:val="HuvudRubrik"/>
            </w:pPr>
            <w:r w:rsidRPr="005D7586">
              <w:t>Utrikesutskottets yttrande</w:t>
            </w:r>
          </w:p>
          <w:p w:rsidR="00021365" w:rsidRPr="005D7586" w:rsidRDefault="00021365">
            <w:pPr>
              <w:pStyle w:val="HuvudRubrikRad2"/>
            </w:pPr>
            <w:bookmarkStart w:id="0" w:name="BetänkandeNr"/>
            <w:bookmarkEnd w:id="0"/>
            <w:r w:rsidRPr="005D7586">
              <w:t>2001/02:UU1y</w:t>
            </w:r>
          </w:p>
        </w:tc>
        <w:tc>
          <w:tcPr>
            <w:tcW w:w="1418" w:type="dxa"/>
            <w:tcBorders>
              <w:bottom w:val="nil"/>
            </w:tcBorders>
          </w:tcPr>
          <w:p w:rsidR="00021365" w:rsidRPr="005D7586" w:rsidRDefault="005D7586">
            <w:pPr>
              <w:spacing w:line="230" w:lineRule="auto"/>
              <w:jc w:val="center"/>
            </w:pPr>
            <w:r w:rsidRPr="005D758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21365" w:rsidRPr="005D7586" w:rsidRDefault="00021365">
            <w:pPr>
              <w:pStyle w:val="Normaltindrag"/>
              <w:jc w:val="center"/>
            </w:pPr>
          </w:p>
          <w:p w:rsidR="00021365" w:rsidRPr="005D7586" w:rsidRDefault="00021365">
            <w:pPr>
              <w:pStyle w:val="StatusSida1"/>
            </w:pPr>
          </w:p>
          <w:p w:rsidR="00021365" w:rsidRPr="005D7586" w:rsidRDefault="00021365">
            <w:pPr>
              <w:pStyle w:val="UtskriftsdatumSida1"/>
              <w:framePr w:wrap="around"/>
            </w:pPr>
          </w:p>
        </w:tc>
      </w:tr>
      <w:tr w:rsidR="00000000" w:rsidRPr="005D7586">
        <w:tblPrEx>
          <w:tblCellMar>
            <w:top w:w="0" w:type="dxa"/>
            <w:bottom w:w="0" w:type="dxa"/>
          </w:tblCellMar>
        </w:tblPrEx>
        <w:trPr>
          <w:cantSplit/>
        </w:trPr>
        <w:tc>
          <w:tcPr>
            <w:tcW w:w="6024" w:type="dxa"/>
            <w:gridSpan w:val="2"/>
            <w:tcBorders>
              <w:bottom w:val="single" w:sz="4" w:space="0" w:color="auto"/>
            </w:tcBorders>
          </w:tcPr>
          <w:p w:rsidR="00021365" w:rsidRPr="005D7586" w:rsidRDefault="00021365">
            <w:pPr>
              <w:pStyle w:val="DokumentRubrik"/>
              <w:rPr>
                <w:noProof w:val="0"/>
              </w:rPr>
            </w:pPr>
            <w:bookmarkStart w:id="1" w:name="Huvudrubrik"/>
            <w:bookmarkEnd w:id="1"/>
            <w:r w:rsidRPr="005D7586">
              <w:rPr>
                <w:noProof w:val="0"/>
              </w:rPr>
              <w:t>Ramar för utgiftsområde 5 Internationell samverkan och utgiftsområde 7 Internationellt bistånd m.m.</w:t>
            </w:r>
          </w:p>
        </w:tc>
        <w:tc>
          <w:tcPr>
            <w:tcW w:w="1418" w:type="dxa"/>
            <w:tcBorders>
              <w:bottom w:val="nil"/>
            </w:tcBorders>
          </w:tcPr>
          <w:p w:rsidR="00021365" w:rsidRPr="005D7586" w:rsidRDefault="00021365"/>
        </w:tc>
      </w:tr>
      <w:tr w:rsidR="00000000" w:rsidRPr="005D7586">
        <w:tblPrEx>
          <w:tblCellMar>
            <w:top w:w="0" w:type="dxa"/>
            <w:bottom w:w="0" w:type="dxa"/>
          </w:tblCellMar>
        </w:tblPrEx>
        <w:trPr>
          <w:cantSplit/>
          <w:trHeight w:hRule="exact" w:val="360"/>
        </w:trPr>
        <w:tc>
          <w:tcPr>
            <w:tcW w:w="3012" w:type="dxa"/>
          </w:tcPr>
          <w:p w:rsidR="00021365" w:rsidRPr="005D7586" w:rsidRDefault="00021365"/>
        </w:tc>
        <w:tc>
          <w:tcPr>
            <w:tcW w:w="3012" w:type="dxa"/>
          </w:tcPr>
          <w:p w:rsidR="00021365" w:rsidRPr="005D7586" w:rsidRDefault="00021365"/>
        </w:tc>
        <w:tc>
          <w:tcPr>
            <w:tcW w:w="1418" w:type="dxa"/>
          </w:tcPr>
          <w:p w:rsidR="00021365" w:rsidRPr="005D7586" w:rsidRDefault="00021365"/>
        </w:tc>
      </w:tr>
    </w:tbl>
    <w:p w:rsidR="00021365" w:rsidRPr="005D7586" w:rsidRDefault="00021365">
      <w:pPr>
        <w:pStyle w:val="Rubrik1"/>
        <w:spacing w:after="0" w:line="20" w:lineRule="exact"/>
        <w:rPr>
          <w:noProof w:val="0"/>
        </w:rPr>
      </w:pPr>
      <w:bookmarkStart w:id="2" w:name="_Toc529180756"/>
    </w:p>
    <w:p w:rsidR="00021365" w:rsidRPr="005D7586" w:rsidRDefault="00021365">
      <w:pPr>
        <w:pStyle w:val="R1"/>
      </w:pPr>
      <w:r w:rsidRPr="005D7586">
        <w:t>Till finansutskottet</w:t>
      </w:r>
      <w:bookmarkEnd w:id="2"/>
    </w:p>
    <w:p w:rsidR="00021365" w:rsidRPr="005D7586" w:rsidRDefault="00021365">
      <w:pPr>
        <w:pStyle w:val="Brdtext2"/>
        <w:rPr>
          <w:u w:val="none"/>
        </w:rPr>
      </w:pPr>
      <w:r w:rsidRPr="005D7586">
        <w:rPr>
          <w:u w:val="none"/>
        </w:rPr>
        <w:t>Finansutskottet har genom beslut den 20 september 2001 berett övriga berö</w:t>
      </w:r>
      <w:r w:rsidRPr="005D7586">
        <w:rPr>
          <w:u w:val="none"/>
        </w:rPr>
        <w:t>r</w:t>
      </w:r>
      <w:r w:rsidRPr="005D7586">
        <w:rPr>
          <w:u w:val="none"/>
        </w:rPr>
        <w:t>da utskott tillfälle att avge yttrande över proposition 2001/02:1 Budgetprop</w:t>
      </w:r>
      <w:r w:rsidRPr="005D7586">
        <w:rPr>
          <w:u w:val="none"/>
        </w:rPr>
        <w:t>o</w:t>
      </w:r>
      <w:r w:rsidRPr="005D7586">
        <w:rPr>
          <w:u w:val="none"/>
        </w:rPr>
        <w:t>sitionen för 2002 (volym 1) i vad avser den ekonomiska politiken och förslag till statsbudget för budgetåret 2002, utgifternas fördelning på utgiftsområden och beräkningen av statsinkomsterna, låneramar (yrkandena 1–15 och 29–43) jämte motioner i de delar som berör respektive utskotts bere</w:t>
      </w:r>
      <w:r w:rsidRPr="005D7586">
        <w:rPr>
          <w:u w:val="none"/>
        </w:rPr>
        <w:t>d</w:t>
      </w:r>
      <w:r w:rsidRPr="005D7586">
        <w:rPr>
          <w:u w:val="none"/>
        </w:rPr>
        <w:t>ningsområde.</w:t>
      </w:r>
    </w:p>
    <w:p w:rsidR="00021365" w:rsidRPr="005D7586" w:rsidRDefault="00021365">
      <w:pPr>
        <w:pStyle w:val="Normaltindrag"/>
      </w:pPr>
      <w:r w:rsidRPr="005D7586">
        <w:t xml:space="preserve">Utrikesutskottet väljer att i det följande yttra sig över </w:t>
      </w:r>
      <w:r w:rsidRPr="005D7586">
        <w:rPr>
          <w:i/>
        </w:rPr>
        <w:t>propositionens y</w:t>
      </w:r>
      <w:r w:rsidRPr="005D7586">
        <w:rPr>
          <w:i/>
        </w:rPr>
        <w:t>r</w:t>
      </w:r>
      <w:r w:rsidRPr="005D7586">
        <w:rPr>
          <w:i/>
        </w:rPr>
        <w:t xml:space="preserve">kanden 8, 9 och 13 (samtliga delvis) </w:t>
      </w:r>
      <w:r w:rsidRPr="005D7586">
        <w:t xml:space="preserve">samt över motionerna </w:t>
      </w:r>
      <w:r w:rsidRPr="005D7586">
        <w:rPr>
          <w:i/>
        </w:rPr>
        <w:t>2001/02:Fi291 (m) yrkandena 4</w:t>
      </w:r>
      <w:r w:rsidRPr="005D7586">
        <w:t xml:space="preserve"> och </w:t>
      </w:r>
      <w:r w:rsidRPr="005D7586">
        <w:rPr>
          <w:i/>
        </w:rPr>
        <w:t>5 (båda delvis), 2001/02:Fi292 (kd) yrkandena 9</w:t>
      </w:r>
      <w:r w:rsidRPr="005D7586">
        <w:t xml:space="preserve"> och </w:t>
      </w:r>
      <w:r w:rsidRPr="005D7586">
        <w:rPr>
          <w:i/>
        </w:rPr>
        <w:t>10 (båda delvis)</w:t>
      </w:r>
      <w:r w:rsidRPr="005D7586">
        <w:t xml:space="preserve">, </w:t>
      </w:r>
      <w:r w:rsidRPr="005D7586">
        <w:rPr>
          <w:i/>
        </w:rPr>
        <w:t>2001/02:Fi293 (c) yrkandena 3</w:t>
      </w:r>
      <w:r w:rsidRPr="005D7586">
        <w:t xml:space="preserve"> och </w:t>
      </w:r>
      <w:r w:rsidRPr="005D7586">
        <w:rPr>
          <w:i/>
        </w:rPr>
        <w:t>4</w:t>
      </w:r>
      <w:r w:rsidRPr="005D7586">
        <w:t xml:space="preserve"> </w:t>
      </w:r>
      <w:r w:rsidRPr="005D7586">
        <w:rPr>
          <w:i/>
        </w:rPr>
        <w:t xml:space="preserve">(båda delvis) </w:t>
      </w:r>
      <w:r w:rsidRPr="005D7586">
        <w:t xml:space="preserve">samt </w:t>
      </w:r>
      <w:r w:rsidRPr="005D7586">
        <w:rPr>
          <w:i/>
        </w:rPr>
        <w:t>2001/02:Fi294 (fp) yrkande 13 (de</w:t>
      </w:r>
      <w:r w:rsidRPr="005D7586">
        <w:rPr>
          <w:i/>
        </w:rPr>
        <w:t>l</w:t>
      </w:r>
      <w:r w:rsidRPr="005D7586">
        <w:rPr>
          <w:i/>
        </w:rPr>
        <w:t>vis)</w:t>
      </w:r>
      <w:r w:rsidRPr="005D7586">
        <w:t>.</w:t>
      </w:r>
    </w:p>
    <w:p w:rsidR="00021365" w:rsidRPr="005D7586" w:rsidRDefault="00021365">
      <w:pPr>
        <w:pStyle w:val="Rubrik2"/>
      </w:pPr>
      <w:bookmarkStart w:id="3" w:name="TextStart"/>
      <w:bookmarkStart w:id="4" w:name="_Toc529180757"/>
      <w:bookmarkEnd w:id="3"/>
      <w:r w:rsidRPr="005D7586">
        <w:t>Propositionen</w:t>
      </w:r>
      <w:bookmarkEnd w:id="4"/>
    </w:p>
    <w:p w:rsidR="00021365" w:rsidRPr="005D7586" w:rsidRDefault="00021365">
      <w:pPr>
        <w:pStyle w:val="Rubrik3"/>
        <w:spacing w:before="235"/>
        <w:rPr>
          <w:noProof w:val="0"/>
        </w:rPr>
      </w:pPr>
      <w:bookmarkStart w:id="5" w:name="_Toc529180758"/>
      <w:r w:rsidRPr="005D7586">
        <w:rPr>
          <w:noProof w:val="0"/>
        </w:rPr>
        <w:t>Utgiftsområdena 5 och 7</w:t>
      </w:r>
      <w:bookmarkEnd w:id="5"/>
    </w:p>
    <w:p w:rsidR="00021365" w:rsidRPr="005D7586" w:rsidRDefault="00021365">
      <w:r w:rsidRPr="005D7586">
        <w:t>Beträffande de utgiftsområden för vilka utrikesutskottet har beredningsansvar, dvs. utgiftsområde 5 Internationell samverkan och utgiftsområde 7 Internati</w:t>
      </w:r>
      <w:r w:rsidRPr="005D7586">
        <w:t>o</w:t>
      </w:r>
      <w:r w:rsidRPr="005D7586">
        <w:t xml:space="preserve">nellt bistånd, anförs i </w:t>
      </w:r>
      <w:r w:rsidRPr="005D7586">
        <w:rPr>
          <w:i/>
        </w:rPr>
        <w:t xml:space="preserve">propositionens yrkanden 8 och 9 (båda delvis) </w:t>
      </w:r>
      <w:r w:rsidRPr="005D7586">
        <w:t>bl.a. följande.</w:t>
      </w:r>
    </w:p>
    <w:p w:rsidR="00021365" w:rsidRPr="005D7586" w:rsidRDefault="00021365">
      <w:pPr>
        <w:pStyle w:val="Rubrik3utannumrering"/>
        <w:numPr>
          <w:ilvl w:val="0"/>
          <w:numId w:val="0"/>
        </w:numPr>
        <w:rPr>
          <w:rFonts w:ascii="Times New Roman" w:hAnsi="Times New Roman"/>
          <w:sz w:val="19"/>
        </w:rPr>
      </w:pPr>
      <w:r w:rsidRPr="005D7586">
        <w:rPr>
          <w:rFonts w:ascii="Times New Roman" w:hAnsi="Times New Roman"/>
          <w:sz w:val="19"/>
        </w:rPr>
        <w:t>Utgiftsområde 5</w:t>
      </w:r>
      <w:r w:rsidRPr="005D7586">
        <w:rPr>
          <w:rFonts w:ascii="Times New Roman" w:hAnsi="Times New Roman"/>
          <w:sz w:val="19"/>
        </w:rPr>
        <w:br/>
        <w:t>Internationell samverkan</w:t>
      </w:r>
    </w:p>
    <w:p w:rsidR="00021365" w:rsidRPr="005D7586" w:rsidRDefault="00021365">
      <w:pPr>
        <w:pStyle w:val="TabellUnderrubrik"/>
      </w:pPr>
      <w:r w:rsidRPr="005D7586">
        <w:t>Miljoner kronor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51"/>
        <w:gridCol w:w="1134"/>
        <w:gridCol w:w="1275"/>
        <w:gridCol w:w="993"/>
        <w:gridCol w:w="850"/>
      </w:tblGrid>
      <w:tr w:rsidR="00000000" w:rsidRPr="005D7586">
        <w:tblPrEx>
          <w:tblCellMar>
            <w:top w:w="0" w:type="dxa"/>
            <w:bottom w:w="0" w:type="dxa"/>
          </w:tblCellMar>
        </w:tblPrEx>
        <w:trPr>
          <w:cantSplit/>
        </w:trPr>
        <w:tc>
          <w:tcPr>
            <w:tcW w:w="779" w:type="dxa"/>
          </w:tcPr>
          <w:p w:rsidR="00021365" w:rsidRPr="005D7586" w:rsidRDefault="00021365">
            <w:pPr>
              <w:jc w:val="right"/>
            </w:pPr>
            <w:r w:rsidRPr="005D7586">
              <w:lastRenderedPageBreak/>
              <w:t>Utfall</w:t>
            </w:r>
          </w:p>
        </w:tc>
        <w:tc>
          <w:tcPr>
            <w:tcW w:w="851" w:type="dxa"/>
          </w:tcPr>
          <w:p w:rsidR="00021365" w:rsidRPr="005D7586" w:rsidRDefault="00021365">
            <w:pPr>
              <w:jc w:val="right"/>
            </w:pPr>
            <w:r w:rsidRPr="005D7586">
              <w:t>Anslag</w:t>
            </w:r>
          </w:p>
        </w:tc>
        <w:tc>
          <w:tcPr>
            <w:tcW w:w="1134" w:type="dxa"/>
          </w:tcPr>
          <w:p w:rsidR="00021365" w:rsidRPr="005D7586" w:rsidRDefault="00021365">
            <w:pPr>
              <w:jc w:val="right"/>
            </w:pPr>
            <w:r w:rsidRPr="005D7586">
              <w:t>Prognos</w:t>
            </w:r>
          </w:p>
        </w:tc>
        <w:tc>
          <w:tcPr>
            <w:tcW w:w="1275" w:type="dxa"/>
          </w:tcPr>
          <w:p w:rsidR="00021365" w:rsidRPr="005D7586" w:rsidRDefault="00021365">
            <w:pPr>
              <w:jc w:val="right"/>
              <w:rPr>
                <w:b/>
              </w:rPr>
            </w:pPr>
            <w:r w:rsidRPr="005D7586">
              <w:rPr>
                <w:b/>
              </w:rPr>
              <w:t>Förslag</w:t>
            </w:r>
          </w:p>
        </w:tc>
        <w:tc>
          <w:tcPr>
            <w:tcW w:w="1843" w:type="dxa"/>
            <w:gridSpan w:val="2"/>
          </w:tcPr>
          <w:p w:rsidR="00021365" w:rsidRPr="005D7586" w:rsidRDefault="00021365">
            <w:pPr>
              <w:jc w:val="center"/>
            </w:pPr>
            <w:r w:rsidRPr="005D7586">
              <w:t>Beräknat</w:t>
            </w:r>
          </w:p>
        </w:tc>
      </w:tr>
      <w:tr w:rsidR="00000000" w:rsidRPr="005D7586">
        <w:tblPrEx>
          <w:tblCellMar>
            <w:top w:w="0" w:type="dxa"/>
            <w:bottom w:w="0" w:type="dxa"/>
          </w:tblCellMar>
        </w:tblPrEx>
        <w:tc>
          <w:tcPr>
            <w:tcW w:w="779" w:type="dxa"/>
            <w:tcBorders>
              <w:bottom w:val="nil"/>
            </w:tcBorders>
          </w:tcPr>
          <w:p w:rsidR="00021365" w:rsidRPr="005D7586" w:rsidRDefault="00021365">
            <w:pPr>
              <w:jc w:val="right"/>
            </w:pPr>
            <w:r w:rsidRPr="005D7586">
              <w:t>2000</w:t>
            </w:r>
          </w:p>
        </w:tc>
        <w:tc>
          <w:tcPr>
            <w:tcW w:w="851" w:type="dxa"/>
            <w:tcBorders>
              <w:bottom w:val="nil"/>
            </w:tcBorders>
          </w:tcPr>
          <w:p w:rsidR="00021365" w:rsidRPr="005D7586" w:rsidRDefault="00021365">
            <w:pPr>
              <w:jc w:val="right"/>
            </w:pPr>
            <w:r w:rsidRPr="005D7586">
              <w:t>2001</w:t>
            </w:r>
          </w:p>
        </w:tc>
        <w:tc>
          <w:tcPr>
            <w:tcW w:w="1134" w:type="dxa"/>
            <w:tcBorders>
              <w:bottom w:val="nil"/>
            </w:tcBorders>
          </w:tcPr>
          <w:p w:rsidR="00021365" w:rsidRPr="005D7586" w:rsidRDefault="00021365">
            <w:pPr>
              <w:jc w:val="right"/>
            </w:pPr>
            <w:r w:rsidRPr="005D7586">
              <w:t>2001</w:t>
            </w:r>
          </w:p>
        </w:tc>
        <w:tc>
          <w:tcPr>
            <w:tcW w:w="1275" w:type="dxa"/>
            <w:tcBorders>
              <w:bottom w:val="nil"/>
            </w:tcBorders>
          </w:tcPr>
          <w:p w:rsidR="00021365" w:rsidRPr="005D7586" w:rsidRDefault="00021365">
            <w:pPr>
              <w:jc w:val="right"/>
              <w:rPr>
                <w:b/>
              </w:rPr>
            </w:pPr>
            <w:r w:rsidRPr="005D7586">
              <w:rPr>
                <w:b/>
              </w:rPr>
              <w:t>2002</w:t>
            </w:r>
          </w:p>
        </w:tc>
        <w:tc>
          <w:tcPr>
            <w:tcW w:w="993" w:type="dxa"/>
            <w:tcBorders>
              <w:bottom w:val="nil"/>
            </w:tcBorders>
          </w:tcPr>
          <w:p w:rsidR="00021365" w:rsidRPr="005D7586" w:rsidRDefault="00021365">
            <w:pPr>
              <w:jc w:val="right"/>
            </w:pPr>
            <w:r w:rsidRPr="005D7586">
              <w:t>2003</w:t>
            </w:r>
          </w:p>
        </w:tc>
        <w:tc>
          <w:tcPr>
            <w:tcW w:w="850" w:type="dxa"/>
            <w:tcBorders>
              <w:bottom w:val="nil"/>
            </w:tcBorders>
          </w:tcPr>
          <w:p w:rsidR="00021365" w:rsidRPr="005D7586" w:rsidRDefault="00021365">
            <w:pPr>
              <w:jc w:val="right"/>
            </w:pPr>
            <w:r w:rsidRPr="005D7586">
              <w:t>2004</w:t>
            </w:r>
          </w:p>
        </w:tc>
      </w:tr>
      <w:tr w:rsidR="00000000" w:rsidRPr="005D7586">
        <w:tblPrEx>
          <w:tblCellMar>
            <w:top w:w="0" w:type="dxa"/>
            <w:bottom w:w="0" w:type="dxa"/>
          </w:tblCellMar>
        </w:tblPrEx>
        <w:tc>
          <w:tcPr>
            <w:tcW w:w="779" w:type="dxa"/>
            <w:tcBorders>
              <w:top w:val="single" w:sz="12" w:space="0" w:color="auto"/>
            </w:tcBorders>
          </w:tcPr>
          <w:p w:rsidR="00021365" w:rsidRPr="005D7586" w:rsidRDefault="00021365">
            <w:pPr>
              <w:jc w:val="right"/>
            </w:pPr>
            <w:r w:rsidRPr="005D7586">
              <w:t>2 984</w:t>
            </w:r>
          </w:p>
        </w:tc>
        <w:tc>
          <w:tcPr>
            <w:tcW w:w="851" w:type="dxa"/>
            <w:tcBorders>
              <w:top w:val="single" w:sz="12" w:space="0" w:color="auto"/>
            </w:tcBorders>
          </w:tcPr>
          <w:p w:rsidR="00021365" w:rsidRPr="005D7586" w:rsidRDefault="00021365">
            <w:pPr>
              <w:jc w:val="right"/>
            </w:pPr>
            <w:r w:rsidRPr="005D7586">
              <w:t>3 023</w:t>
            </w:r>
          </w:p>
        </w:tc>
        <w:tc>
          <w:tcPr>
            <w:tcW w:w="1134" w:type="dxa"/>
            <w:tcBorders>
              <w:top w:val="single" w:sz="12" w:space="0" w:color="auto"/>
            </w:tcBorders>
          </w:tcPr>
          <w:p w:rsidR="00021365" w:rsidRPr="005D7586" w:rsidRDefault="00021365">
            <w:pPr>
              <w:jc w:val="right"/>
            </w:pPr>
            <w:r w:rsidRPr="005D7586">
              <w:t>3 122</w:t>
            </w:r>
          </w:p>
        </w:tc>
        <w:tc>
          <w:tcPr>
            <w:tcW w:w="1275" w:type="dxa"/>
            <w:tcBorders>
              <w:top w:val="single" w:sz="12" w:space="0" w:color="auto"/>
            </w:tcBorders>
          </w:tcPr>
          <w:p w:rsidR="00021365" w:rsidRPr="005D7586" w:rsidRDefault="00021365">
            <w:pPr>
              <w:jc w:val="right"/>
              <w:rPr>
                <w:b/>
              </w:rPr>
            </w:pPr>
            <w:r w:rsidRPr="005D7586">
              <w:rPr>
                <w:b/>
              </w:rPr>
              <w:t>1 162</w:t>
            </w:r>
          </w:p>
        </w:tc>
        <w:tc>
          <w:tcPr>
            <w:tcW w:w="993" w:type="dxa"/>
            <w:tcBorders>
              <w:top w:val="single" w:sz="12" w:space="0" w:color="auto"/>
            </w:tcBorders>
          </w:tcPr>
          <w:p w:rsidR="00021365" w:rsidRPr="005D7586" w:rsidRDefault="00021365">
            <w:pPr>
              <w:jc w:val="right"/>
            </w:pPr>
            <w:r w:rsidRPr="005D7586">
              <w:t>1 170</w:t>
            </w:r>
          </w:p>
        </w:tc>
        <w:tc>
          <w:tcPr>
            <w:tcW w:w="850" w:type="dxa"/>
            <w:tcBorders>
              <w:top w:val="single" w:sz="12" w:space="0" w:color="auto"/>
            </w:tcBorders>
          </w:tcPr>
          <w:p w:rsidR="00021365" w:rsidRPr="005D7586" w:rsidRDefault="00021365">
            <w:pPr>
              <w:jc w:val="right"/>
            </w:pPr>
            <w:r w:rsidRPr="005D7586">
              <w:t>1 175</w:t>
            </w:r>
          </w:p>
        </w:tc>
      </w:tr>
    </w:tbl>
    <w:p w:rsidR="00021365" w:rsidRPr="005D7586" w:rsidRDefault="00021365">
      <w:pPr>
        <w:pStyle w:val="Brdtext"/>
      </w:pPr>
    </w:p>
    <w:p w:rsidR="00021365" w:rsidRPr="005D7586" w:rsidRDefault="00021365">
      <w:r w:rsidRPr="005D7586">
        <w:t>Utgiftsområdet omfattar politikområdet Utrikes- och säke</w:t>
      </w:r>
      <w:r w:rsidRPr="005D7586">
        <w:t>r</w:t>
      </w:r>
      <w:r w:rsidRPr="005D7586">
        <w:t>hetspolitik.</w:t>
      </w:r>
    </w:p>
    <w:p w:rsidR="00021365" w:rsidRPr="005D7586" w:rsidRDefault="00021365">
      <w:pPr>
        <w:pStyle w:val="Normaltindrag"/>
      </w:pPr>
      <w:r w:rsidRPr="005D7586">
        <w:t>Förändringen av utgiftsområdesramen jämfört med 2001 års ekonomiska vårproposition förklaras i huvudsak av den sammanslagning av Utrikesd</w:t>
      </w:r>
      <w:r w:rsidRPr="005D7586">
        <w:t>e</w:t>
      </w:r>
      <w:r w:rsidRPr="005D7586">
        <w:t>partementets och Regeringskansliets förvaltningsanslag som sker från 2002. Utgifts</w:t>
      </w:r>
      <w:r w:rsidRPr="005D7586">
        <w:softHyphen/>
        <w:t>området minskar med 1 814 miljoner kronor till följd av denna sa</w:t>
      </w:r>
      <w:r w:rsidRPr="005D7586">
        <w:t>m</w:t>
      </w:r>
      <w:r w:rsidRPr="005D7586">
        <w:t>manslagning.</w:t>
      </w:r>
    </w:p>
    <w:p w:rsidR="00021365" w:rsidRPr="005D7586" w:rsidRDefault="00021365">
      <w:pPr>
        <w:pStyle w:val="Normaltindrag"/>
      </w:pPr>
      <w:r w:rsidRPr="005D7586">
        <w:t>Ramen för utgiftsområdet föreslås uppgå till 1 162 miljoner kronor 2002.</w:t>
      </w:r>
    </w:p>
    <w:p w:rsidR="00021365" w:rsidRPr="005D7586" w:rsidRDefault="00021365">
      <w:pPr>
        <w:pStyle w:val="Rubrik3utannumrering"/>
        <w:numPr>
          <w:ilvl w:val="0"/>
          <w:numId w:val="0"/>
        </w:numPr>
        <w:rPr>
          <w:rFonts w:ascii="Times New Roman" w:hAnsi="Times New Roman"/>
          <w:sz w:val="19"/>
        </w:rPr>
      </w:pPr>
      <w:r w:rsidRPr="005D7586">
        <w:rPr>
          <w:rFonts w:ascii="Times New Roman" w:hAnsi="Times New Roman"/>
          <w:sz w:val="19"/>
        </w:rPr>
        <w:t>Utgiftsområde 7</w:t>
      </w:r>
      <w:r w:rsidRPr="005D7586">
        <w:rPr>
          <w:rFonts w:ascii="Times New Roman" w:hAnsi="Times New Roman"/>
          <w:sz w:val="19"/>
        </w:rPr>
        <w:br/>
        <w:t>Internationellt bistånd</w:t>
      </w:r>
    </w:p>
    <w:p w:rsidR="00021365" w:rsidRPr="005D7586" w:rsidRDefault="00021365">
      <w:pPr>
        <w:pStyle w:val="TabellUnderrubrik"/>
      </w:pPr>
      <w:r w:rsidRPr="005D7586">
        <w:t>Miljoner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51"/>
        <w:gridCol w:w="1134"/>
        <w:gridCol w:w="1275"/>
        <w:gridCol w:w="993"/>
        <w:gridCol w:w="850"/>
      </w:tblGrid>
      <w:tr w:rsidR="00000000" w:rsidRPr="005D7586">
        <w:tblPrEx>
          <w:tblCellMar>
            <w:top w:w="0" w:type="dxa"/>
            <w:bottom w:w="0" w:type="dxa"/>
          </w:tblCellMar>
        </w:tblPrEx>
        <w:trPr>
          <w:cantSplit/>
        </w:trPr>
        <w:tc>
          <w:tcPr>
            <w:tcW w:w="779" w:type="dxa"/>
          </w:tcPr>
          <w:p w:rsidR="00021365" w:rsidRPr="005D7586" w:rsidRDefault="00021365">
            <w:pPr>
              <w:jc w:val="right"/>
            </w:pPr>
            <w:r w:rsidRPr="005D7586">
              <w:t>Utfall</w:t>
            </w:r>
          </w:p>
        </w:tc>
        <w:tc>
          <w:tcPr>
            <w:tcW w:w="851" w:type="dxa"/>
          </w:tcPr>
          <w:p w:rsidR="00021365" w:rsidRPr="005D7586" w:rsidRDefault="00021365">
            <w:pPr>
              <w:jc w:val="right"/>
            </w:pPr>
            <w:r w:rsidRPr="005D7586">
              <w:t>Anslag</w:t>
            </w:r>
          </w:p>
        </w:tc>
        <w:tc>
          <w:tcPr>
            <w:tcW w:w="1134" w:type="dxa"/>
          </w:tcPr>
          <w:p w:rsidR="00021365" w:rsidRPr="005D7586" w:rsidRDefault="00021365">
            <w:pPr>
              <w:jc w:val="right"/>
            </w:pPr>
            <w:r w:rsidRPr="005D7586">
              <w:t>Prognos</w:t>
            </w:r>
          </w:p>
        </w:tc>
        <w:tc>
          <w:tcPr>
            <w:tcW w:w="1275" w:type="dxa"/>
          </w:tcPr>
          <w:p w:rsidR="00021365" w:rsidRPr="005D7586" w:rsidRDefault="00021365">
            <w:pPr>
              <w:jc w:val="right"/>
              <w:rPr>
                <w:b/>
              </w:rPr>
            </w:pPr>
            <w:r w:rsidRPr="005D7586">
              <w:rPr>
                <w:b/>
              </w:rPr>
              <w:t>Förslag</w:t>
            </w:r>
          </w:p>
        </w:tc>
        <w:tc>
          <w:tcPr>
            <w:tcW w:w="1843" w:type="dxa"/>
            <w:gridSpan w:val="2"/>
          </w:tcPr>
          <w:p w:rsidR="00021365" w:rsidRPr="005D7586" w:rsidRDefault="00021365">
            <w:pPr>
              <w:jc w:val="center"/>
            </w:pPr>
            <w:r w:rsidRPr="005D7586">
              <w:t>Beräknat</w:t>
            </w:r>
          </w:p>
        </w:tc>
      </w:tr>
      <w:tr w:rsidR="00000000" w:rsidRPr="005D7586">
        <w:tblPrEx>
          <w:tblCellMar>
            <w:top w:w="0" w:type="dxa"/>
            <w:bottom w:w="0" w:type="dxa"/>
          </w:tblCellMar>
        </w:tblPrEx>
        <w:tc>
          <w:tcPr>
            <w:tcW w:w="779" w:type="dxa"/>
            <w:tcBorders>
              <w:bottom w:val="nil"/>
            </w:tcBorders>
          </w:tcPr>
          <w:p w:rsidR="00021365" w:rsidRPr="005D7586" w:rsidRDefault="00021365">
            <w:pPr>
              <w:jc w:val="right"/>
            </w:pPr>
            <w:r w:rsidRPr="005D7586">
              <w:t>2000</w:t>
            </w:r>
          </w:p>
        </w:tc>
        <w:tc>
          <w:tcPr>
            <w:tcW w:w="851" w:type="dxa"/>
            <w:tcBorders>
              <w:bottom w:val="nil"/>
            </w:tcBorders>
          </w:tcPr>
          <w:p w:rsidR="00021365" w:rsidRPr="005D7586" w:rsidRDefault="00021365">
            <w:pPr>
              <w:jc w:val="right"/>
            </w:pPr>
            <w:r w:rsidRPr="005D7586">
              <w:t>2001</w:t>
            </w:r>
          </w:p>
        </w:tc>
        <w:tc>
          <w:tcPr>
            <w:tcW w:w="1134" w:type="dxa"/>
            <w:tcBorders>
              <w:bottom w:val="nil"/>
            </w:tcBorders>
          </w:tcPr>
          <w:p w:rsidR="00021365" w:rsidRPr="005D7586" w:rsidRDefault="00021365">
            <w:pPr>
              <w:jc w:val="right"/>
            </w:pPr>
            <w:r w:rsidRPr="005D7586">
              <w:t>2001</w:t>
            </w:r>
          </w:p>
        </w:tc>
        <w:tc>
          <w:tcPr>
            <w:tcW w:w="1275" w:type="dxa"/>
            <w:tcBorders>
              <w:bottom w:val="nil"/>
            </w:tcBorders>
          </w:tcPr>
          <w:p w:rsidR="00021365" w:rsidRPr="005D7586" w:rsidRDefault="00021365">
            <w:pPr>
              <w:jc w:val="right"/>
              <w:rPr>
                <w:b/>
              </w:rPr>
            </w:pPr>
            <w:r w:rsidRPr="005D7586">
              <w:rPr>
                <w:b/>
              </w:rPr>
              <w:t>2002</w:t>
            </w:r>
          </w:p>
        </w:tc>
        <w:tc>
          <w:tcPr>
            <w:tcW w:w="993" w:type="dxa"/>
            <w:tcBorders>
              <w:bottom w:val="nil"/>
            </w:tcBorders>
          </w:tcPr>
          <w:p w:rsidR="00021365" w:rsidRPr="005D7586" w:rsidRDefault="00021365">
            <w:pPr>
              <w:jc w:val="right"/>
            </w:pPr>
            <w:r w:rsidRPr="005D7586">
              <w:t>2003</w:t>
            </w:r>
          </w:p>
        </w:tc>
        <w:tc>
          <w:tcPr>
            <w:tcW w:w="850" w:type="dxa"/>
            <w:tcBorders>
              <w:bottom w:val="nil"/>
            </w:tcBorders>
          </w:tcPr>
          <w:p w:rsidR="00021365" w:rsidRPr="005D7586" w:rsidRDefault="00021365">
            <w:pPr>
              <w:jc w:val="right"/>
            </w:pPr>
            <w:r w:rsidRPr="005D7586">
              <w:t>2004</w:t>
            </w:r>
          </w:p>
        </w:tc>
      </w:tr>
      <w:tr w:rsidR="00000000" w:rsidRPr="005D7586">
        <w:tblPrEx>
          <w:tblCellMar>
            <w:top w:w="0" w:type="dxa"/>
            <w:bottom w:w="0" w:type="dxa"/>
          </w:tblCellMar>
        </w:tblPrEx>
        <w:tc>
          <w:tcPr>
            <w:tcW w:w="779" w:type="dxa"/>
            <w:tcBorders>
              <w:top w:val="single" w:sz="12" w:space="0" w:color="auto"/>
            </w:tcBorders>
          </w:tcPr>
          <w:p w:rsidR="00021365" w:rsidRPr="005D7586" w:rsidRDefault="00021365">
            <w:pPr>
              <w:jc w:val="right"/>
            </w:pPr>
            <w:r w:rsidRPr="005D7586">
              <w:t>15 317</w:t>
            </w:r>
          </w:p>
        </w:tc>
        <w:tc>
          <w:tcPr>
            <w:tcW w:w="851" w:type="dxa"/>
            <w:tcBorders>
              <w:top w:val="single" w:sz="12" w:space="0" w:color="auto"/>
            </w:tcBorders>
          </w:tcPr>
          <w:p w:rsidR="00021365" w:rsidRPr="005D7586" w:rsidRDefault="00021365">
            <w:pPr>
              <w:jc w:val="right"/>
            </w:pPr>
            <w:r w:rsidRPr="005D7586">
              <w:t>14 763</w:t>
            </w:r>
          </w:p>
        </w:tc>
        <w:tc>
          <w:tcPr>
            <w:tcW w:w="1134" w:type="dxa"/>
            <w:tcBorders>
              <w:top w:val="single" w:sz="12" w:space="0" w:color="auto"/>
            </w:tcBorders>
          </w:tcPr>
          <w:p w:rsidR="00021365" w:rsidRPr="005D7586" w:rsidRDefault="00021365">
            <w:pPr>
              <w:jc w:val="right"/>
            </w:pPr>
            <w:r w:rsidRPr="005D7586">
              <w:t>17 033</w:t>
            </w:r>
          </w:p>
        </w:tc>
        <w:tc>
          <w:tcPr>
            <w:tcW w:w="1275" w:type="dxa"/>
            <w:tcBorders>
              <w:top w:val="single" w:sz="12" w:space="0" w:color="auto"/>
            </w:tcBorders>
          </w:tcPr>
          <w:p w:rsidR="00021365" w:rsidRPr="005D7586" w:rsidRDefault="00021365">
            <w:pPr>
              <w:jc w:val="right"/>
              <w:rPr>
                <w:b/>
              </w:rPr>
            </w:pPr>
            <w:r w:rsidRPr="005D7586">
              <w:rPr>
                <w:b/>
              </w:rPr>
              <w:t>15 044</w:t>
            </w:r>
          </w:p>
        </w:tc>
        <w:tc>
          <w:tcPr>
            <w:tcW w:w="993" w:type="dxa"/>
            <w:tcBorders>
              <w:top w:val="single" w:sz="12" w:space="0" w:color="auto"/>
            </w:tcBorders>
          </w:tcPr>
          <w:p w:rsidR="00021365" w:rsidRPr="005D7586" w:rsidRDefault="00021365">
            <w:pPr>
              <w:jc w:val="right"/>
            </w:pPr>
            <w:r w:rsidRPr="005D7586">
              <w:t>17 544</w:t>
            </w:r>
          </w:p>
        </w:tc>
        <w:tc>
          <w:tcPr>
            <w:tcW w:w="850" w:type="dxa"/>
            <w:tcBorders>
              <w:top w:val="single" w:sz="12" w:space="0" w:color="auto"/>
            </w:tcBorders>
          </w:tcPr>
          <w:p w:rsidR="00021365" w:rsidRPr="005D7586" w:rsidRDefault="00021365">
            <w:pPr>
              <w:jc w:val="right"/>
            </w:pPr>
            <w:r w:rsidRPr="005D7586">
              <w:t>19 475</w:t>
            </w:r>
          </w:p>
        </w:tc>
      </w:tr>
    </w:tbl>
    <w:p w:rsidR="00021365" w:rsidRPr="005D7586" w:rsidRDefault="00021365">
      <w:pPr>
        <w:pStyle w:val="Brdtextmedindrag"/>
        <w:ind w:firstLine="0"/>
      </w:pPr>
    </w:p>
    <w:p w:rsidR="00021365" w:rsidRPr="005D7586" w:rsidRDefault="00021365">
      <w:r w:rsidRPr="005D7586">
        <w:t>Utgiftsområdet omfattar politikområdena Internationellt utvecklingssamarbete och samarbete med Central- och Ös</w:t>
      </w:r>
      <w:r w:rsidRPr="005D7586">
        <w:t>t</w:t>
      </w:r>
      <w:r w:rsidRPr="005D7586">
        <w:t>europa.</w:t>
      </w:r>
    </w:p>
    <w:p w:rsidR="00021365" w:rsidRPr="005D7586" w:rsidRDefault="00021365">
      <w:pPr>
        <w:pStyle w:val="Normaltindrag"/>
      </w:pPr>
      <w:r w:rsidRPr="005D7586">
        <w:t>Förändringen av utgiftsområdesramen jämfört med beräkningarna i 2001 års ekonomiska vårproposition förklaras i huvudsak av en lägre BNI-prognos samt förändrade biståndsavräkningar. Biståndsramen 2002 är 0,74 % av BNI. År 2003 ökas den till att motsvara 0,81 % av BNI och 2004 till 0,86 % av BNI, därutöver tillförs biståndet 200 miljoner kronor.</w:t>
      </w:r>
    </w:p>
    <w:p w:rsidR="00021365" w:rsidRPr="005D7586" w:rsidRDefault="00021365">
      <w:pPr>
        <w:pStyle w:val="Normaltindrag"/>
      </w:pPr>
      <w:r w:rsidRPr="005D7586">
        <w:t>Ramen för utgiftsområdet föreslås uppgå till 15 044 miljoner kr</w:t>
      </w:r>
      <w:r w:rsidRPr="005D7586">
        <w:t>o</w:t>
      </w:r>
      <w:r w:rsidRPr="005D7586">
        <w:t xml:space="preserve">nor 2002. </w:t>
      </w:r>
    </w:p>
    <w:p w:rsidR="00021365" w:rsidRPr="005D7586" w:rsidRDefault="00021365">
      <w:pPr>
        <w:pStyle w:val="Rubrik3"/>
        <w:rPr>
          <w:noProof w:val="0"/>
        </w:rPr>
      </w:pPr>
      <w:bookmarkStart w:id="6" w:name="_Toc529180759"/>
      <w:r w:rsidRPr="005D7586">
        <w:rPr>
          <w:noProof w:val="0"/>
        </w:rPr>
        <w:t>Vissa garantifrågor</w:t>
      </w:r>
      <w:bookmarkEnd w:id="6"/>
    </w:p>
    <w:p w:rsidR="00021365" w:rsidRPr="005D7586" w:rsidRDefault="00021365">
      <w:r w:rsidRPr="005D7586">
        <w:t xml:space="preserve">I </w:t>
      </w:r>
      <w:r w:rsidRPr="005D7586">
        <w:rPr>
          <w:i/>
        </w:rPr>
        <w:t xml:space="preserve">propositionens yrkande 13 </w:t>
      </w:r>
      <w:r w:rsidRPr="005D7586">
        <w:t>föreslås att infrianden av garantier som ingår i resultatområdet garantier till internationella finansieringsinstitut även fra</w:t>
      </w:r>
      <w:r w:rsidRPr="005D7586">
        <w:t>m</w:t>
      </w:r>
      <w:r w:rsidRPr="005D7586">
        <w:t xml:space="preserve">deles skall täckas via anslag. </w:t>
      </w:r>
    </w:p>
    <w:p w:rsidR="00021365" w:rsidRPr="005D7586" w:rsidRDefault="00021365">
      <w:pPr>
        <w:pStyle w:val="Normaltindrag"/>
      </w:pPr>
      <w:r w:rsidRPr="005D7586">
        <w:t>Bakgrunden till förslaget är att regeringen inte har funnit det möjligt att hantera vissa garantier till internationella finansieringsinstitut i enlighet med garantimodellen. Detta gäller de internationella finansieringsinstitut där Sv</w:t>
      </w:r>
      <w:r w:rsidRPr="005D7586">
        <w:t>e</w:t>
      </w:r>
      <w:r w:rsidRPr="005D7586">
        <w:t>riges medlemsåtagande består av inbetalt kapital och garantier. Dessa garant</w:t>
      </w:r>
      <w:r w:rsidRPr="005D7586">
        <w:t>i</w:t>
      </w:r>
      <w:r w:rsidRPr="005D7586">
        <w:t>er innebär att Sverige, som ett av flera medlemsländer, förbundit sig att til</w:t>
      </w:r>
      <w:r w:rsidRPr="005D7586">
        <w:t>l</w:t>
      </w:r>
      <w:r w:rsidRPr="005D7586">
        <w:t>handahålla ett visst kapitalbelopp utöver det kapital som de enskilda länderna betalar direkt till berörda institut. För dessa garantier avser regeringen inrätta ett separat resultatområde: garantier till internationella finansieringsinstitut. Resultatområdet skall endast omfatta de garantier som utfärdats inom ramen för Sveriges medlemskap i de nio inte</w:t>
      </w:r>
      <w:r w:rsidRPr="005D7586">
        <w:t>rnationella organisationer där medlems- åtagandet består av både inbetalt kapital och garantier, dvs. Europeiska u</w:t>
      </w:r>
      <w:r w:rsidRPr="005D7586">
        <w:t>t</w:t>
      </w:r>
      <w:r w:rsidRPr="005D7586">
        <w:t>vecklingsbanken (EBRD), Världsbanken (IBRD), Europeiska investering</w:t>
      </w:r>
      <w:r w:rsidRPr="005D7586">
        <w:t>s</w:t>
      </w:r>
      <w:r w:rsidRPr="005D7586">
        <w:t>banken (EIB), Nordiska investeringsbanken (NIB), Europarådets utveckling</w:t>
      </w:r>
      <w:r w:rsidRPr="005D7586">
        <w:t>s</w:t>
      </w:r>
      <w:r w:rsidRPr="005D7586">
        <w:t>bank (CEB), Multilaterala investeringsorganet (MIGA), Asiatiska utvec</w:t>
      </w:r>
      <w:r w:rsidRPr="005D7586">
        <w:t>k</w:t>
      </w:r>
      <w:r w:rsidRPr="005D7586">
        <w:t>lingsbanken (AsDB), Afrikanska utvecklingsbanken (AfDB) och Interamer</w:t>
      </w:r>
      <w:r w:rsidRPr="005D7586">
        <w:t>i</w:t>
      </w:r>
      <w:r w:rsidRPr="005D7586">
        <w:t>kanska utvec</w:t>
      </w:r>
      <w:r w:rsidRPr="005D7586">
        <w:t>k</w:t>
      </w:r>
      <w:r w:rsidRPr="005D7586">
        <w:t>lingsbanken (IDB).</w:t>
      </w:r>
    </w:p>
    <w:p w:rsidR="00021365" w:rsidRPr="005D7586" w:rsidRDefault="00021365">
      <w:pPr>
        <w:pStyle w:val="Normaltindrag"/>
      </w:pPr>
      <w:r w:rsidRPr="005D7586">
        <w:t>En avgörande skillnad mellan dessa åtaganden och övriga statliga garantier är att sv</w:t>
      </w:r>
      <w:r w:rsidRPr="005D7586">
        <w:t>enska staten, som ett av flera medlemsländer, endast har begränsade möjligheter att påverka beslut om hur ett potentiellt infriande skall hanteras, dvs. om ett infriande skall tillåtas inträffa eller om medlemsländerna kolle</w:t>
      </w:r>
      <w:r w:rsidRPr="005D7586">
        <w:t>k</w:t>
      </w:r>
      <w:r w:rsidRPr="005D7586">
        <w:t>tivt skall tillskjuta mer kapital. Om dessa garantier hanterades enligt garant</w:t>
      </w:r>
      <w:r w:rsidRPr="005D7586">
        <w:t>i</w:t>
      </w:r>
      <w:r w:rsidRPr="005D7586">
        <w:t xml:space="preserve">modellen skulle resultatet därför kunna bli dubbla avsättningar. Subventionen </w:t>
      </w:r>
      <w:r w:rsidRPr="005D7586">
        <w:sym w:font="Symbol" w:char="F02D"/>
      </w:r>
      <w:r w:rsidRPr="005D7586">
        <w:t xml:space="preserve"> dvs. motsvarigheten till riskavspeglande avgift </w:t>
      </w:r>
      <w:r w:rsidRPr="005D7586">
        <w:sym w:font="Symbol" w:char="F02D"/>
      </w:r>
      <w:r w:rsidRPr="005D7586">
        <w:t xml:space="preserve"> skulle belasta de takb</w:t>
      </w:r>
      <w:r w:rsidRPr="005D7586">
        <w:t>e</w:t>
      </w:r>
      <w:r w:rsidRPr="005D7586">
        <w:t>gränsade utgifterna och föras till garantireserven i Ri</w:t>
      </w:r>
      <w:r w:rsidRPr="005D7586">
        <w:t>ksgäldskontoret (RGK). Samtidigt skulle medlemsländerna i stället för att låta garantin infrias kunna välja att göra kapitaltillskott, vilket även det skulle belasta de takbegränsade utgifterna. Historiskt har också medlemsländerna i de internationella finansi</w:t>
      </w:r>
      <w:r w:rsidRPr="005D7586">
        <w:t>e</w:t>
      </w:r>
      <w:r w:rsidRPr="005D7586">
        <w:t>rings</w:t>
      </w:r>
      <w:r w:rsidRPr="005D7586">
        <w:softHyphen/>
        <w:t>institut där Sverige är medlem alltid valt att tillskjuta mer kapital framför att låta utställda g</w:t>
      </w:r>
      <w:r w:rsidRPr="005D7586">
        <w:t>a</w:t>
      </w:r>
      <w:r w:rsidRPr="005D7586">
        <w:t xml:space="preserve">rantier infrias. </w:t>
      </w:r>
    </w:p>
    <w:p w:rsidR="00021365" w:rsidRPr="005D7586" w:rsidRDefault="00021365">
      <w:pPr>
        <w:pStyle w:val="Normaltindrag"/>
      </w:pPr>
      <w:r w:rsidRPr="005D7586">
        <w:t>Regeringen delar därför riksdagens bedömning att det finns skäl som talar för att dessa garantier bör hanteras i särskild or</w:t>
      </w:r>
      <w:r w:rsidRPr="005D7586">
        <w:t>d</w:t>
      </w:r>
      <w:r w:rsidRPr="005D7586">
        <w:t xml:space="preserve">ning (bet. 1999/2000:FiU24). </w:t>
      </w:r>
    </w:p>
    <w:p w:rsidR="00021365" w:rsidRPr="005D7586" w:rsidRDefault="00021365">
      <w:pPr>
        <w:pStyle w:val="Normaltindrag"/>
      </w:pPr>
      <w:r w:rsidRPr="005D7586">
        <w:t>Mot denna bakgrund föreslår regeringen att de garantier som ingår i resu</w:t>
      </w:r>
      <w:r w:rsidRPr="005D7586">
        <w:t>l</w:t>
      </w:r>
      <w:r w:rsidRPr="005D7586">
        <w:t>tatområdet garantier till internationella finansieringsinstitut undantas från garantimodellen. Detta innebär att såväl påkallade kapitaltillskott som eve</w:t>
      </w:r>
      <w:r w:rsidRPr="005D7586">
        <w:t>n</w:t>
      </w:r>
      <w:r w:rsidRPr="005D7586">
        <w:t>tuella infrianden av garantier kan komma att medföra mer eller mindre plöt</w:t>
      </w:r>
      <w:r w:rsidRPr="005D7586">
        <w:t>s</w:t>
      </w:r>
      <w:r w:rsidRPr="005D7586">
        <w:t>liga belastningar på de takbegränsade utgifterna. För att tydliggöra för</w:t>
      </w:r>
      <w:r w:rsidRPr="005D7586">
        <w:t>e</w:t>
      </w:r>
      <w:r w:rsidRPr="005D7586">
        <w:t>komsten av, och de potentiella kostnaderna för, dessa garantier bör emellertid en separat garantireserv inrättas i RGK. Reserven kommer normalt att ha ett nollsaldo och skall endast belastas vid ett eventuellt</w:t>
      </w:r>
      <w:r w:rsidRPr="005D7586">
        <w:t xml:space="preserve"> infriande, varefter a</w:t>
      </w:r>
      <w:r w:rsidRPr="005D7586">
        <w:t>n</w:t>
      </w:r>
      <w:r w:rsidRPr="005D7586">
        <w:t>slagsmedel skall föras till reserven. Detta medför också att ändamålet för anslag inom utgiftsområde 2 som i dag täcker kapitaltillskott bör vidgas till att även gälla infrianden av garantier. Regeringens förslag berör också utgiftso</w:t>
      </w:r>
      <w:r w:rsidRPr="005D7586">
        <w:t>m</w:t>
      </w:r>
      <w:r w:rsidRPr="005D7586">
        <w:t>råde 7 Internationellt b</w:t>
      </w:r>
      <w:r w:rsidRPr="005D7586">
        <w:t>i</w:t>
      </w:r>
      <w:r w:rsidRPr="005D7586">
        <w:t>stånd.</w:t>
      </w:r>
    </w:p>
    <w:p w:rsidR="00021365" w:rsidRPr="005D7586" w:rsidRDefault="00021365">
      <w:pPr>
        <w:pStyle w:val="Rubrik3"/>
        <w:rPr>
          <w:noProof w:val="0"/>
        </w:rPr>
      </w:pPr>
      <w:bookmarkStart w:id="7" w:name="_Toc529180760"/>
      <w:r w:rsidRPr="005D7586">
        <w:rPr>
          <w:noProof w:val="0"/>
        </w:rPr>
        <w:t>Revision av EU-medel</w:t>
      </w:r>
      <w:bookmarkEnd w:id="7"/>
    </w:p>
    <w:p w:rsidR="00021365" w:rsidRPr="005D7586" w:rsidRDefault="00021365">
      <w:r w:rsidRPr="005D7586">
        <w:t>Regeringen informerar varje år riksdagen om hur man har agerat med anle</w:t>
      </w:r>
      <w:r w:rsidRPr="005D7586">
        <w:t>d</w:t>
      </w:r>
      <w:r w:rsidRPr="005D7586">
        <w:t>ning av Europeiska revisionsrättens rapporter. Denna information lämnas normalt till riksdagen i den ekonomiska vårpropositionen men med anledning av ordförandeskapet lämnas den i år i stället i budgetpropos</w:t>
      </w:r>
      <w:r w:rsidRPr="005D7586">
        <w:t>i</w:t>
      </w:r>
      <w:r w:rsidRPr="005D7586">
        <w:t>tionen.</w:t>
      </w:r>
    </w:p>
    <w:p w:rsidR="00021365" w:rsidRPr="005D7586" w:rsidRDefault="00021365">
      <w:pPr>
        <w:pStyle w:val="Normaltindrag"/>
      </w:pPr>
      <w:r w:rsidRPr="005D7586">
        <w:t>Årsrapportens innehåll är numera koncentrerat till iakttagelser rörande f</w:t>
      </w:r>
      <w:r w:rsidRPr="005D7586">
        <w:t>i</w:t>
      </w:r>
      <w:r w:rsidRPr="005D7586">
        <w:t>nansiell förvaltning och kontroll inom de olika sektorer som finansierar eller finansieras av EU-budgeten. Revisionsrättens granskningar rörande effekt</w:t>
      </w:r>
      <w:r w:rsidRPr="005D7586">
        <w:t>i</w:t>
      </w:r>
      <w:r w:rsidRPr="005D7586">
        <w:t>vitet och måluppfyllelse gällande användning av EU-medel redovisas främst i särskilda rapporter och inte som tidigare i årsrapporten.</w:t>
      </w:r>
    </w:p>
    <w:p w:rsidR="00021365" w:rsidRPr="005D7586" w:rsidRDefault="00021365">
      <w:pPr>
        <w:pStyle w:val="Normaltindrag"/>
      </w:pPr>
      <w:r w:rsidRPr="005D7586">
        <w:t>Redovisningen i årets budgetproposition av EU-revisionens iakttagelser berör utrikesutskottets beredningsområde i nedanstående avseende.</w:t>
      </w:r>
    </w:p>
    <w:p w:rsidR="00021365" w:rsidRPr="005D7586" w:rsidRDefault="00021365">
      <w:pPr>
        <w:pStyle w:val="Normaltindrag"/>
      </w:pPr>
      <w:r w:rsidRPr="005D7586">
        <w:t>Det har visat sig att en del framsteg rörande resultat och utfallsmätning m.m. har gjorts inom vissa specifika områden. Detta gäller bl.a. programmet för stöd till Sydafrika.</w:t>
      </w:r>
    </w:p>
    <w:p w:rsidR="00021365" w:rsidRPr="005D7586" w:rsidRDefault="00021365">
      <w:pPr>
        <w:pStyle w:val="Normaltindrag"/>
      </w:pPr>
      <w:r w:rsidRPr="005D7586">
        <w:t>Vidare har revisionsrätten granskat hur korrekt beräkningen av varje me</w:t>
      </w:r>
      <w:r w:rsidRPr="005D7586">
        <w:t>d</w:t>
      </w:r>
      <w:r w:rsidRPr="005D7586">
        <w:t>lemsstats bidrag under olika stadier har utförts, från den ursprungliga budg</w:t>
      </w:r>
      <w:r w:rsidRPr="005D7586">
        <w:t>e</w:t>
      </w:r>
      <w:r w:rsidRPr="005D7586">
        <w:t>ten till det slutliga avslutet för de berörda budgetåren. Man kunde då konst</w:t>
      </w:r>
      <w:r w:rsidRPr="005D7586">
        <w:t>a</w:t>
      </w:r>
      <w:r w:rsidRPr="005D7586">
        <w:t>tera att flera medlemsstater (MS) sände in giltiga beräkningsunderlag för sent, vilket minskade tiden för kontroll. Kommissionen har även varit bristfällig i sin dok</w:t>
      </w:r>
      <w:r w:rsidRPr="005D7586">
        <w:t>u</w:t>
      </w:r>
      <w:r w:rsidRPr="005D7586">
        <w:t>mentation av omfattningen och arten av sina kontroller av BNI-uppgifter. Sverige anser, sägs det i propositionen, att det är viktigt att me</w:t>
      </w:r>
      <w:r w:rsidRPr="005D7586">
        <w:t>d</w:t>
      </w:r>
      <w:r w:rsidRPr="005D7586">
        <w:t>lemsstaterna lämnar sina BNI-uppgifter i tid för at</w:t>
      </w:r>
      <w:r w:rsidRPr="005D7586">
        <w:t>t öka kontrolltiden, vilket innebär att jämförbarheten mellan medlemsstate</w:t>
      </w:r>
      <w:r w:rsidRPr="005D7586">
        <w:t>r</w:t>
      </w:r>
      <w:r w:rsidRPr="005D7586">
        <w:t xml:space="preserve">na ökar. </w:t>
      </w:r>
    </w:p>
    <w:p w:rsidR="00021365" w:rsidRPr="005D7586" w:rsidRDefault="00021365">
      <w:pPr>
        <w:pStyle w:val="Rubrik2"/>
      </w:pPr>
      <w:bookmarkStart w:id="8" w:name="_Toc529180761"/>
      <w:r w:rsidRPr="005D7586">
        <w:t>Motionerna</w:t>
      </w:r>
      <w:bookmarkEnd w:id="8"/>
    </w:p>
    <w:p w:rsidR="00021365" w:rsidRPr="005D7586" w:rsidRDefault="00021365">
      <w:r w:rsidRPr="005D7586">
        <w:t xml:space="preserve">I partimotionerna </w:t>
      </w:r>
      <w:r w:rsidRPr="005D7586">
        <w:rPr>
          <w:i/>
        </w:rPr>
        <w:t>2001/02:Fi291 (m) yrkandena 4</w:t>
      </w:r>
      <w:r w:rsidRPr="005D7586">
        <w:t xml:space="preserve"> och </w:t>
      </w:r>
      <w:r w:rsidRPr="005D7586">
        <w:rPr>
          <w:i/>
        </w:rPr>
        <w:t>5 (båda delvis), 2001/02:Fi292 (kd) yrkandena 9</w:t>
      </w:r>
      <w:r w:rsidRPr="005D7586">
        <w:t xml:space="preserve"> och </w:t>
      </w:r>
      <w:r w:rsidRPr="005D7586">
        <w:rPr>
          <w:i/>
        </w:rPr>
        <w:t>10 (båda delvis)</w:t>
      </w:r>
      <w:r w:rsidRPr="005D7586">
        <w:t xml:space="preserve">, </w:t>
      </w:r>
      <w:r w:rsidRPr="005D7586">
        <w:rPr>
          <w:i/>
        </w:rPr>
        <w:t>2001/02:Fi293 (c) yrkandena 3</w:t>
      </w:r>
      <w:r w:rsidRPr="005D7586">
        <w:t xml:space="preserve"> och </w:t>
      </w:r>
      <w:r w:rsidRPr="005D7586">
        <w:rPr>
          <w:i/>
        </w:rPr>
        <w:t>4</w:t>
      </w:r>
      <w:r w:rsidRPr="005D7586">
        <w:t xml:space="preserve"> </w:t>
      </w:r>
      <w:r w:rsidRPr="005D7586">
        <w:rPr>
          <w:i/>
        </w:rPr>
        <w:t xml:space="preserve">(båda delvis) </w:t>
      </w:r>
      <w:r w:rsidRPr="005D7586">
        <w:t xml:space="preserve">samt </w:t>
      </w:r>
      <w:r w:rsidRPr="005D7586">
        <w:rPr>
          <w:i/>
        </w:rPr>
        <w:t>2001/02:Fi294 (fp) yrkande 13 (delvis)</w:t>
      </w:r>
      <w:r w:rsidRPr="005D7586">
        <w:t xml:space="preserve"> föreslås från propositionen avvikande fördelning av utgifterna för budgetåret 2002 respektive preliminär fördelning av utgifterna på utgiftsområden för budgetåren 2003 och 2004. Förslagen i dessa motioner, jämte regeringens förslag, framgår av tabellerna i bilagan till detta yt</w:t>
      </w:r>
      <w:r w:rsidRPr="005D7586">
        <w:t>t</w:t>
      </w:r>
      <w:r w:rsidRPr="005D7586">
        <w:t>rande.</w:t>
      </w:r>
    </w:p>
    <w:p w:rsidR="00021365" w:rsidRPr="005D7586" w:rsidRDefault="00021365">
      <w:pPr>
        <w:pStyle w:val="Rubrik2"/>
      </w:pPr>
      <w:bookmarkStart w:id="9" w:name="_Toc529180762"/>
      <w:r w:rsidRPr="005D7586">
        <w:t>Utskottet</w:t>
      </w:r>
      <w:bookmarkEnd w:id="9"/>
    </w:p>
    <w:p w:rsidR="00021365" w:rsidRPr="005D7586" w:rsidRDefault="00021365">
      <w:r w:rsidRPr="005D7586">
        <w:t>Förändringen av utgiftsområdesramen för utgiftsområde 5 jämfört med tidig</w:t>
      </w:r>
      <w:r w:rsidRPr="005D7586">
        <w:t>a</w:t>
      </w:r>
      <w:r w:rsidRPr="005D7586">
        <w:t>re år förklaras i huvudsak av den sammanslagning av Utrikesdepartementets och Regeringskansliets förvaltningsanslag som sker fr.o.m. år 2002. Utskottet har tidigare tagit ställning för denna förändring av indelning i u</w:t>
      </w:r>
      <w:r w:rsidRPr="005D7586">
        <w:t>t</w:t>
      </w:r>
      <w:r w:rsidRPr="005D7586">
        <w:t>giftsområden.</w:t>
      </w:r>
    </w:p>
    <w:p w:rsidR="00021365" w:rsidRPr="005D7586" w:rsidRDefault="00021365">
      <w:pPr>
        <w:pStyle w:val="Normaltindrag"/>
      </w:pPr>
      <w:r w:rsidRPr="005D7586">
        <w:t>Förstärkningen av statsfinanserna och det förbättrade ekonomiska läget möjliggör en ökad satsning på utgiftsområde 7 Internationellt bistånd. De av regeringen föreslagna ökningarna av anslaget för 2002 jämfört med anslaget för 2001 är väl motiverade. Utskottet konstaterar i sam</w:t>
      </w:r>
      <w:r w:rsidRPr="005D7586">
        <w:t>manhanget att skälen till att det föreslagna anslaget för år 2002 är lägre än det förväntade utfallet  för år 2001 dels är att det senare beloppet även innefattar utnyttjade reserv</w:t>
      </w:r>
      <w:r w:rsidRPr="005D7586">
        <w:t>a</w:t>
      </w:r>
      <w:r w:rsidRPr="005D7586">
        <w:t>tioner, dels är förändringar i prognostiserad BNI.</w:t>
      </w:r>
    </w:p>
    <w:p w:rsidR="00021365" w:rsidRPr="005D7586" w:rsidRDefault="00021365">
      <w:pPr>
        <w:pStyle w:val="Rubrik3"/>
        <w:rPr>
          <w:noProof w:val="0"/>
        </w:rPr>
      </w:pPr>
      <w:bookmarkStart w:id="10" w:name="_Toc529180763"/>
      <w:r w:rsidRPr="005D7586">
        <w:rPr>
          <w:noProof w:val="0"/>
        </w:rPr>
        <w:t>Anslagens fördelning mellan utgiftsområdena m.m.</w:t>
      </w:r>
      <w:bookmarkEnd w:id="10"/>
    </w:p>
    <w:p w:rsidR="00021365" w:rsidRPr="005D7586" w:rsidRDefault="00021365">
      <w:pPr>
        <w:rPr>
          <w:snapToGrid w:val="0"/>
          <w:color w:val="000000"/>
          <w:lang w:eastAsia="sv-SE"/>
        </w:rPr>
      </w:pPr>
      <w:r w:rsidRPr="005D7586">
        <w:t>I ett flertal motioner som väckts under den allmänna motionstiden 2001/02 har framförts yrkanden om överflyttning av anslag och verksamheter mellan utgiftsområden. Förutsättningarna för de av motionärerna föreslagna åtgä</w:t>
      </w:r>
      <w:r w:rsidRPr="005D7586">
        <w:t>r</w:t>
      </w:r>
      <w:r w:rsidRPr="005D7586">
        <w:t xml:space="preserve">derna har emellertid förändrats jämfört med tidigare år i det att det </w:t>
      </w:r>
      <w:r w:rsidRPr="005D7586">
        <w:rPr>
          <w:snapToGrid w:val="0"/>
          <w:color w:val="000000"/>
          <w:lang w:eastAsia="sv-SE"/>
        </w:rPr>
        <w:t>fr.o.m. den 1 september 2001 införts ett nytt andra stycke i 5.12.1 RO, som skall tillä</w:t>
      </w:r>
      <w:r w:rsidRPr="005D7586">
        <w:rPr>
          <w:snapToGrid w:val="0"/>
          <w:color w:val="000000"/>
          <w:lang w:eastAsia="sv-SE"/>
        </w:rPr>
        <w:t>m</w:t>
      </w:r>
      <w:r w:rsidRPr="005D7586">
        <w:rPr>
          <w:snapToGrid w:val="0"/>
          <w:color w:val="000000"/>
          <w:lang w:eastAsia="sv-SE"/>
        </w:rPr>
        <w:t>pas första gången i fråga om statsbudgeten för år 2002. Stycket har följande lydelse:</w:t>
      </w:r>
    </w:p>
    <w:p w:rsidR="00021365" w:rsidRPr="005D7586" w:rsidRDefault="00021365">
      <w:pPr>
        <w:pStyle w:val="Citat"/>
        <w:spacing w:before="120"/>
        <w:rPr>
          <w:snapToGrid w:val="0"/>
        </w:rPr>
      </w:pPr>
      <w:r w:rsidRPr="005D7586">
        <w:rPr>
          <w:snapToGrid w:val="0"/>
        </w:rPr>
        <w:t>Beslut i fråga om vilka ändamål och verksamheter som skall innefattas i ett utgiftsområde fattas i samband med beslut med anledning av den ek</w:t>
      </w:r>
      <w:r w:rsidRPr="005D7586">
        <w:rPr>
          <w:snapToGrid w:val="0"/>
        </w:rPr>
        <w:t>o</w:t>
      </w:r>
      <w:r w:rsidRPr="005D7586">
        <w:rPr>
          <w:snapToGrid w:val="0"/>
        </w:rPr>
        <w:t>n</w:t>
      </w:r>
      <w:r w:rsidRPr="005D7586">
        <w:rPr>
          <w:snapToGrid w:val="0"/>
        </w:rPr>
        <w:t>o</w:t>
      </w:r>
      <w:r w:rsidRPr="005D7586">
        <w:rPr>
          <w:snapToGrid w:val="0"/>
        </w:rPr>
        <w:t>miska vårpropositionen. Lag (2001:581).</w:t>
      </w:r>
    </w:p>
    <w:p w:rsidR="00021365" w:rsidRPr="005D7586" w:rsidRDefault="00021365">
      <w:pPr>
        <w:rPr>
          <w:snapToGrid w:val="0"/>
          <w:color w:val="000000"/>
        </w:rPr>
      </w:pPr>
      <w:r w:rsidRPr="005D7586">
        <w:rPr>
          <w:snapToGrid w:val="0"/>
          <w:color w:val="000000"/>
        </w:rPr>
        <w:t>Konstitutionsutskottet gick i sitt betänkande (2000/01:KU23) inte närmare in på innebörden av bestämmelsen, men Riksdagskommittén anförde i sin fö</w:t>
      </w:r>
      <w:r w:rsidRPr="005D7586">
        <w:rPr>
          <w:snapToGrid w:val="0"/>
          <w:color w:val="000000"/>
        </w:rPr>
        <w:t>r</w:t>
      </w:r>
      <w:r w:rsidRPr="005D7586">
        <w:rPr>
          <w:snapToGrid w:val="0"/>
          <w:color w:val="000000"/>
        </w:rPr>
        <w:t>fattningskommentar (2000/01:RS1 s. 181) följande:</w:t>
      </w:r>
    </w:p>
    <w:p w:rsidR="00021365" w:rsidRPr="005D7586" w:rsidRDefault="00021365">
      <w:pPr>
        <w:pStyle w:val="Citat"/>
        <w:spacing w:before="120"/>
      </w:pPr>
      <w:r w:rsidRPr="005D7586">
        <w:t>Det nya andra stycket i paragrafen innebär att ändringar beträffande vad som skall innefattas i utgiftsområdena i förhållande till den förteckning som bifogats betänkandet 1995/96:KU21 eller i förhållande till senare riksdagsbeslut skall beslutas i samband med beslut om den ekonomiska vårpropositionen. Förutsättningarna för riksdagens budgetbehandling när det gäller indelningen i utgiftsområden är därmed fastlagda innan höstens budgetarbete börjar.</w:t>
      </w:r>
    </w:p>
    <w:p w:rsidR="00021365" w:rsidRPr="005D7586" w:rsidRDefault="00021365">
      <w:r w:rsidRPr="005D7586">
        <w:t>Utrikesutskottet behandlar de motionsvis framförda förslagen mot bakgrund av den nu införda ordningen och kommer i konsekvens härmed bl.a. att öve</w:t>
      </w:r>
      <w:r w:rsidRPr="005D7586">
        <w:t>r</w:t>
      </w:r>
      <w:r w:rsidRPr="005D7586">
        <w:t>lämna yrkanden om överflyttning av anslag och verksamheter mellan utgift</w:t>
      </w:r>
      <w:r w:rsidRPr="005D7586">
        <w:t>s</w:t>
      </w:r>
      <w:r w:rsidRPr="005D7586">
        <w:t>områden till konstitutionsutskottet för senare beredning.</w:t>
      </w:r>
    </w:p>
    <w:p w:rsidR="00021365" w:rsidRPr="005D7586" w:rsidRDefault="00021365">
      <w:pPr>
        <w:pStyle w:val="Normaltindrag"/>
      </w:pPr>
      <w:r w:rsidRPr="005D7586">
        <w:t xml:space="preserve">I partimotionerna </w:t>
      </w:r>
      <w:r w:rsidRPr="005D7586">
        <w:rPr>
          <w:i/>
        </w:rPr>
        <w:t>2001/02:Fi291 (m) yrkandena 4</w:t>
      </w:r>
      <w:r w:rsidRPr="005D7586">
        <w:t xml:space="preserve"> och </w:t>
      </w:r>
      <w:r w:rsidRPr="005D7586">
        <w:rPr>
          <w:i/>
        </w:rPr>
        <w:t>5 (båda delvis), 2001/02:Fi292 (kd) yrkandena 9</w:t>
      </w:r>
      <w:r w:rsidRPr="005D7586">
        <w:t xml:space="preserve"> och </w:t>
      </w:r>
      <w:r w:rsidRPr="005D7586">
        <w:rPr>
          <w:i/>
        </w:rPr>
        <w:t>10 (båda delvis)</w:t>
      </w:r>
      <w:r w:rsidRPr="005D7586">
        <w:t xml:space="preserve">, </w:t>
      </w:r>
      <w:r w:rsidRPr="005D7586">
        <w:rPr>
          <w:i/>
        </w:rPr>
        <w:t>2001/02:Fi293 (c) yrkandena 3</w:t>
      </w:r>
      <w:r w:rsidRPr="005D7586">
        <w:t xml:space="preserve"> och </w:t>
      </w:r>
      <w:r w:rsidRPr="005D7586">
        <w:rPr>
          <w:i/>
        </w:rPr>
        <w:t>4</w:t>
      </w:r>
      <w:r w:rsidRPr="005D7586">
        <w:t xml:space="preserve"> </w:t>
      </w:r>
      <w:r w:rsidRPr="005D7586">
        <w:rPr>
          <w:i/>
        </w:rPr>
        <w:t xml:space="preserve">(båda delvis) </w:t>
      </w:r>
      <w:r w:rsidRPr="005D7586">
        <w:t xml:space="preserve">samt </w:t>
      </w:r>
      <w:r w:rsidRPr="005D7586">
        <w:rPr>
          <w:i/>
        </w:rPr>
        <w:t>2001/02:Fi294 (fp) yrkande 13 (delvis)</w:t>
      </w:r>
      <w:r w:rsidRPr="005D7586">
        <w:t xml:space="preserve"> föreslås beträffande utgiftsområdena 5 och 7, i flertalet fall, från propositi</w:t>
      </w:r>
      <w:r w:rsidRPr="005D7586">
        <w:t>o</w:t>
      </w:r>
      <w:r w:rsidRPr="005D7586">
        <w:t>nen avvikande fördelning av utgifterna för budgetåret 2002 respektive prel</w:t>
      </w:r>
      <w:r w:rsidRPr="005D7586">
        <w:t>i</w:t>
      </w:r>
      <w:r w:rsidRPr="005D7586">
        <w:t>minär fördelning av utgifterna på utgiftsområden för budgetåren 2003 och 2004. Förslagen i dessa motioner, jämte regeringens förslag, framgår av t</w:t>
      </w:r>
      <w:r w:rsidRPr="005D7586">
        <w:t>a</w:t>
      </w:r>
      <w:r w:rsidRPr="005D7586">
        <w:t>bellerna i bi</w:t>
      </w:r>
      <w:r w:rsidRPr="005D7586">
        <w:t>lagan till detta yt</w:t>
      </w:r>
      <w:r w:rsidRPr="005D7586">
        <w:t>t</w:t>
      </w:r>
      <w:r w:rsidRPr="005D7586">
        <w:t>rande.</w:t>
      </w:r>
    </w:p>
    <w:p w:rsidR="00021365" w:rsidRPr="005D7586" w:rsidRDefault="00021365">
      <w:r w:rsidRPr="005D7586">
        <w:t xml:space="preserve">Utskottet anser regeringens förslag rörande utgiftsområdena 5 och 7 </w:t>
      </w:r>
      <w:r w:rsidRPr="005D7586">
        <w:rPr>
          <w:i/>
        </w:rPr>
        <w:t>(prop</w:t>
      </w:r>
      <w:r w:rsidRPr="005D7586">
        <w:rPr>
          <w:i/>
        </w:rPr>
        <w:t>o</w:t>
      </w:r>
      <w:r w:rsidRPr="005D7586">
        <w:rPr>
          <w:i/>
        </w:rPr>
        <w:t xml:space="preserve">sitionens yrkanden 8 och 9, båda delvis) </w:t>
      </w:r>
      <w:r w:rsidRPr="005D7586">
        <w:t xml:space="preserve">vara väl avvägda vad avser såväl budgetåret 2002 som budgetåren 2003 och 2004, varför de bör tillstyrkas. I konsekvens härmed menar utskottet att partimotionerna </w:t>
      </w:r>
      <w:r w:rsidRPr="005D7586">
        <w:rPr>
          <w:i/>
        </w:rPr>
        <w:t>2001/02:Fi291 (m) yrkandena 4</w:t>
      </w:r>
      <w:r w:rsidRPr="005D7586">
        <w:t xml:space="preserve"> och </w:t>
      </w:r>
      <w:r w:rsidRPr="005D7586">
        <w:rPr>
          <w:i/>
        </w:rPr>
        <w:t>5 (båda delvis), 2001/02:Fi292 (kd) yrkandena 9</w:t>
      </w:r>
      <w:r w:rsidRPr="005D7586">
        <w:t xml:space="preserve"> och </w:t>
      </w:r>
      <w:r w:rsidRPr="005D7586">
        <w:rPr>
          <w:i/>
        </w:rPr>
        <w:t>10 (båda delvis)</w:t>
      </w:r>
      <w:r w:rsidRPr="005D7586">
        <w:t xml:space="preserve">, </w:t>
      </w:r>
      <w:r w:rsidRPr="005D7586">
        <w:rPr>
          <w:i/>
        </w:rPr>
        <w:t>2001/02:Fi293 (c) yrkandena 3</w:t>
      </w:r>
      <w:r w:rsidRPr="005D7586">
        <w:t xml:space="preserve"> och </w:t>
      </w:r>
      <w:r w:rsidRPr="005D7586">
        <w:rPr>
          <w:i/>
        </w:rPr>
        <w:t>4</w:t>
      </w:r>
      <w:r w:rsidRPr="005D7586">
        <w:t xml:space="preserve"> </w:t>
      </w:r>
      <w:r w:rsidRPr="005D7586">
        <w:rPr>
          <w:i/>
        </w:rPr>
        <w:t xml:space="preserve">(båda delvis) </w:t>
      </w:r>
      <w:r w:rsidRPr="005D7586">
        <w:t xml:space="preserve">samt </w:t>
      </w:r>
      <w:r w:rsidRPr="005D7586">
        <w:rPr>
          <w:i/>
        </w:rPr>
        <w:t>2001/02:Fi294 (fp) yrkande 13 (delvis)</w:t>
      </w:r>
      <w:r w:rsidRPr="005D7586">
        <w:t>, i de delar som avviker från regerin</w:t>
      </w:r>
      <w:r w:rsidRPr="005D7586">
        <w:t>g</w:t>
      </w:r>
      <w:r w:rsidRPr="005D7586">
        <w:t>ens förslag, bör avstyrkas.</w:t>
      </w:r>
    </w:p>
    <w:p w:rsidR="00021365" w:rsidRPr="005D7586" w:rsidRDefault="00021365">
      <w:pPr>
        <w:pStyle w:val="Rubrik3"/>
        <w:rPr>
          <w:noProof w:val="0"/>
        </w:rPr>
      </w:pPr>
      <w:bookmarkStart w:id="11" w:name="_Toc529180764"/>
      <w:r w:rsidRPr="005D7586">
        <w:rPr>
          <w:noProof w:val="0"/>
        </w:rPr>
        <w:t>Vissa garantifrågor</w:t>
      </w:r>
      <w:bookmarkEnd w:id="11"/>
    </w:p>
    <w:p w:rsidR="00021365" w:rsidRPr="005D7586" w:rsidRDefault="00021365">
      <w:r w:rsidRPr="005D7586">
        <w:t>I propositionens</w:t>
      </w:r>
      <w:r w:rsidRPr="005D7586">
        <w:rPr>
          <w:i/>
        </w:rPr>
        <w:t xml:space="preserve"> </w:t>
      </w:r>
      <w:r w:rsidRPr="005D7586">
        <w:t>föreslås att infrianden av garantier som ingår i resultatomr</w:t>
      </w:r>
      <w:r w:rsidRPr="005D7586">
        <w:t>å</w:t>
      </w:r>
      <w:r w:rsidRPr="005D7586">
        <w:t xml:space="preserve">det garantier till internationella finansieringsinstitut även framdeles skall täckas via anslag. Förslaget </w:t>
      </w:r>
      <w:r w:rsidRPr="005D7586">
        <w:rPr>
          <w:i/>
        </w:rPr>
        <w:t>(yrkande 13 delvis)</w:t>
      </w:r>
      <w:r w:rsidRPr="005D7586">
        <w:t xml:space="preserve"> berör bl.a. utgiftsområde 7. </w:t>
      </w:r>
    </w:p>
    <w:p w:rsidR="00021365" w:rsidRPr="005D7586" w:rsidRDefault="00021365">
      <w:r w:rsidRPr="005D7586">
        <w:t>Enligt utskottets uppfattning utgör den föreslagna åtgärden, trots att den inn</w:t>
      </w:r>
      <w:r w:rsidRPr="005D7586">
        <w:t>e</w:t>
      </w:r>
      <w:r w:rsidRPr="005D7586">
        <w:t xml:space="preserve">bär ett avsteg från garantimodellen, en lämplig lösning av de problem som nämns i propositionen. Utskottet menar därför att </w:t>
      </w:r>
      <w:r w:rsidRPr="005D7586">
        <w:rPr>
          <w:i/>
        </w:rPr>
        <w:t>propositionens yrkande 13</w:t>
      </w:r>
      <w:r w:rsidRPr="005D7586">
        <w:t xml:space="preserve"> </w:t>
      </w:r>
      <w:r w:rsidRPr="005D7586">
        <w:rPr>
          <w:i/>
        </w:rPr>
        <w:t xml:space="preserve">(delvis) </w:t>
      </w:r>
      <w:r w:rsidRPr="005D7586">
        <w:t>bör tillstyrkas.</w:t>
      </w:r>
    </w:p>
    <w:p w:rsidR="00021365" w:rsidRPr="005D7586" w:rsidRDefault="00021365">
      <w:pPr>
        <w:pStyle w:val="Normaltindrag"/>
      </w:pPr>
      <w:r w:rsidRPr="005D7586">
        <w:t>Utskottet välkomnar i detta sammanhang regeringens utfästelse att fra</w:t>
      </w:r>
      <w:r w:rsidRPr="005D7586">
        <w:t>m</w:t>
      </w:r>
      <w:r w:rsidRPr="005D7586">
        <w:t>gent redovisa subventioner i samband med garantigivning, något som ligger i linje med det synsätt utskottet tidigare givit uttryck för.</w:t>
      </w:r>
    </w:p>
    <w:p w:rsidR="00021365" w:rsidRPr="005D7586" w:rsidRDefault="00021365">
      <w:pPr>
        <w:pStyle w:val="Rubrik3"/>
        <w:rPr>
          <w:noProof w:val="0"/>
        </w:rPr>
      </w:pPr>
      <w:bookmarkStart w:id="12" w:name="_Toc529180765"/>
      <w:r w:rsidRPr="005D7586">
        <w:rPr>
          <w:noProof w:val="0"/>
        </w:rPr>
        <w:t>Revision av EU-medel</w:t>
      </w:r>
      <w:bookmarkEnd w:id="12"/>
    </w:p>
    <w:p w:rsidR="00021365" w:rsidRPr="005D7586" w:rsidRDefault="00021365">
      <w:r w:rsidRPr="005D7586">
        <w:t>Utskottet noterar de framsteg rörande resultat och utfallsmätning m.m. som har gjorts bl.a. beträffande programmet för stöd till Sydafrika.</w:t>
      </w:r>
    </w:p>
    <w:p w:rsidR="00021365" w:rsidRPr="005D7586" w:rsidRDefault="00021365">
      <w:pPr>
        <w:pStyle w:val="Normaltindrag"/>
      </w:pPr>
      <w:r w:rsidRPr="005D7586">
        <w:t>BNI-uppgifter är centrala bl.a. vid beräkningen av staters engagemang på biståndsområdet. Utskottet vill mot denna bakgrund understryka vikten av att EU:s medlemsstater, som det sägs i propositionen, ”lämnar sina BNI-uppgifter i tid för att öka kontrolltiden, vilket innebär att jämförbarheten mellan medlemsstate</w:t>
      </w:r>
      <w:r w:rsidRPr="005D7586">
        <w:t>r</w:t>
      </w:r>
      <w:r w:rsidRPr="005D7586">
        <w:t xml:space="preserve">na ökar”. </w:t>
      </w:r>
    </w:p>
    <w:p w:rsidR="00021365" w:rsidRPr="005D7586" w:rsidRDefault="00021365"/>
    <w:p w:rsidR="00021365" w:rsidRPr="005D7586" w:rsidRDefault="00021365">
      <w:pPr>
        <w:pStyle w:val="Utskriftsdatum"/>
      </w:pPr>
      <w:r w:rsidRPr="005D7586">
        <w:t>Stockholm den 25 oktober 2001</w:t>
      </w:r>
    </w:p>
    <w:p w:rsidR="00021365" w:rsidRPr="005D7586" w:rsidRDefault="00021365">
      <w:r w:rsidRPr="005D7586">
        <w:t>På utrikesutskottets vägnar</w:t>
      </w:r>
    </w:p>
    <w:p w:rsidR="00021365" w:rsidRPr="005D7586" w:rsidRDefault="00021365">
      <w:pPr>
        <w:pStyle w:val="Ordfranden"/>
        <w:rPr>
          <w:noProof w:val="0"/>
        </w:rPr>
      </w:pPr>
      <w:bookmarkStart w:id="13" w:name="Ordförande"/>
      <w:bookmarkEnd w:id="13"/>
      <w:r w:rsidRPr="005D7586">
        <w:rPr>
          <w:noProof w:val="0"/>
        </w:rPr>
        <w:t xml:space="preserve">Viola Furubjelke </w:t>
      </w:r>
    </w:p>
    <w:p w:rsidR="00021365" w:rsidRPr="005D7586" w:rsidRDefault="00021365">
      <w:pPr>
        <w:pStyle w:val="Deltagare"/>
        <w:rPr>
          <w:noProof w:val="0"/>
        </w:rPr>
      </w:pPr>
      <w:bookmarkStart w:id="14" w:name="Deltagare"/>
      <w:bookmarkStart w:id="15" w:name="_Toc465764674"/>
      <w:bookmarkEnd w:id="14"/>
      <w:r w:rsidRPr="005D7586">
        <w:rPr>
          <w:noProof w:val="0"/>
        </w:rPr>
        <w:t>Följande ledamöter har deltagit i beslutet: Viola Furubjelke (s), Sören Lekberg (s), Berndt Ekholm (s), Lars Ohly (v), Holger Gustafsson (kd), Bertil Persson (m), Carina Hägg (s), Agneta Brendt (s), Marianne Jönsson (s), Murad Artin (v), Sten Tolgfors (m), Marianne Samuelsson (mp), Marianne Andersson (c), Karl-Göran Biörsmark (fp), Karin Enström (m), Hans Hjortzberg-Nordlund (m) och Rosita Runegrund (kd).</w:t>
      </w:r>
    </w:p>
    <w:p w:rsidR="00021365" w:rsidRPr="005D7586" w:rsidRDefault="00021365"/>
    <w:p w:rsidR="00021365" w:rsidRPr="005D7586" w:rsidRDefault="00021365">
      <w:pPr>
        <w:pStyle w:val="Deltagare"/>
        <w:rPr>
          <w:noProof w:val="0"/>
        </w:rPr>
        <w:sectPr w:rsidR="00000000" w:rsidRPr="005D758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21365" w:rsidRPr="005D7586" w:rsidRDefault="00021365">
      <w:pPr>
        <w:pStyle w:val="R1"/>
      </w:pPr>
      <w:bookmarkStart w:id="16" w:name="_Toc527196754"/>
      <w:bookmarkStart w:id="17" w:name="_Toc529180766"/>
      <w:bookmarkEnd w:id="15"/>
      <w:r w:rsidRPr="005D7586">
        <w:t>Avvikande mening</w:t>
      </w:r>
      <w:bookmarkEnd w:id="16"/>
      <w:r w:rsidRPr="005D7586">
        <w:t>ar</w:t>
      </w:r>
      <w:bookmarkEnd w:id="17"/>
    </w:p>
    <w:p w:rsidR="00021365" w:rsidRPr="005D7586" w:rsidRDefault="00021365">
      <w:pPr>
        <w:pStyle w:val="R2"/>
        <w:spacing w:before="0"/>
      </w:pPr>
      <w:r w:rsidRPr="005D7586">
        <w:t>1. Ramarna för utgiftsområdena 5 och 7</w:t>
      </w:r>
    </w:p>
    <w:p w:rsidR="00021365" w:rsidRPr="005D7586" w:rsidRDefault="00021365">
      <w:r w:rsidRPr="005D7586">
        <w:t>Bertil Persson, Sten Tolgfors, Karin Enström och Hans Hjortzberg-Nordlund (alla m) anför:</w:t>
      </w:r>
    </w:p>
    <w:p w:rsidR="00021365" w:rsidRPr="005D7586" w:rsidRDefault="00021365">
      <w:r w:rsidRPr="005D7586">
        <w:t xml:space="preserve">Utskottet förordar de ramar för </w:t>
      </w:r>
      <w:r w:rsidRPr="005D7586">
        <w:rPr>
          <w:i/>
        </w:rPr>
        <w:t>utgiftsområdena 5</w:t>
      </w:r>
      <w:r w:rsidRPr="005D7586">
        <w:t xml:space="preserve"> och </w:t>
      </w:r>
      <w:r w:rsidRPr="005D7586">
        <w:rPr>
          <w:i/>
        </w:rPr>
        <w:t>7</w:t>
      </w:r>
      <w:r w:rsidRPr="005D7586">
        <w:t xml:space="preserve"> för budgetåret 2002 och den preliminära fördelning av utgifterna för samma utgiftsområden för budgetåren 2003 och 2004 som, vad avser redovisningen av Moderata sa</w:t>
      </w:r>
      <w:r w:rsidRPr="005D7586">
        <w:t>m</w:t>
      </w:r>
      <w:r w:rsidRPr="005D7586">
        <w:t xml:space="preserve">lingspartiets förslag, framgår av bilagan till föreliggande yttrande och med de motiveringar som framgår av motion </w:t>
      </w:r>
      <w:r w:rsidRPr="005D7586">
        <w:rPr>
          <w:i/>
        </w:rPr>
        <w:t>2001/02:Fi291 (m) yrkandena 4</w:t>
      </w:r>
      <w:r w:rsidRPr="005D7586">
        <w:t xml:space="preserve"> och </w:t>
      </w:r>
      <w:r w:rsidRPr="005D7586">
        <w:rPr>
          <w:i/>
        </w:rPr>
        <w:t>5 (båda delvis)</w:t>
      </w:r>
      <w:r w:rsidRPr="005D7586">
        <w:t>.</w:t>
      </w:r>
    </w:p>
    <w:p w:rsidR="00021365" w:rsidRPr="005D7586" w:rsidRDefault="00021365">
      <w:pPr>
        <w:pStyle w:val="R2"/>
      </w:pPr>
      <w:r w:rsidRPr="005D7586">
        <w:t>2. Ramarna för utgiftsområdena 5 och 7</w:t>
      </w:r>
    </w:p>
    <w:p w:rsidR="00021365" w:rsidRPr="005D7586" w:rsidRDefault="00021365">
      <w:r w:rsidRPr="005D7586">
        <w:t>Holger Gustafsson och Rosita Runegrund (båda kd) anför:</w:t>
      </w:r>
    </w:p>
    <w:p w:rsidR="00021365" w:rsidRPr="005D7586" w:rsidRDefault="00021365">
      <w:r w:rsidRPr="005D7586">
        <w:t xml:space="preserve">Utskottet förordar de ramar för </w:t>
      </w:r>
      <w:r w:rsidRPr="005D7586">
        <w:rPr>
          <w:i/>
        </w:rPr>
        <w:t xml:space="preserve">utgiftsområdena 5 </w:t>
      </w:r>
      <w:r w:rsidRPr="005D7586">
        <w:t>och</w:t>
      </w:r>
      <w:r w:rsidRPr="005D7586">
        <w:rPr>
          <w:i/>
        </w:rPr>
        <w:t xml:space="preserve"> 7</w:t>
      </w:r>
      <w:r w:rsidRPr="005D7586">
        <w:t xml:space="preserve"> för budgetåret 2002 och den preliminära fördelning av utgifterna för samma utgiftsområden för budgetåren 2003 och 2004 som, vad avser redovisningen av Kristdemokrate</w:t>
      </w:r>
      <w:r w:rsidRPr="005D7586">
        <w:t>r</w:t>
      </w:r>
      <w:r w:rsidRPr="005D7586">
        <w:t>nas förslag, framgår av bilagan till föreliggande yttrande och med de motiv</w:t>
      </w:r>
      <w:r w:rsidRPr="005D7586">
        <w:t>e</w:t>
      </w:r>
      <w:r w:rsidRPr="005D7586">
        <w:t xml:space="preserve">ringar som framgår av motion </w:t>
      </w:r>
      <w:r w:rsidRPr="005D7586">
        <w:rPr>
          <w:i/>
        </w:rPr>
        <w:t>2001/02:Fi292 (kd) yrkandena 9</w:t>
      </w:r>
      <w:r w:rsidRPr="005D7586">
        <w:t xml:space="preserve"> och </w:t>
      </w:r>
      <w:r w:rsidRPr="005D7586">
        <w:rPr>
          <w:i/>
        </w:rPr>
        <w:t>10 (båda de</w:t>
      </w:r>
      <w:r w:rsidRPr="005D7586">
        <w:rPr>
          <w:i/>
        </w:rPr>
        <w:t>l</w:t>
      </w:r>
      <w:r w:rsidRPr="005D7586">
        <w:rPr>
          <w:i/>
        </w:rPr>
        <w:t>vis).</w:t>
      </w:r>
    </w:p>
    <w:p w:rsidR="00021365" w:rsidRPr="005D7586" w:rsidRDefault="00021365">
      <w:pPr>
        <w:pStyle w:val="R2"/>
      </w:pPr>
      <w:r w:rsidRPr="005D7586">
        <w:t>3. Ramarna för utgiftsområde 7</w:t>
      </w:r>
    </w:p>
    <w:p w:rsidR="00021365" w:rsidRPr="005D7586" w:rsidRDefault="00021365">
      <w:r w:rsidRPr="005D7586">
        <w:t>Marianne Andersson (c) anför:</w:t>
      </w:r>
    </w:p>
    <w:p w:rsidR="00021365" w:rsidRPr="005D7586" w:rsidRDefault="00021365">
      <w:pPr>
        <w:rPr>
          <w:i/>
        </w:rPr>
      </w:pPr>
      <w:r w:rsidRPr="005D7586">
        <w:t xml:space="preserve">Utskottet förordar den ram för </w:t>
      </w:r>
      <w:r w:rsidRPr="005D7586">
        <w:rPr>
          <w:i/>
        </w:rPr>
        <w:t>utgiftsområde 7</w:t>
      </w:r>
      <w:r w:rsidRPr="005D7586">
        <w:t xml:space="preserve"> för budgetåret 2002 och den preliminära fördelning av utgifterna för samma utgiftsområde för budgetåret 2003 som, vad avser redovisningen av Centerpartiets förslag, framgår av bilagan till föreliggande yttrande och med de motiveringar som framgår av motion </w:t>
      </w:r>
      <w:r w:rsidRPr="005D7586">
        <w:rPr>
          <w:i/>
        </w:rPr>
        <w:t>2001/02:Fi293 (c) yrkandena 3</w:t>
      </w:r>
      <w:r w:rsidRPr="005D7586">
        <w:t xml:space="preserve"> och </w:t>
      </w:r>
      <w:r w:rsidRPr="005D7586">
        <w:rPr>
          <w:i/>
        </w:rPr>
        <w:t>4</w:t>
      </w:r>
      <w:r w:rsidRPr="005D7586">
        <w:t xml:space="preserve"> </w:t>
      </w:r>
      <w:r w:rsidRPr="005D7586">
        <w:rPr>
          <w:i/>
        </w:rPr>
        <w:t>(båda delvis).</w:t>
      </w:r>
    </w:p>
    <w:p w:rsidR="00021365" w:rsidRPr="005D7586" w:rsidRDefault="00021365">
      <w:pPr>
        <w:pStyle w:val="R2"/>
      </w:pPr>
      <w:r w:rsidRPr="005D7586">
        <w:t>4. Ramarna för utgiftsområde 7</w:t>
      </w:r>
    </w:p>
    <w:p w:rsidR="00021365" w:rsidRPr="005D7586" w:rsidRDefault="00021365">
      <w:r w:rsidRPr="005D7586">
        <w:t>Karl-Göran Biörsmark (fp) anför:</w:t>
      </w:r>
    </w:p>
    <w:p w:rsidR="00021365" w:rsidRPr="005D7586" w:rsidRDefault="00021365">
      <w:r w:rsidRPr="005D7586">
        <w:t xml:space="preserve">Utskottet förordar den ram för </w:t>
      </w:r>
      <w:r w:rsidRPr="005D7586">
        <w:rPr>
          <w:i/>
        </w:rPr>
        <w:t>utgiftsområde 7</w:t>
      </w:r>
      <w:r w:rsidRPr="005D7586">
        <w:t xml:space="preserve"> för budgetåret 2002 och den preliminära fördelning av utgifterna för samma utgiftsområde för budgetåren 2003 och 2004 som, vad avser redovisningen av Folkpartiets förslag, framgår av bilagan till föreliggande yttrande och med de motiveringar som framgår av motion </w:t>
      </w:r>
      <w:r w:rsidRPr="005D7586">
        <w:rPr>
          <w:i/>
        </w:rPr>
        <w:t>2001/02:Fi294 (fp) yrkande 13 (de</w:t>
      </w:r>
      <w:r w:rsidRPr="005D7586">
        <w:rPr>
          <w:i/>
        </w:rPr>
        <w:t>l</w:t>
      </w:r>
      <w:r w:rsidRPr="005D7586">
        <w:rPr>
          <w:i/>
        </w:rPr>
        <w:t>vis)</w:t>
      </w:r>
      <w:r w:rsidRPr="005D7586">
        <w:t>.</w:t>
      </w:r>
    </w:p>
    <w:p w:rsidR="00021365" w:rsidRPr="005D7586" w:rsidRDefault="00021365">
      <w:pPr>
        <w:pStyle w:val="Normaltindrag"/>
        <w:sectPr w:rsidR="00000000" w:rsidRPr="005D758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21365" w:rsidRPr="005D7586" w:rsidRDefault="00021365">
      <w:pPr>
        <w:pStyle w:val="Bilaga"/>
      </w:pPr>
      <w:r w:rsidRPr="005D7586">
        <w:t>Bilaga</w:t>
      </w:r>
    </w:p>
    <w:p w:rsidR="00021365" w:rsidRPr="005D7586" w:rsidRDefault="00021365">
      <w:pPr>
        <w:pStyle w:val="Rubrik1"/>
        <w:spacing w:after="0" w:line="20" w:lineRule="exact"/>
        <w:rPr>
          <w:noProof w:val="0"/>
        </w:rPr>
      </w:pPr>
    </w:p>
    <w:p w:rsidR="00021365" w:rsidRPr="005D7586" w:rsidRDefault="00021365">
      <w:pPr>
        <w:pStyle w:val="R1"/>
      </w:pPr>
      <w:r w:rsidRPr="005D7586">
        <w:t>Förslag till fördelning av utgifter på utgiftsområdena 5 och 7 för åren 2002–2004 m.m.</w:t>
      </w:r>
    </w:p>
    <w:p w:rsidR="00021365" w:rsidRPr="005D7586" w:rsidRDefault="00021365">
      <w:pPr>
        <w:pStyle w:val="Rubrik2"/>
        <w:spacing w:before="0"/>
      </w:pPr>
      <w:bookmarkStart w:id="18" w:name="_Toc465764675"/>
      <w:bookmarkStart w:id="19" w:name="_Toc529180767"/>
      <w:r w:rsidRPr="005D7586">
        <w:t>Utgiftsområde 5 Internationell samverkan</w:t>
      </w:r>
      <w:bookmarkEnd w:id="18"/>
      <w:bookmarkEnd w:id="19"/>
    </w:p>
    <w:p w:rsidR="00021365" w:rsidRPr="005D7586" w:rsidRDefault="00021365"/>
    <w:p w:rsidR="00021365" w:rsidRPr="005D7586" w:rsidRDefault="00021365">
      <w:r w:rsidRPr="005D7586">
        <w:t>Absoluta tal</w:t>
      </w:r>
    </w:p>
    <w:p w:rsidR="00021365" w:rsidRPr="005D7586" w:rsidRDefault="00021365">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5D7586">
        <w:tblPrEx>
          <w:tblCellMar>
            <w:top w:w="0" w:type="dxa"/>
            <w:bottom w:w="0" w:type="dxa"/>
          </w:tblCellMar>
        </w:tblPrEx>
        <w:tc>
          <w:tcPr>
            <w:tcW w:w="2197" w:type="dxa"/>
            <w:shd w:val="pct35" w:color="auto" w:fill="FFFFFF"/>
          </w:tcPr>
          <w:p w:rsidR="00021365" w:rsidRPr="005D7586" w:rsidRDefault="00021365">
            <w:pPr>
              <w:jc w:val="center"/>
            </w:pPr>
          </w:p>
        </w:tc>
        <w:tc>
          <w:tcPr>
            <w:tcW w:w="1275" w:type="dxa"/>
          </w:tcPr>
          <w:p w:rsidR="00021365" w:rsidRPr="005D7586" w:rsidRDefault="00021365">
            <w:pPr>
              <w:jc w:val="center"/>
            </w:pPr>
            <w:r w:rsidRPr="005D7586">
              <w:rPr>
                <w:b/>
              </w:rPr>
              <w:t>Bå 2002</w:t>
            </w:r>
          </w:p>
          <w:p w:rsidR="00021365" w:rsidRPr="005D7586" w:rsidRDefault="00021365">
            <w:pPr>
              <w:jc w:val="center"/>
            </w:pPr>
            <w:r w:rsidRPr="005D7586">
              <w:rPr>
                <w:i/>
              </w:rPr>
              <w:t>(Mkr)</w:t>
            </w:r>
          </w:p>
        </w:tc>
        <w:tc>
          <w:tcPr>
            <w:tcW w:w="1276" w:type="dxa"/>
          </w:tcPr>
          <w:p w:rsidR="00021365" w:rsidRPr="005D7586" w:rsidRDefault="00021365">
            <w:pPr>
              <w:jc w:val="center"/>
            </w:pPr>
            <w:r w:rsidRPr="005D7586">
              <w:rPr>
                <w:b/>
              </w:rPr>
              <w:t>Bå 2003</w:t>
            </w:r>
          </w:p>
          <w:p w:rsidR="00021365" w:rsidRPr="005D7586" w:rsidRDefault="00021365">
            <w:pPr>
              <w:jc w:val="center"/>
            </w:pPr>
            <w:r w:rsidRPr="005D7586">
              <w:rPr>
                <w:i/>
              </w:rPr>
              <w:t>(Mkr)</w:t>
            </w:r>
          </w:p>
        </w:tc>
        <w:tc>
          <w:tcPr>
            <w:tcW w:w="1288" w:type="dxa"/>
          </w:tcPr>
          <w:p w:rsidR="00021365" w:rsidRPr="005D7586" w:rsidRDefault="00021365">
            <w:pPr>
              <w:jc w:val="center"/>
            </w:pPr>
            <w:r w:rsidRPr="005D7586">
              <w:rPr>
                <w:b/>
              </w:rPr>
              <w:t>Bå 2004</w:t>
            </w:r>
          </w:p>
          <w:p w:rsidR="00021365" w:rsidRPr="005D7586" w:rsidRDefault="00021365">
            <w:pPr>
              <w:jc w:val="center"/>
            </w:pPr>
            <w:r w:rsidRPr="005D7586">
              <w:rPr>
                <w:i/>
              </w:rPr>
              <w:t>(Mkr)</w:t>
            </w:r>
          </w:p>
        </w:tc>
      </w:tr>
      <w:tr w:rsidR="00000000" w:rsidRPr="005D7586">
        <w:tblPrEx>
          <w:tblCellMar>
            <w:top w:w="0" w:type="dxa"/>
            <w:bottom w:w="0" w:type="dxa"/>
          </w:tblCellMar>
        </w:tblPrEx>
        <w:tc>
          <w:tcPr>
            <w:tcW w:w="2197" w:type="dxa"/>
          </w:tcPr>
          <w:p w:rsidR="00021365" w:rsidRPr="005D7586" w:rsidRDefault="00021365">
            <w:r w:rsidRPr="005D7586">
              <w:rPr>
                <w:b/>
              </w:rPr>
              <w:t>Propositionen</w:t>
            </w:r>
          </w:p>
        </w:tc>
        <w:tc>
          <w:tcPr>
            <w:tcW w:w="1275" w:type="dxa"/>
          </w:tcPr>
          <w:p w:rsidR="00021365" w:rsidRPr="005D7586" w:rsidRDefault="00021365">
            <w:pPr>
              <w:jc w:val="right"/>
            </w:pPr>
            <w:r w:rsidRPr="005D7586">
              <w:t>1 162</w:t>
            </w:r>
          </w:p>
        </w:tc>
        <w:tc>
          <w:tcPr>
            <w:tcW w:w="1276" w:type="dxa"/>
          </w:tcPr>
          <w:p w:rsidR="00021365" w:rsidRPr="005D7586" w:rsidRDefault="00021365">
            <w:pPr>
              <w:jc w:val="right"/>
            </w:pPr>
            <w:r w:rsidRPr="005D7586">
              <w:t>1 170</w:t>
            </w:r>
          </w:p>
        </w:tc>
        <w:tc>
          <w:tcPr>
            <w:tcW w:w="1288" w:type="dxa"/>
          </w:tcPr>
          <w:p w:rsidR="00021365" w:rsidRPr="005D7586" w:rsidRDefault="00021365">
            <w:pPr>
              <w:jc w:val="right"/>
            </w:pPr>
            <w:r w:rsidRPr="005D7586">
              <w:t>1 175</w:t>
            </w:r>
          </w:p>
        </w:tc>
      </w:tr>
      <w:tr w:rsidR="00000000" w:rsidRPr="005D7586">
        <w:tblPrEx>
          <w:tblCellMar>
            <w:top w:w="0" w:type="dxa"/>
            <w:bottom w:w="0" w:type="dxa"/>
          </w:tblCellMar>
        </w:tblPrEx>
        <w:tc>
          <w:tcPr>
            <w:tcW w:w="2197" w:type="dxa"/>
          </w:tcPr>
          <w:p w:rsidR="00021365" w:rsidRPr="005D7586" w:rsidRDefault="00021365">
            <w:r w:rsidRPr="005D7586">
              <w:rPr>
                <w:b/>
                <w:sz w:val="18"/>
              </w:rPr>
              <w:t>Moderata samlingspart</w:t>
            </w:r>
            <w:r w:rsidRPr="005D7586">
              <w:rPr>
                <w:b/>
                <w:sz w:val="18"/>
              </w:rPr>
              <w:t>i</w:t>
            </w:r>
            <w:r w:rsidRPr="005D7586">
              <w:rPr>
                <w:b/>
                <w:sz w:val="18"/>
              </w:rPr>
              <w:t>et</w:t>
            </w:r>
          </w:p>
        </w:tc>
        <w:tc>
          <w:tcPr>
            <w:tcW w:w="1275" w:type="dxa"/>
          </w:tcPr>
          <w:p w:rsidR="00021365" w:rsidRPr="005D7586" w:rsidRDefault="00021365">
            <w:pPr>
              <w:jc w:val="right"/>
            </w:pPr>
            <w:r w:rsidRPr="005D7586">
              <w:t>2 874</w:t>
            </w:r>
          </w:p>
        </w:tc>
        <w:tc>
          <w:tcPr>
            <w:tcW w:w="1276" w:type="dxa"/>
          </w:tcPr>
          <w:p w:rsidR="00021365" w:rsidRPr="005D7586" w:rsidRDefault="00021365">
            <w:pPr>
              <w:jc w:val="right"/>
            </w:pPr>
            <w:r w:rsidRPr="005D7586">
              <w:t>2 877</w:t>
            </w:r>
          </w:p>
        </w:tc>
        <w:tc>
          <w:tcPr>
            <w:tcW w:w="1288" w:type="dxa"/>
          </w:tcPr>
          <w:p w:rsidR="00021365" w:rsidRPr="005D7586" w:rsidRDefault="00021365">
            <w:pPr>
              <w:jc w:val="right"/>
            </w:pPr>
            <w:r w:rsidRPr="005D7586">
              <w:t>2 880</w:t>
            </w:r>
          </w:p>
        </w:tc>
      </w:tr>
      <w:tr w:rsidR="00000000" w:rsidRPr="005D7586">
        <w:tblPrEx>
          <w:tblCellMar>
            <w:top w:w="0" w:type="dxa"/>
            <w:bottom w:w="0" w:type="dxa"/>
          </w:tblCellMar>
        </w:tblPrEx>
        <w:tc>
          <w:tcPr>
            <w:tcW w:w="2197" w:type="dxa"/>
          </w:tcPr>
          <w:p w:rsidR="00021365" w:rsidRPr="005D7586" w:rsidRDefault="00021365">
            <w:r w:rsidRPr="005D7586">
              <w:rPr>
                <w:b/>
              </w:rPr>
              <w:t>Kristdemokraterna</w:t>
            </w:r>
          </w:p>
        </w:tc>
        <w:tc>
          <w:tcPr>
            <w:tcW w:w="1275" w:type="dxa"/>
          </w:tcPr>
          <w:p w:rsidR="00021365" w:rsidRPr="005D7586" w:rsidRDefault="00021365">
            <w:pPr>
              <w:jc w:val="right"/>
            </w:pPr>
            <w:r w:rsidRPr="005D7586">
              <w:t>1 142</w:t>
            </w:r>
          </w:p>
        </w:tc>
        <w:tc>
          <w:tcPr>
            <w:tcW w:w="1276" w:type="dxa"/>
          </w:tcPr>
          <w:p w:rsidR="00021365" w:rsidRPr="005D7586" w:rsidRDefault="00021365">
            <w:pPr>
              <w:jc w:val="right"/>
            </w:pPr>
            <w:r w:rsidRPr="005D7586">
              <w:t>1 150</w:t>
            </w:r>
          </w:p>
        </w:tc>
        <w:tc>
          <w:tcPr>
            <w:tcW w:w="1288" w:type="dxa"/>
          </w:tcPr>
          <w:p w:rsidR="00021365" w:rsidRPr="005D7586" w:rsidRDefault="00021365">
            <w:pPr>
              <w:jc w:val="right"/>
            </w:pPr>
            <w:r w:rsidRPr="005D7586">
              <w:t>1 155</w:t>
            </w:r>
          </w:p>
        </w:tc>
      </w:tr>
      <w:tr w:rsidR="00000000" w:rsidRPr="005D7586">
        <w:tblPrEx>
          <w:tblCellMar>
            <w:top w:w="0" w:type="dxa"/>
            <w:bottom w:w="0" w:type="dxa"/>
          </w:tblCellMar>
        </w:tblPrEx>
        <w:tc>
          <w:tcPr>
            <w:tcW w:w="2197" w:type="dxa"/>
          </w:tcPr>
          <w:p w:rsidR="00021365" w:rsidRPr="005D7586" w:rsidRDefault="00021365">
            <w:r w:rsidRPr="005D7586">
              <w:rPr>
                <w:b/>
              </w:rPr>
              <w:t>Centerpartiet</w:t>
            </w:r>
          </w:p>
        </w:tc>
        <w:tc>
          <w:tcPr>
            <w:tcW w:w="1275" w:type="dxa"/>
          </w:tcPr>
          <w:p w:rsidR="00021365" w:rsidRPr="005D7586" w:rsidRDefault="00021365">
            <w:pPr>
              <w:jc w:val="right"/>
            </w:pPr>
            <w:r w:rsidRPr="005D7586">
              <w:t>1 162</w:t>
            </w:r>
          </w:p>
        </w:tc>
        <w:tc>
          <w:tcPr>
            <w:tcW w:w="1276" w:type="dxa"/>
          </w:tcPr>
          <w:p w:rsidR="00021365" w:rsidRPr="005D7586" w:rsidRDefault="00021365">
            <w:pPr>
              <w:jc w:val="right"/>
            </w:pPr>
            <w:r w:rsidRPr="005D7586">
              <w:t>1 170</w:t>
            </w:r>
          </w:p>
        </w:tc>
        <w:tc>
          <w:tcPr>
            <w:tcW w:w="1288" w:type="dxa"/>
          </w:tcPr>
          <w:p w:rsidR="00021365" w:rsidRPr="005D7586" w:rsidRDefault="00021365">
            <w:pPr>
              <w:jc w:val="right"/>
            </w:pPr>
            <w:r w:rsidRPr="005D7586">
              <w:t>1 175</w:t>
            </w:r>
          </w:p>
        </w:tc>
      </w:tr>
      <w:tr w:rsidR="00000000" w:rsidRPr="005D7586">
        <w:tblPrEx>
          <w:tblCellMar>
            <w:top w:w="0" w:type="dxa"/>
            <w:bottom w:w="0" w:type="dxa"/>
          </w:tblCellMar>
        </w:tblPrEx>
        <w:tc>
          <w:tcPr>
            <w:tcW w:w="2197" w:type="dxa"/>
          </w:tcPr>
          <w:p w:rsidR="00021365" w:rsidRPr="005D7586" w:rsidRDefault="00021365">
            <w:r w:rsidRPr="005D7586">
              <w:rPr>
                <w:b/>
              </w:rPr>
              <w:t>Folkpartiet</w:t>
            </w:r>
          </w:p>
        </w:tc>
        <w:tc>
          <w:tcPr>
            <w:tcW w:w="1275" w:type="dxa"/>
          </w:tcPr>
          <w:p w:rsidR="00021365" w:rsidRPr="005D7586" w:rsidRDefault="00021365">
            <w:pPr>
              <w:jc w:val="right"/>
            </w:pPr>
            <w:r w:rsidRPr="005D7586">
              <w:t>1 162</w:t>
            </w:r>
          </w:p>
        </w:tc>
        <w:tc>
          <w:tcPr>
            <w:tcW w:w="1276" w:type="dxa"/>
          </w:tcPr>
          <w:p w:rsidR="00021365" w:rsidRPr="005D7586" w:rsidRDefault="00021365">
            <w:pPr>
              <w:jc w:val="right"/>
            </w:pPr>
            <w:r w:rsidRPr="005D7586">
              <w:t>1 170</w:t>
            </w:r>
          </w:p>
        </w:tc>
        <w:tc>
          <w:tcPr>
            <w:tcW w:w="1288" w:type="dxa"/>
          </w:tcPr>
          <w:p w:rsidR="00021365" w:rsidRPr="005D7586" w:rsidRDefault="00021365">
            <w:pPr>
              <w:jc w:val="right"/>
            </w:pPr>
            <w:r w:rsidRPr="005D7586">
              <w:t>1 175</w:t>
            </w:r>
          </w:p>
        </w:tc>
      </w:tr>
    </w:tbl>
    <w:p w:rsidR="00021365" w:rsidRPr="005D7586" w:rsidRDefault="00021365"/>
    <w:p w:rsidR="00021365" w:rsidRPr="005D7586" w:rsidRDefault="00021365">
      <w:r w:rsidRPr="005D7586">
        <w:t>Regeringens förslag och differenser gentemot detta</w:t>
      </w:r>
    </w:p>
    <w:p w:rsidR="00021365" w:rsidRPr="005D7586" w:rsidRDefault="00021365">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5D7586">
        <w:tblPrEx>
          <w:tblCellMar>
            <w:top w:w="0" w:type="dxa"/>
            <w:bottom w:w="0" w:type="dxa"/>
          </w:tblCellMar>
        </w:tblPrEx>
        <w:tc>
          <w:tcPr>
            <w:tcW w:w="2197" w:type="dxa"/>
            <w:shd w:val="pct35" w:color="auto" w:fill="FFFFFF"/>
          </w:tcPr>
          <w:p w:rsidR="00021365" w:rsidRPr="005D7586" w:rsidRDefault="00021365">
            <w:pPr>
              <w:jc w:val="center"/>
            </w:pPr>
          </w:p>
        </w:tc>
        <w:tc>
          <w:tcPr>
            <w:tcW w:w="1275" w:type="dxa"/>
          </w:tcPr>
          <w:p w:rsidR="00021365" w:rsidRPr="005D7586" w:rsidRDefault="00021365">
            <w:pPr>
              <w:jc w:val="center"/>
            </w:pPr>
            <w:r w:rsidRPr="005D7586">
              <w:rPr>
                <w:b/>
              </w:rPr>
              <w:t>Bå 2002</w:t>
            </w:r>
          </w:p>
          <w:p w:rsidR="00021365" w:rsidRPr="005D7586" w:rsidRDefault="00021365">
            <w:pPr>
              <w:jc w:val="center"/>
            </w:pPr>
            <w:r w:rsidRPr="005D7586">
              <w:rPr>
                <w:i/>
              </w:rPr>
              <w:t>(Mkr)</w:t>
            </w:r>
          </w:p>
        </w:tc>
        <w:tc>
          <w:tcPr>
            <w:tcW w:w="1276" w:type="dxa"/>
          </w:tcPr>
          <w:p w:rsidR="00021365" w:rsidRPr="005D7586" w:rsidRDefault="00021365">
            <w:pPr>
              <w:jc w:val="center"/>
            </w:pPr>
            <w:r w:rsidRPr="005D7586">
              <w:rPr>
                <w:b/>
              </w:rPr>
              <w:t>Bå 2003</w:t>
            </w:r>
          </w:p>
          <w:p w:rsidR="00021365" w:rsidRPr="005D7586" w:rsidRDefault="00021365">
            <w:pPr>
              <w:jc w:val="center"/>
            </w:pPr>
            <w:r w:rsidRPr="005D7586">
              <w:rPr>
                <w:i/>
              </w:rPr>
              <w:t>(Mkr)</w:t>
            </w:r>
          </w:p>
        </w:tc>
        <w:tc>
          <w:tcPr>
            <w:tcW w:w="1288" w:type="dxa"/>
          </w:tcPr>
          <w:p w:rsidR="00021365" w:rsidRPr="005D7586" w:rsidRDefault="00021365">
            <w:pPr>
              <w:jc w:val="center"/>
            </w:pPr>
            <w:r w:rsidRPr="005D7586">
              <w:rPr>
                <w:b/>
              </w:rPr>
              <w:t>Bå 2004</w:t>
            </w:r>
          </w:p>
          <w:p w:rsidR="00021365" w:rsidRPr="005D7586" w:rsidRDefault="00021365">
            <w:pPr>
              <w:jc w:val="center"/>
            </w:pPr>
            <w:r w:rsidRPr="005D7586">
              <w:rPr>
                <w:i/>
              </w:rPr>
              <w:t>(Mkr)</w:t>
            </w:r>
          </w:p>
        </w:tc>
      </w:tr>
      <w:tr w:rsidR="00000000" w:rsidRPr="005D7586">
        <w:tblPrEx>
          <w:tblCellMar>
            <w:top w:w="0" w:type="dxa"/>
            <w:bottom w:w="0" w:type="dxa"/>
          </w:tblCellMar>
        </w:tblPrEx>
        <w:tc>
          <w:tcPr>
            <w:tcW w:w="2197" w:type="dxa"/>
          </w:tcPr>
          <w:p w:rsidR="00021365" w:rsidRPr="005D7586" w:rsidRDefault="00021365">
            <w:r w:rsidRPr="005D7586">
              <w:rPr>
                <w:b/>
              </w:rPr>
              <w:t>Propositionen</w:t>
            </w:r>
          </w:p>
        </w:tc>
        <w:tc>
          <w:tcPr>
            <w:tcW w:w="1275" w:type="dxa"/>
          </w:tcPr>
          <w:p w:rsidR="00021365" w:rsidRPr="005D7586" w:rsidRDefault="00021365">
            <w:pPr>
              <w:jc w:val="right"/>
            </w:pPr>
            <w:r w:rsidRPr="005D7586">
              <w:t>1 162</w:t>
            </w:r>
          </w:p>
        </w:tc>
        <w:tc>
          <w:tcPr>
            <w:tcW w:w="1276" w:type="dxa"/>
          </w:tcPr>
          <w:p w:rsidR="00021365" w:rsidRPr="005D7586" w:rsidRDefault="00021365">
            <w:pPr>
              <w:jc w:val="right"/>
            </w:pPr>
            <w:r w:rsidRPr="005D7586">
              <w:t>1 170</w:t>
            </w:r>
          </w:p>
        </w:tc>
        <w:tc>
          <w:tcPr>
            <w:tcW w:w="1288" w:type="dxa"/>
          </w:tcPr>
          <w:p w:rsidR="00021365" w:rsidRPr="005D7586" w:rsidRDefault="00021365">
            <w:pPr>
              <w:jc w:val="right"/>
            </w:pPr>
            <w:r w:rsidRPr="005D7586">
              <w:t>1 175</w:t>
            </w:r>
          </w:p>
        </w:tc>
      </w:tr>
      <w:tr w:rsidR="00000000" w:rsidRPr="005D7586">
        <w:tblPrEx>
          <w:tblCellMar>
            <w:top w:w="0" w:type="dxa"/>
            <w:bottom w:w="0" w:type="dxa"/>
          </w:tblCellMar>
        </w:tblPrEx>
        <w:tc>
          <w:tcPr>
            <w:tcW w:w="2197" w:type="dxa"/>
          </w:tcPr>
          <w:p w:rsidR="00021365" w:rsidRPr="005D7586" w:rsidRDefault="00021365">
            <w:r w:rsidRPr="005D7586">
              <w:rPr>
                <w:b/>
                <w:sz w:val="18"/>
              </w:rPr>
              <w:t>Moderata samlingspart</w:t>
            </w:r>
            <w:r w:rsidRPr="005D7586">
              <w:rPr>
                <w:b/>
                <w:sz w:val="18"/>
              </w:rPr>
              <w:t>i</w:t>
            </w:r>
            <w:r w:rsidRPr="005D7586">
              <w:rPr>
                <w:b/>
                <w:sz w:val="18"/>
              </w:rPr>
              <w:t>et</w:t>
            </w:r>
          </w:p>
        </w:tc>
        <w:tc>
          <w:tcPr>
            <w:tcW w:w="1275" w:type="dxa"/>
          </w:tcPr>
          <w:p w:rsidR="00021365" w:rsidRPr="005D7586" w:rsidRDefault="00021365">
            <w:pPr>
              <w:jc w:val="right"/>
            </w:pPr>
            <w:r w:rsidRPr="005D7586">
              <w:t>1 712</w:t>
            </w:r>
          </w:p>
        </w:tc>
        <w:tc>
          <w:tcPr>
            <w:tcW w:w="1276" w:type="dxa"/>
          </w:tcPr>
          <w:p w:rsidR="00021365" w:rsidRPr="005D7586" w:rsidRDefault="00021365">
            <w:pPr>
              <w:jc w:val="right"/>
            </w:pPr>
            <w:r w:rsidRPr="005D7586">
              <w:t>1 707</w:t>
            </w:r>
          </w:p>
        </w:tc>
        <w:tc>
          <w:tcPr>
            <w:tcW w:w="1288" w:type="dxa"/>
          </w:tcPr>
          <w:p w:rsidR="00021365" w:rsidRPr="005D7586" w:rsidRDefault="00021365">
            <w:pPr>
              <w:jc w:val="right"/>
            </w:pPr>
            <w:r w:rsidRPr="005D7586">
              <w:t>1 705</w:t>
            </w:r>
          </w:p>
        </w:tc>
      </w:tr>
      <w:tr w:rsidR="00000000" w:rsidRPr="005D7586">
        <w:tblPrEx>
          <w:tblCellMar>
            <w:top w:w="0" w:type="dxa"/>
            <w:bottom w:w="0" w:type="dxa"/>
          </w:tblCellMar>
        </w:tblPrEx>
        <w:tc>
          <w:tcPr>
            <w:tcW w:w="2197" w:type="dxa"/>
          </w:tcPr>
          <w:p w:rsidR="00021365" w:rsidRPr="005D7586" w:rsidRDefault="00021365">
            <w:r w:rsidRPr="005D7586">
              <w:rPr>
                <w:b/>
              </w:rPr>
              <w:t>Kristdemokraterna</w:t>
            </w:r>
          </w:p>
        </w:tc>
        <w:tc>
          <w:tcPr>
            <w:tcW w:w="1275" w:type="dxa"/>
          </w:tcPr>
          <w:p w:rsidR="00021365" w:rsidRPr="005D7586" w:rsidRDefault="00021365">
            <w:pPr>
              <w:jc w:val="right"/>
            </w:pPr>
            <w:r w:rsidRPr="005D7586">
              <w:t>-20</w:t>
            </w:r>
          </w:p>
        </w:tc>
        <w:tc>
          <w:tcPr>
            <w:tcW w:w="1276" w:type="dxa"/>
          </w:tcPr>
          <w:p w:rsidR="00021365" w:rsidRPr="005D7586" w:rsidRDefault="00021365">
            <w:pPr>
              <w:jc w:val="right"/>
            </w:pPr>
            <w:r w:rsidRPr="005D7586">
              <w:t>-20</w:t>
            </w:r>
          </w:p>
        </w:tc>
        <w:tc>
          <w:tcPr>
            <w:tcW w:w="1288" w:type="dxa"/>
          </w:tcPr>
          <w:p w:rsidR="00021365" w:rsidRPr="005D7586" w:rsidRDefault="00021365">
            <w:pPr>
              <w:jc w:val="right"/>
            </w:pPr>
            <w:r w:rsidRPr="005D7586">
              <w:t>-20</w:t>
            </w:r>
          </w:p>
        </w:tc>
      </w:tr>
      <w:tr w:rsidR="00000000" w:rsidRPr="005D7586">
        <w:tblPrEx>
          <w:tblCellMar>
            <w:top w:w="0" w:type="dxa"/>
            <w:bottom w:w="0" w:type="dxa"/>
          </w:tblCellMar>
        </w:tblPrEx>
        <w:tc>
          <w:tcPr>
            <w:tcW w:w="2197" w:type="dxa"/>
          </w:tcPr>
          <w:p w:rsidR="00021365" w:rsidRPr="005D7586" w:rsidRDefault="00021365">
            <w:r w:rsidRPr="005D7586">
              <w:rPr>
                <w:b/>
              </w:rPr>
              <w:t>Centerpartiet</w:t>
            </w:r>
          </w:p>
        </w:tc>
        <w:tc>
          <w:tcPr>
            <w:tcW w:w="1275" w:type="dxa"/>
          </w:tcPr>
          <w:p w:rsidR="00021365" w:rsidRPr="005D7586" w:rsidRDefault="00021365">
            <w:pPr>
              <w:jc w:val="right"/>
            </w:pPr>
            <w:r w:rsidRPr="005D7586">
              <w:t>0</w:t>
            </w:r>
          </w:p>
        </w:tc>
        <w:tc>
          <w:tcPr>
            <w:tcW w:w="1276" w:type="dxa"/>
          </w:tcPr>
          <w:p w:rsidR="00021365" w:rsidRPr="005D7586" w:rsidRDefault="00021365">
            <w:pPr>
              <w:jc w:val="right"/>
            </w:pPr>
            <w:r w:rsidRPr="005D7586">
              <w:t>0</w:t>
            </w:r>
          </w:p>
        </w:tc>
        <w:tc>
          <w:tcPr>
            <w:tcW w:w="1288" w:type="dxa"/>
          </w:tcPr>
          <w:p w:rsidR="00021365" w:rsidRPr="005D7586" w:rsidRDefault="00021365">
            <w:pPr>
              <w:jc w:val="right"/>
            </w:pPr>
            <w:r w:rsidRPr="005D7586">
              <w:t>0</w:t>
            </w:r>
          </w:p>
        </w:tc>
      </w:tr>
      <w:tr w:rsidR="00000000" w:rsidRPr="005D7586">
        <w:tblPrEx>
          <w:tblCellMar>
            <w:top w:w="0" w:type="dxa"/>
            <w:bottom w:w="0" w:type="dxa"/>
          </w:tblCellMar>
        </w:tblPrEx>
        <w:tc>
          <w:tcPr>
            <w:tcW w:w="2197" w:type="dxa"/>
          </w:tcPr>
          <w:p w:rsidR="00021365" w:rsidRPr="005D7586" w:rsidRDefault="00021365">
            <w:r w:rsidRPr="005D7586">
              <w:rPr>
                <w:b/>
              </w:rPr>
              <w:t>Folkpartiet</w:t>
            </w:r>
          </w:p>
        </w:tc>
        <w:tc>
          <w:tcPr>
            <w:tcW w:w="1275" w:type="dxa"/>
          </w:tcPr>
          <w:p w:rsidR="00021365" w:rsidRPr="005D7586" w:rsidRDefault="00021365">
            <w:pPr>
              <w:jc w:val="right"/>
            </w:pPr>
            <w:r w:rsidRPr="005D7586">
              <w:t>0</w:t>
            </w:r>
          </w:p>
        </w:tc>
        <w:tc>
          <w:tcPr>
            <w:tcW w:w="1276" w:type="dxa"/>
          </w:tcPr>
          <w:p w:rsidR="00021365" w:rsidRPr="005D7586" w:rsidRDefault="00021365">
            <w:pPr>
              <w:jc w:val="right"/>
            </w:pPr>
            <w:r w:rsidRPr="005D7586">
              <w:t>0</w:t>
            </w:r>
          </w:p>
        </w:tc>
        <w:tc>
          <w:tcPr>
            <w:tcW w:w="1288" w:type="dxa"/>
          </w:tcPr>
          <w:p w:rsidR="00021365" w:rsidRPr="005D7586" w:rsidRDefault="00021365">
            <w:pPr>
              <w:jc w:val="right"/>
            </w:pPr>
            <w:r w:rsidRPr="005D7586">
              <w:t>0</w:t>
            </w:r>
          </w:p>
        </w:tc>
      </w:tr>
    </w:tbl>
    <w:p w:rsidR="00021365" w:rsidRPr="005D7586" w:rsidRDefault="00021365"/>
    <w:p w:rsidR="00021365" w:rsidRPr="005D7586" w:rsidRDefault="00021365">
      <w:pPr>
        <w:pStyle w:val="Rubrik2"/>
      </w:pPr>
      <w:r w:rsidRPr="005D7586">
        <w:br w:type="page"/>
      </w:r>
      <w:bookmarkStart w:id="20" w:name="_Toc465764676"/>
      <w:bookmarkStart w:id="21" w:name="_Toc529180768"/>
      <w:r w:rsidRPr="005D7586">
        <w:t>Utgiftsområde 7 Internationellt bistånd</w:t>
      </w:r>
      <w:bookmarkEnd w:id="20"/>
      <w:bookmarkEnd w:id="21"/>
    </w:p>
    <w:p w:rsidR="00021365" w:rsidRPr="005D7586" w:rsidRDefault="00021365">
      <w:pPr>
        <w:pStyle w:val="Normaltindrag"/>
      </w:pPr>
    </w:p>
    <w:p w:rsidR="00021365" w:rsidRPr="005D7586" w:rsidRDefault="00021365">
      <w:r w:rsidRPr="005D7586">
        <w:t>Absoluta tal</w:t>
      </w:r>
    </w:p>
    <w:p w:rsidR="00021365" w:rsidRPr="005D7586" w:rsidRDefault="00021365">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5D7586">
        <w:tblPrEx>
          <w:tblCellMar>
            <w:top w:w="0" w:type="dxa"/>
            <w:bottom w:w="0" w:type="dxa"/>
          </w:tblCellMar>
        </w:tblPrEx>
        <w:tc>
          <w:tcPr>
            <w:tcW w:w="2197" w:type="dxa"/>
            <w:shd w:val="pct35" w:color="auto" w:fill="FFFFFF"/>
          </w:tcPr>
          <w:p w:rsidR="00021365" w:rsidRPr="005D7586" w:rsidRDefault="00021365">
            <w:pPr>
              <w:jc w:val="center"/>
            </w:pPr>
          </w:p>
        </w:tc>
        <w:tc>
          <w:tcPr>
            <w:tcW w:w="1275" w:type="dxa"/>
          </w:tcPr>
          <w:p w:rsidR="00021365" w:rsidRPr="005D7586" w:rsidRDefault="00021365">
            <w:pPr>
              <w:jc w:val="center"/>
            </w:pPr>
            <w:r w:rsidRPr="005D7586">
              <w:rPr>
                <w:b/>
              </w:rPr>
              <w:t>Bå 2002</w:t>
            </w:r>
          </w:p>
          <w:p w:rsidR="00021365" w:rsidRPr="005D7586" w:rsidRDefault="00021365">
            <w:pPr>
              <w:jc w:val="center"/>
            </w:pPr>
            <w:r w:rsidRPr="005D7586">
              <w:rPr>
                <w:i/>
              </w:rPr>
              <w:t>(Mkr)</w:t>
            </w:r>
          </w:p>
        </w:tc>
        <w:tc>
          <w:tcPr>
            <w:tcW w:w="1276" w:type="dxa"/>
          </w:tcPr>
          <w:p w:rsidR="00021365" w:rsidRPr="005D7586" w:rsidRDefault="00021365">
            <w:pPr>
              <w:jc w:val="center"/>
            </w:pPr>
            <w:r w:rsidRPr="005D7586">
              <w:rPr>
                <w:b/>
              </w:rPr>
              <w:t>Bå 2003</w:t>
            </w:r>
          </w:p>
          <w:p w:rsidR="00021365" w:rsidRPr="005D7586" w:rsidRDefault="00021365">
            <w:pPr>
              <w:jc w:val="center"/>
            </w:pPr>
            <w:r w:rsidRPr="005D7586">
              <w:rPr>
                <w:i/>
              </w:rPr>
              <w:t>(Mkr)</w:t>
            </w:r>
          </w:p>
        </w:tc>
        <w:tc>
          <w:tcPr>
            <w:tcW w:w="1288" w:type="dxa"/>
          </w:tcPr>
          <w:p w:rsidR="00021365" w:rsidRPr="005D7586" w:rsidRDefault="00021365">
            <w:pPr>
              <w:jc w:val="center"/>
            </w:pPr>
            <w:r w:rsidRPr="005D7586">
              <w:rPr>
                <w:b/>
              </w:rPr>
              <w:t>Bå 2004</w:t>
            </w:r>
          </w:p>
          <w:p w:rsidR="00021365" w:rsidRPr="005D7586" w:rsidRDefault="00021365">
            <w:pPr>
              <w:jc w:val="center"/>
            </w:pPr>
            <w:r w:rsidRPr="005D7586">
              <w:rPr>
                <w:i/>
              </w:rPr>
              <w:t>(Mkr)</w:t>
            </w:r>
          </w:p>
        </w:tc>
      </w:tr>
      <w:tr w:rsidR="00000000" w:rsidRPr="005D7586">
        <w:tblPrEx>
          <w:tblCellMar>
            <w:top w:w="0" w:type="dxa"/>
            <w:bottom w:w="0" w:type="dxa"/>
          </w:tblCellMar>
        </w:tblPrEx>
        <w:tc>
          <w:tcPr>
            <w:tcW w:w="2197" w:type="dxa"/>
          </w:tcPr>
          <w:p w:rsidR="00021365" w:rsidRPr="005D7586" w:rsidRDefault="00021365">
            <w:r w:rsidRPr="005D7586">
              <w:rPr>
                <w:b/>
              </w:rPr>
              <w:t>Propositionen</w:t>
            </w:r>
            <w:r w:rsidRPr="005D7586">
              <w:rPr>
                <w:rStyle w:val="Fotnotsreferens"/>
                <w:b/>
              </w:rPr>
              <w:footnoteReference w:id="1"/>
            </w:r>
          </w:p>
        </w:tc>
        <w:tc>
          <w:tcPr>
            <w:tcW w:w="1275" w:type="dxa"/>
          </w:tcPr>
          <w:p w:rsidR="00021365" w:rsidRPr="005D7586" w:rsidRDefault="00021365">
            <w:pPr>
              <w:jc w:val="right"/>
            </w:pPr>
            <w:r w:rsidRPr="005D7586">
              <w:t>15 044</w:t>
            </w:r>
          </w:p>
        </w:tc>
        <w:tc>
          <w:tcPr>
            <w:tcW w:w="1276" w:type="dxa"/>
          </w:tcPr>
          <w:p w:rsidR="00021365" w:rsidRPr="005D7586" w:rsidRDefault="00021365">
            <w:pPr>
              <w:jc w:val="right"/>
            </w:pPr>
            <w:r w:rsidRPr="005D7586">
              <w:t>17 544</w:t>
            </w:r>
          </w:p>
        </w:tc>
        <w:tc>
          <w:tcPr>
            <w:tcW w:w="1288" w:type="dxa"/>
          </w:tcPr>
          <w:p w:rsidR="00021365" w:rsidRPr="005D7586" w:rsidRDefault="00021365">
            <w:pPr>
              <w:jc w:val="right"/>
            </w:pPr>
            <w:r w:rsidRPr="005D7586">
              <w:t>19 475</w:t>
            </w:r>
          </w:p>
        </w:tc>
      </w:tr>
      <w:tr w:rsidR="00000000" w:rsidRPr="005D7586">
        <w:tblPrEx>
          <w:tblCellMar>
            <w:top w:w="0" w:type="dxa"/>
            <w:bottom w:w="0" w:type="dxa"/>
          </w:tblCellMar>
        </w:tblPrEx>
        <w:tc>
          <w:tcPr>
            <w:tcW w:w="2197" w:type="dxa"/>
          </w:tcPr>
          <w:p w:rsidR="00021365" w:rsidRPr="005D7586" w:rsidRDefault="00021365">
            <w:r w:rsidRPr="005D7586">
              <w:rPr>
                <w:b/>
                <w:sz w:val="18"/>
              </w:rPr>
              <w:t>Moderata samlingspart</w:t>
            </w:r>
            <w:r w:rsidRPr="005D7586">
              <w:rPr>
                <w:b/>
                <w:sz w:val="18"/>
              </w:rPr>
              <w:t>i</w:t>
            </w:r>
            <w:r w:rsidRPr="005D7586">
              <w:rPr>
                <w:b/>
                <w:sz w:val="18"/>
              </w:rPr>
              <w:t>et</w:t>
            </w:r>
            <w:r w:rsidRPr="005D7586">
              <w:rPr>
                <w:rStyle w:val="Fotnotsreferens"/>
                <w:b/>
                <w:sz w:val="18"/>
              </w:rPr>
              <w:footnoteReference w:id="2"/>
            </w:r>
          </w:p>
        </w:tc>
        <w:tc>
          <w:tcPr>
            <w:tcW w:w="1275" w:type="dxa"/>
          </w:tcPr>
          <w:p w:rsidR="00021365" w:rsidRPr="005D7586" w:rsidRDefault="00021365">
            <w:pPr>
              <w:jc w:val="right"/>
            </w:pPr>
            <w:r w:rsidRPr="005D7586">
              <w:t>13 701</w:t>
            </w:r>
          </w:p>
        </w:tc>
        <w:tc>
          <w:tcPr>
            <w:tcW w:w="1276" w:type="dxa"/>
          </w:tcPr>
          <w:p w:rsidR="00021365" w:rsidRPr="005D7586" w:rsidRDefault="00021365">
            <w:pPr>
              <w:jc w:val="right"/>
            </w:pPr>
            <w:r w:rsidRPr="005D7586">
              <w:t>13 964</w:t>
            </w:r>
          </w:p>
        </w:tc>
        <w:tc>
          <w:tcPr>
            <w:tcW w:w="1288" w:type="dxa"/>
          </w:tcPr>
          <w:p w:rsidR="00021365" w:rsidRPr="005D7586" w:rsidRDefault="00021365">
            <w:pPr>
              <w:jc w:val="right"/>
            </w:pPr>
            <w:r w:rsidRPr="005D7586">
              <w:t>14 798</w:t>
            </w:r>
          </w:p>
        </w:tc>
      </w:tr>
      <w:tr w:rsidR="00000000" w:rsidRPr="005D7586">
        <w:tblPrEx>
          <w:tblCellMar>
            <w:top w:w="0" w:type="dxa"/>
            <w:bottom w:w="0" w:type="dxa"/>
          </w:tblCellMar>
        </w:tblPrEx>
        <w:tc>
          <w:tcPr>
            <w:tcW w:w="2197" w:type="dxa"/>
          </w:tcPr>
          <w:p w:rsidR="00021365" w:rsidRPr="005D7586" w:rsidRDefault="00021365">
            <w:r w:rsidRPr="005D7586">
              <w:rPr>
                <w:b/>
              </w:rPr>
              <w:t>Kristdemokraterna</w:t>
            </w:r>
            <w:r w:rsidRPr="005D7586">
              <w:rPr>
                <w:rStyle w:val="Fotnotsreferens"/>
                <w:b/>
              </w:rPr>
              <w:footnoteReference w:id="3"/>
            </w:r>
          </w:p>
        </w:tc>
        <w:tc>
          <w:tcPr>
            <w:tcW w:w="1275" w:type="dxa"/>
          </w:tcPr>
          <w:p w:rsidR="00021365" w:rsidRPr="005D7586" w:rsidRDefault="00021365">
            <w:pPr>
              <w:jc w:val="right"/>
            </w:pPr>
            <w:r w:rsidRPr="005D7586">
              <w:t>15 544</w:t>
            </w:r>
          </w:p>
        </w:tc>
        <w:tc>
          <w:tcPr>
            <w:tcW w:w="1276" w:type="dxa"/>
          </w:tcPr>
          <w:p w:rsidR="00021365" w:rsidRPr="005D7586" w:rsidRDefault="00021365">
            <w:pPr>
              <w:jc w:val="right"/>
            </w:pPr>
            <w:r w:rsidRPr="005D7586">
              <w:t>18 144</w:t>
            </w:r>
          </w:p>
        </w:tc>
        <w:tc>
          <w:tcPr>
            <w:tcW w:w="1288" w:type="dxa"/>
          </w:tcPr>
          <w:p w:rsidR="00021365" w:rsidRPr="005D7586" w:rsidRDefault="00021365">
            <w:pPr>
              <w:jc w:val="right"/>
            </w:pPr>
            <w:r w:rsidRPr="005D7586">
              <w:t>20 875</w:t>
            </w:r>
          </w:p>
        </w:tc>
      </w:tr>
      <w:tr w:rsidR="00000000" w:rsidRPr="005D7586">
        <w:tblPrEx>
          <w:tblCellMar>
            <w:top w:w="0" w:type="dxa"/>
            <w:bottom w:w="0" w:type="dxa"/>
          </w:tblCellMar>
        </w:tblPrEx>
        <w:tc>
          <w:tcPr>
            <w:tcW w:w="2197" w:type="dxa"/>
          </w:tcPr>
          <w:p w:rsidR="00021365" w:rsidRPr="005D7586" w:rsidRDefault="00021365">
            <w:r w:rsidRPr="005D7586">
              <w:rPr>
                <w:b/>
              </w:rPr>
              <w:t>Centerpartiet</w:t>
            </w:r>
            <w:r w:rsidRPr="005D7586">
              <w:rPr>
                <w:rStyle w:val="Fotnotsreferens"/>
                <w:b/>
              </w:rPr>
              <w:footnoteReference w:id="4"/>
            </w:r>
          </w:p>
        </w:tc>
        <w:tc>
          <w:tcPr>
            <w:tcW w:w="1275" w:type="dxa"/>
          </w:tcPr>
          <w:p w:rsidR="00021365" w:rsidRPr="005D7586" w:rsidRDefault="00021365">
            <w:pPr>
              <w:jc w:val="right"/>
            </w:pPr>
            <w:r w:rsidRPr="005D7586">
              <w:t>15 989</w:t>
            </w:r>
          </w:p>
        </w:tc>
        <w:tc>
          <w:tcPr>
            <w:tcW w:w="1276" w:type="dxa"/>
          </w:tcPr>
          <w:p w:rsidR="00021365" w:rsidRPr="005D7586" w:rsidRDefault="00021365">
            <w:pPr>
              <w:jc w:val="right"/>
            </w:pPr>
            <w:r w:rsidRPr="005D7586">
              <w:t>17 769</w:t>
            </w:r>
          </w:p>
        </w:tc>
        <w:tc>
          <w:tcPr>
            <w:tcW w:w="1288" w:type="dxa"/>
          </w:tcPr>
          <w:p w:rsidR="00021365" w:rsidRPr="005D7586" w:rsidRDefault="00021365">
            <w:pPr>
              <w:jc w:val="right"/>
            </w:pPr>
            <w:r w:rsidRPr="005D7586">
              <w:t>19 475</w:t>
            </w:r>
          </w:p>
        </w:tc>
      </w:tr>
      <w:tr w:rsidR="00000000" w:rsidRPr="005D7586">
        <w:tblPrEx>
          <w:tblCellMar>
            <w:top w:w="0" w:type="dxa"/>
            <w:bottom w:w="0" w:type="dxa"/>
          </w:tblCellMar>
        </w:tblPrEx>
        <w:tc>
          <w:tcPr>
            <w:tcW w:w="2197" w:type="dxa"/>
          </w:tcPr>
          <w:p w:rsidR="00021365" w:rsidRPr="005D7586" w:rsidRDefault="00021365">
            <w:r w:rsidRPr="005D7586">
              <w:rPr>
                <w:b/>
              </w:rPr>
              <w:t>Folkpartiet</w:t>
            </w:r>
            <w:r w:rsidRPr="005D7586">
              <w:rPr>
                <w:rStyle w:val="Fotnotsreferens"/>
                <w:b/>
              </w:rPr>
              <w:footnoteReference w:id="5"/>
            </w:r>
          </w:p>
        </w:tc>
        <w:tc>
          <w:tcPr>
            <w:tcW w:w="1275" w:type="dxa"/>
          </w:tcPr>
          <w:p w:rsidR="00021365" w:rsidRPr="005D7586" w:rsidRDefault="00021365">
            <w:pPr>
              <w:jc w:val="right"/>
            </w:pPr>
            <w:r w:rsidRPr="005D7586">
              <w:t>16 827</w:t>
            </w:r>
          </w:p>
        </w:tc>
        <w:tc>
          <w:tcPr>
            <w:tcW w:w="1276" w:type="dxa"/>
          </w:tcPr>
          <w:p w:rsidR="00021365" w:rsidRPr="005D7586" w:rsidRDefault="00021365">
            <w:pPr>
              <w:jc w:val="right"/>
            </w:pPr>
            <w:r w:rsidRPr="005D7586">
              <w:t>18 712</w:t>
            </w:r>
          </w:p>
        </w:tc>
        <w:tc>
          <w:tcPr>
            <w:tcW w:w="1288" w:type="dxa"/>
          </w:tcPr>
          <w:p w:rsidR="00021365" w:rsidRPr="005D7586" w:rsidRDefault="00021365">
            <w:pPr>
              <w:jc w:val="right"/>
            </w:pPr>
            <w:r w:rsidRPr="005D7586">
              <w:t>20 988</w:t>
            </w:r>
          </w:p>
        </w:tc>
      </w:tr>
    </w:tbl>
    <w:p w:rsidR="00021365" w:rsidRPr="005D7586" w:rsidRDefault="00021365">
      <w:pPr>
        <w:pStyle w:val="Normaltindrag"/>
        <w:rPr>
          <w:sz w:val="16"/>
        </w:rPr>
      </w:pPr>
    </w:p>
    <w:p w:rsidR="00021365" w:rsidRPr="005D7586" w:rsidRDefault="00021365">
      <w:pPr>
        <w:pStyle w:val="Normaltindrag"/>
      </w:pPr>
    </w:p>
    <w:p w:rsidR="00021365" w:rsidRPr="005D7586" w:rsidRDefault="00021365">
      <w:r w:rsidRPr="005D7586">
        <w:t>Regeringens förslag och differenser gentemot detta</w:t>
      </w:r>
    </w:p>
    <w:p w:rsidR="00021365" w:rsidRPr="005D7586" w:rsidRDefault="00021365">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5D7586">
        <w:tblPrEx>
          <w:tblCellMar>
            <w:top w:w="0" w:type="dxa"/>
            <w:bottom w:w="0" w:type="dxa"/>
          </w:tblCellMar>
        </w:tblPrEx>
        <w:tc>
          <w:tcPr>
            <w:tcW w:w="2197" w:type="dxa"/>
            <w:shd w:val="pct35" w:color="auto" w:fill="FFFFFF"/>
          </w:tcPr>
          <w:p w:rsidR="00021365" w:rsidRPr="005D7586" w:rsidRDefault="00021365">
            <w:pPr>
              <w:jc w:val="center"/>
            </w:pPr>
          </w:p>
          <w:p w:rsidR="00021365" w:rsidRPr="005D7586" w:rsidRDefault="00021365">
            <w:pPr>
              <w:pStyle w:val="Normaltindrag"/>
              <w:jc w:val="center"/>
            </w:pPr>
          </w:p>
        </w:tc>
        <w:tc>
          <w:tcPr>
            <w:tcW w:w="1275" w:type="dxa"/>
          </w:tcPr>
          <w:p w:rsidR="00021365" w:rsidRPr="005D7586" w:rsidRDefault="00021365">
            <w:pPr>
              <w:jc w:val="center"/>
            </w:pPr>
            <w:r w:rsidRPr="005D7586">
              <w:rPr>
                <w:b/>
              </w:rPr>
              <w:t>Bå 2002</w:t>
            </w:r>
          </w:p>
          <w:p w:rsidR="00021365" w:rsidRPr="005D7586" w:rsidRDefault="00021365">
            <w:pPr>
              <w:jc w:val="center"/>
            </w:pPr>
            <w:r w:rsidRPr="005D7586">
              <w:rPr>
                <w:i/>
              </w:rPr>
              <w:t>(Mkr)</w:t>
            </w:r>
          </w:p>
        </w:tc>
        <w:tc>
          <w:tcPr>
            <w:tcW w:w="1276" w:type="dxa"/>
          </w:tcPr>
          <w:p w:rsidR="00021365" w:rsidRPr="005D7586" w:rsidRDefault="00021365">
            <w:pPr>
              <w:jc w:val="center"/>
            </w:pPr>
            <w:r w:rsidRPr="005D7586">
              <w:rPr>
                <w:b/>
              </w:rPr>
              <w:t>Bå 2003</w:t>
            </w:r>
          </w:p>
          <w:p w:rsidR="00021365" w:rsidRPr="005D7586" w:rsidRDefault="00021365">
            <w:pPr>
              <w:jc w:val="center"/>
            </w:pPr>
            <w:r w:rsidRPr="005D7586">
              <w:rPr>
                <w:i/>
              </w:rPr>
              <w:t>(Mkr)</w:t>
            </w:r>
          </w:p>
        </w:tc>
        <w:tc>
          <w:tcPr>
            <w:tcW w:w="1288" w:type="dxa"/>
          </w:tcPr>
          <w:p w:rsidR="00021365" w:rsidRPr="005D7586" w:rsidRDefault="00021365">
            <w:pPr>
              <w:jc w:val="center"/>
            </w:pPr>
            <w:r w:rsidRPr="005D7586">
              <w:rPr>
                <w:b/>
              </w:rPr>
              <w:t>Bå 2004</w:t>
            </w:r>
          </w:p>
          <w:p w:rsidR="00021365" w:rsidRPr="005D7586" w:rsidRDefault="00021365">
            <w:pPr>
              <w:jc w:val="center"/>
            </w:pPr>
            <w:r w:rsidRPr="005D7586">
              <w:rPr>
                <w:i/>
              </w:rPr>
              <w:t>(Mkr)</w:t>
            </w:r>
          </w:p>
        </w:tc>
      </w:tr>
      <w:tr w:rsidR="00000000" w:rsidRPr="005D7586">
        <w:tblPrEx>
          <w:tblCellMar>
            <w:top w:w="0" w:type="dxa"/>
            <w:bottom w:w="0" w:type="dxa"/>
          </w:tblCellMar>
        </w:tblPrEx>
        <w:tc>
          <w:tcPr>
            <w:tcW w:w="2197" w:type="dxa"/>
          </w:tcPr>
          <w:p w:rsidR="00021365" w:rsidRPr="005D7586" w:rsidRDefault="00021365">
            <w:r w:rsidRPr="005D7586">
              <w:rPr>
                <w:b/>
              </w:rPr>
              <w:t>Propositionen</w:t>
            </w:r>
          </w:p>
        </w:tc>
        <w:tc>
          <w:tcPr>
            <w:tcW w:w="1275" w:type="dxa"/>
          </w:tcPr>
          <w:p w:rsidR="00021365" w:rsidRPr="005D7586" w:rsidRDefault="00021365">
            <w:pPr>
              <w:jc w:val="right"/>
            </w:pPr>
            <w:r w:rsidRPr="005D7586">
              <w:t>15 044</w:t>
            </w:r>
          </w:p>
        </w:tc>
        <w:tc>
          <w:tcPr>
            <w:tcW w:w="1276" w:type="dxa"/>
          </w:tcPr>
          <w:p w:rsidR="00021365" w:rsidRPr="005D7586" w:rsidRDefault="00021365">
            <w:pPr>
              <w:jc w:val="right"/>
            </w:pPr>
            <w:r w:rsidRPr="005D7586">
              <w:t>17 544</w:t>
            </w:r>
          </w:p>
        </w:tc>
        <w:tc>
          <w:tcPr>
            <w:tcW w:w="1288" w:type="dxa"/>
          </w:tcPr>
          <w:p w:rsidR="00021365" w:rsidRPr="005D7586" w:rsidRDefault="00021365">
            <w:pPr>
              <w:jc w:val="right"/>
            </w:pPr>
            <w:r w:rsidRPr="005D7586">
              <w:t>19 475</w:t>
            </w:r>
          </w:p>
        </w:tc>
      </w:tr>
      <w:tr w:rsidR="00000000" w:rsidRPr="005D7586">
        <w:tblPrEx>
          <w:tblCellMar>
            <w:top w:w="0" w:type="dxa"/>
            <w:bottom w:w="0" w:type="dxa"/>
          </w:tblCellMar>
        </w:tblPrEx>
        <w:tc>
          <w:tcPr>
            <w:tcW w:w="2197" w:type="dxa"/>
          </w:tcPr>
          <w:p w:rsidR="00021365" w:rsidRPr="005D7586" w:rsidRDefault="00021365">
            <w:r w:rsidRPr="005D7586">
              <w:rPr>
                <w:b/>
                <w:sz w:val="18"/>
              </w:rPr>
              <w:t>Moderata samlingspart</w:t>
            </w:r>
            <w:r w:rsidRPr="005D7586">
              <w:rPr>
                <w:b/>
                <w:sz w:val="18"/>
              </w:rPr>
              <w:t>i</w:t>
            </w:r>
            <w:r w:rsidRPr="005D7586">
              <w:rPr>
                <w:b/>
                <w:sz w:val="18"/>
              </w:rPr>
              <w:t>et</w:t>
            </w:r>
          </w:p>
        </w:tc>
        <w:tc>
          <w:tcPr>
            <w:tcW w:w="1275" w:type="dxa"/>
          </w:tcPr>
          <w:p w:rsidR="00021365" w:rsidRPr="005D7586" w:rsidRDefault="00021365">
            <w:pPr>
              <w:jc w:val="right"/>
            </w:pPr>
            <w:r w:rsidRPr="005D7586">
              <w:t>-1 343</w:t>
            </w:r>
          </w:p>
        </w:tc>
        <w:tc>
          <w:tcPr>
            <w:tcW w:w="1276" w:type="dxa"/>
          </w:tcPr>
          <w:p w:rsidR="00021365" w:rsidRPr="005D7586" w:rsidRDefault="00021365">
            <w:pPr>
              <w:jc w:val="right"/>
            </w:pPr>
            <w:r w:rsidRPr="005D7586">
              <w:t>-3 580</w:t>
            </w:r>
          </w:p>
        </w:tc>
        <w:tc>
          <w:tcPr>
            <w:tcW w:w="1288" w:type="dxa"/>
          </w:tcPr>
          <w:p w:rsidR="00021365" w:rsidRPr="005D7586" w:rsidRDefault="00021365">
            <w:pPr>
              <w:jc w:val="right"/>
            </w:pPr>
            <w:r w:rsidRPr="005D7586">
              <w:t>-4 677</w:t>
            </w:r>
          </w:p>
        </w:tc>
      </w:tr>
      <w:tr w:rsidR="00000000" w:rsidRPr="005D7586">
        <w:tblPrEx>
          <w:tblCellMar>
            <w:top w:w="0" w:type="dxa"/>
            <w:bottom w:w="0" w:type="dxa"/>
          </w:tblCellMar>
        </w:tblPrEx>
        <w:tc>
          <w:tcPr>
            <w:tcW w:w="2197" w:type="dxa"/>
          </w:tcPr>
          <w:p w:rsidR="00021365" w:rsidRPr="005D7586" w:rsidRDefault="00021365">
            <w:r w:rsidRPr="005D7586">
              <w:rPr>
                <w:b/>
              </w:rPr>
              <w:t>Kristdemokraterna</w:t>
            </w:r>
          </w:p>
        </w:tc>
        <w:tc>
          <w:tcPr>
            <w:tcW w:w="1275" w:type="dxa"/>
          </w:tcPr>
          <w:p w:rsidR="00021365" w:rsidRPr="005D7586" w:rsidRDefault="00021365">
            <w:pPr>
              <w:jc w:val="right"/>
            </w:pPr>
            <w:r w:rsidRPr="005D7586">
              <w:t>500</w:t>
            </w:r>
          </w:p>
        </w:tc>
        <w:tc>
          <w:tcPr>
            <w:tcW w:w="1276" w:type="dxa"/>
          </w:tcPr>
          <w:p w:rsidR="00021365" w:rsidRPr="005D7586" w:rsidRDefault="00021365">
            <w:pPr>
              <w:jc w:val="right"/>
            </w:pPr>
            <w:r w:rsidRPr="005D7586">
              <w:t>600</w:t>
            </w:r>
          </w:p>
        </w:tc>
        <w:tc>
          <w:tcPr>
            <w:tcW w:w="1288" w:type="dxa"/>
          </w:tcPr>
          <w:p w:rsidR="00021365" w:rsidRPr="005D7586" w:rsidRDefault="00021365">
            <w:pPr>
              <w:jc w:val="right"/>
            </w:pPr>
            <w:r w:rsidRPr="005D7586">
              <w:t>1 400</w:t>
            </w:r>
          </w:p>
        </w:tc>
      </w:tr>
      <w:tr w:rsidR="00000000" w:rsidRPr="005D7586">
        <w:tblPrEx>
          <w:tblCellMar>
            <w:top w:w="0" w:type="dxa"/>
            <w:bottom w:w="0" w:type="dxa"/>
          </w:tblCellMar>
        </w:tblPrEx>
        <w:tc>
          <w:tcPr>
            <w:tcW w:w="2197" w:type="dxa"/>
          </w:tcPr>
          <w:p w:rsidR="00021365" w:rsidRPr="005D7586" w:rsidRDefault="00021365">
            <w:r w:rsidRPr="005D7586">
              <w:rPr>
                <w:b/>
              </w:rPr>
              <w:t>Centerpartiet</w:t>
            </w:r>
          </w:p>
        </w:tc>
        <w:tc>
          <w:tcPr>
            <w:tcW w:w="1275" w:type="dxa"/>
          </w:tcPr>
          <w:p w:rsidR="00021365" w:rsidRPr="005D7586" w:rsidRDefault="00021365">
            <w:pPr>
              <w:jc w:val="right"/>
            </w:pPr>
            <w:r w:rsidRPr="005D7586">
              <w:t>945</w:t>
            </w:r>
          </w:p>
        </w:tc>
        <w:tc>
          <w:tcPr>
            <w:tcW w:w="1276" w:type="dxa"/>
          </w:tcPr>
          <w:p w:rsidR="00021365" w:rsidRPr="005D7586" w:rsidRDefault="00021365">
            <w:pPr>
              <w:jc w:val="right"/>
            </w:pPr>
            <w:r w:rsidRPr="005D7586">
              <w:t>225</w:t>
            </w:r>
          </w:p>
        </w:tc>
        <w:tc>
          <w:tcPr>
            <w:tcW w:w="1288" w:type="dxa"/>
          </w:tcPr>
          <w:p w:rsidR="00021365" w:rsidRPr="005D7586" w:rsidRDefault="00021365">
            <w:pPr>
              <w:jc w:val="right"/>
            </w:pPr>
            <w:r w:rsidRPr="005D7586">
              <w:t>0</w:t>
            </w:r>
          </w:p>
        </w:tc>
      </w:tr>
      <w:tr w:rsidR="00000000" w:rsidRPr="005D7586">
        <w:tblPrEx>
          <w:tblCellMar>
            <w:top w:w="0" w:type="dxa"/>
            <w:bottom w:w="0" w:type="dxa"/>
          </w:tblCellMar>
        </w:tblPrEx>
        <w:tc>
          <w:tcPr>
            <w:tcW w:w="2197" w:type="dxa"/>
          </w:tcPr>
          <w:p w:rsidR="00021365" w:rsidRPr="005D7586" w:rsidRDefault="00021365">
            <w:r w:rsidRPr="005D7586">
              <w:rPr>
                <w:b/>
              </w:rPr>
              <w:t>Folkpartiet</w:t>
            </w:r>
          </w:p>
        </w:tc>
        <w:tc>
          <w:tcPr>
            <w:tcW w:w="1275" w:type="dxa"/>
          </w:tcPr>
          <w:p w:rsidR="00021365" w:rsidRPr="005D7586" w:rsidRDefault="00021365">
            <w:pPr>
              <w:jc w:val="right"/>
            </w:pPr>
            <w:r w:rsidRPr="005D7586">
              <w:t>1 783</w:t>
            </w:r>
          </w:p>
        </w:tc>
        <w:tc>
          <w:tcPr>
            <w:tcW w:w="1276" w:type="dxa"/>
          </w:tcPr>
          <w:p w:rsidR="00021365" w:rsidRPr="005D7586" w:rsidRDefault="00021365">
            <w:pPr>
              <w:jc w:val="right"/>
            </w:pPr>
            <w:r w:rsidRPr="005D7586">
              <w:t>1 168</w:t>
            </w:r>
          </w:p>
        </w:tc>
        <w:tc>
          <w:tcPr>
            <w:tcW w:w="1288" w:type="dxa"/>
          </w:tcPr>
          <w:p w:rsidR="00021365" w:rsidRPr="005D7586" w:rsidRDefault="00021365">
            <w:pPr>
              <w:jc w:val="right"/>
            </w:pPr>
            <w:r w:rsidRPr="005D7586">
              <w:t>1 513</w:t>
            </w:r>
          </w:p>
        </w:tc>
      </w:tr>
    </w:tbl>
    <w:p w:rsidR="00021365" w:rsidRPr="005D7586" w:rsidRDefault="00021365">
      <w:pPr>
        <w:pStyle w:val="Normaltindrag"/>
        <w:ind w:firstLine="0"/>
      </w:pPr>
    </w:p>
    <w:p w:rsidR="00021365" w:rsidRPr="005D7586" w:rsidRDefault="00021365">
      <w:pPr>
        <w:pStyle w:val="Normaltindrag"/>
        <w:sectPr w:rsidR="00000000" w:rsidRPr="005D7586">
          <w:type w:val="continuous"/>
          <w:pgSz w:w="11906" w:h="16838" w:code="9"/>
          <w:pgMar w:top="907" w:right="4649" w:bottom="4508" w:left="1304" w:header="340" w:footer="227" w:gutter="0"/>
          <w:cols w:space="720"/>
          <w:titlePg/>
        </w:sectPr>
      </w:pPr>
    </w:p>
    <w:p w:rsidR="00021365" w:rsidRPr="005D7586" w:rsidRDefault="00021365">
      <w:pPr>
        <w:pStyle w:val="R1"/>
      </w:pPr>
      <w:bookmarkStart w:id="22" w:name="_Toc529180769"/>
      <w:r w:rsidRPr="005D7586">
        <w:t>Innehållsförteckning</w:t>
      </w:r>
      <w:bookmarkEnd w:id="22"/>
    </w:p>
    <w:p w:rsidR="00021365" w:rsidRPr="005D7586" w:rsidRDefault="00021365">
      <w:pPr>
        <w:pStyle w:val="Innehll1"/>
      </w:pPr>
      <w:r w:rsidRPr="005D7586">
        <w:t>Till finansutskottet</w:t>
      </w:r>
      <w:r w:rsidRPr="005D7586">
        <w:tab/>
        <w:t>1</w:t>
      </w:r>
    </w:p>
    <w:p w:rsidR="00021365" w:rsidRPr="005D7586" w:rsidRDefault="00021365">
      <w:pPr>
        <w:pStyle w:val="Innehll2"/>
      </w:pPr>
      <w:r w:rsidRPr="005D7586">
        <w:t>Propositionen</w:t>
      </w:r>
      <w:r w:rsidRPr="005D7586">
        <w:tab/>
        <w:t>1</w:t>
      </w:r>
    </w:p>
    <w:p w:rsidR="00021365" w:rsidRPr="005D7586" w:rsidRDefault="00021365">
      <w:pPr>
        <w:pStyle w:val="Innehll3"/>
      </w:pPr>
      <w:r w:rsidRPr="005D7586">
        <w:t>Utgiftsområdena 5 och 7</w:t>
      </w:r>
      <w:r w:rsidRPr="005D7586">
        <w:tab/>
        <w:t>1</w:t>
      </w:r>
    </w:p>
    <w:p w:rsidR="00021365" w:rsidRPr="005D7586" w:rsidRDefault="00021365">
      <w:pPr>
        <w:pStyle w:val="Innehll3"/>
      </w:pPr>
      <w:r w:rsidRPr="005D7586">
        <w:t>Vissa garantifrågor</w:t>
      </w:r>
      <w:r w:rsidRPr="005D7586">
        <w:tab/>
        <w:t>2</w:t>
      </w:r>
    </w:p>
    <w:p w:rsidR="00021365" w:rsidRPr="005D7586" w:rsidRDefault="00021365">
      <w:pPr>
        <w:pStyle w:val="Innehll3"/>
      </w:pPr>
      <w:r w:rsidRPr="005D7586">
        <w:t>Revision av EU-medel</w:t>
      </w:r>
      <w:r w:rsidRPr="005D7586">
        <w:tab/>
        <w:t>3</w:t>
      </w:r>
    </w:p>
    <w:p w:rsidR="00021365" w:rsidRPr="005D7586" w:rsidRDefault="00021365">
      <w:pPr>
        <w:pStyle w:val="Innehll2"/>
      </w:pPr>
      <w:r w:rsidRPr="005D7586">
        <w:t>Motionerna</w:t>
      </w:r>
      <w:r w:rsidRPr="005D7586">
        <w:tab/>
        <w:t>4</w:t>
      </w:r>
    </w:p>
    <w:p w:rsidR="00021365" w:rsidRPr="005D7586" w:rsidRDefault="00021365">
      <w:pPr>
        <w:pStyle w:val="Innehll2"/>
      </w:pPr>
      <w:r w:rsidRPr="005D7586">
        <w:t>Utskottet</w:t>
      </w:r>
      <w:r w:rsidRPr="005D7586">
        <w:tab/>
        <w:t>4</w:t>
      </w:r>
    </w:p>
    <w:p w:rsidR="00021365" w:rsidRPr="005D7586" w:rsidRDefault="00021365">
      <w:pPr>
        <w:pStyle w:val="Innehll3"/>
      </w:pPr>
      <w:r w:rsidRPr="005D7586">
        <w:t>Anslagens fördelning mellan utgiftsområdena m.m.</w:t>
      </w:r>
      <w:r w:rsidRPr="005D7586">
        <w:tab/>
        <w:t>5</w:t>
      </w:r>
    </w:p>
    <w:p w:rsidR="00021365" w:rsidRPr="005D7586" w:rsidRDefault="00021365">
      <w:pPr>
        <w:pStyle w:val="Innehll3"/>
      </w:pPr>
      <w:r w:rsidRPr="005D7586">
        <w:t>Vissa garantifrågor</w:t>
      </w:r>
      <w:r w:rsidRPr="005D7586">
        <w:tab/>
        <w:t>5</w:t>
      </w:r>
    </w:p>
    <w:p w:rsidR="00021365" w:rsidRPr="005D7586" w:rsidRDefault="00021365">
      <w:pPr>
        <w:pStyle w:val="Innehll3"/>
      </w:pPr>
      <w:r w:rsidRPr="005D7586">
        <w:t>Revision av EU-medel</w:t>
      </w:r>
      <w:r w:rsidRPr="005D7586">
        <w:tab/>
        <w:t>6</w:t>
      </w:r>
    </w:p>
    <w:p w:rsidR="00021365" w:rsidRPr="005D7586" w:rsidRDefault="00021365">
      <w:pPr>
        <w:pStyle w:val="Innehll1"/>
      </w:pPr>
      <w:r w:rsidRPr="005D7586">
        <w:t>Avvikande meningar</w:t>
      </w:r>
      <w:r w:rsidRPr="005D7586">
        <w:tab/>
        <w:t>7</w:t>
      </w:r>
    </w:p>
    <w:p w:rsidR="00021365" w:rsidRPr="005D7586" w:rsidRDefault="00021365">
      <w:pPr>
        <w:pStyle w:val="Innehll1"/>
        <w:rPr>
          <w:i/>
        </w:rPr>
      </w:pPr>
      <w:r w:rsidRPr="005D7586">
        <w:rPr>
          <w:i/>
        </w:rPr>
        <w:t>Bilaga</w:t>
      </w:r>
    </w:p>
    <w:p w:rsidR="00021365" w:rsidRPr="005D7586" w:rsidRDefault="00021365">
      <w:pPr>
        <w:pStyle w:val="Innehll2"/>
      </w:pPr>
      <w:r w:rsidRPr="005D7586">
        <w:t>Utgiftsområde 5 Internationell samverkan</w:t>
      </w:r>
      <w:r w:rsidRPr="005D7586">
        <w:tab/>
        <w:t>8</w:t>
      </w:r>
    </w:p>
    <w:p w:rsidR="00021365" w:rsidRPr="005D7586" w:rsidRDefault="00021365">
      <w:pPr>
        <w:pStyle w:val="Innehll2"/>
      </w:pPr>
      <w:r w:rsidRPr="005D7586">
        <w:t>Utgiftsområde 7 Internationellt bistånd</w:t>
      </w:r>
      <w:r w:rsidRPr="005D7586">
        <w:tab/>
        <w:t>9</w:t>
      </w:r>
    </w:p>
    <w:p w:rsidR="00021365" w:rsidRPr="005D7586" w:rsidRDefault="00021365">
      <w:pPr>
        <w:pStyle w:val="Innehll1"/>
      </w:pPr>
    </w:p>
    <w:p w:rsidR="00021365" w:rsidRPr="005D7586" w:rsidRDefault="00021365"/>
    <w:p w:rsidR="00021365" w:rsidRPr="005D7586" w:rsidRDefault="00021365">
      <w:pPr>
        <w:pStyle w:val="Tryckort"/>
        <w:framePr w:wrap="around"/>
        <w:jc w:val="right"/>
      </w:pPr>
      <w:r w:rsidRPr="005D7586">
        <w:t>Elanders Gotab, Stockholm  2001</w:t>
      </w:r>
    </w:p>
    <w:p w:rsidR="00021365" w:rsidRPr="005D7586" w:rsidRDefault="00021365">
      <w:pPr>
        <w:pStyle w:val="Normaltindrag"/>
      </w:pPr>
    </w:p>
    <w:sectPr w:rsidR="00021365" w:rsidRPr="005D758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365" w:rsidRPr="005D7586" w:rsidRDefault="00021365">
      <w:pPr>
        <w:spacing w:before="0" w:line="240" w:lineRule="auto"/>
      </w:pPr>
      <w:r w:rsidRPr="005D7586">
        <w:separator/>
      </w:r>
    </w:p>
  </w:endnote>
  <w:endnote w:type="continuationSeparator" w:id="0">
    <w:p w:rsidR="00021365" w:rsidRPr="005D7586" w:rsidRDefault="00021365">
      <w:pPr>
        <w:spacing w:before="0" w:line="240" w:lineRule="auto"/>
      </w:pPr>
      <w:r w:rsidRPr="005D75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fotV"/>
      <w:framePr w:w="8732" w:h="284" w:hRule="exact" w:hSpace="0" w:vSpace="0" w:wrap="around" w:xAlign="inside" w:y="13042" w:anchorLock="0"/>
    </w:pP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t>6</w:t>
    </w:r>
    <w:r w:rsidRPr="005D7586">
      <w:fldChar w:fldCharType="end"/>
    </w:r>
  </w:p>
  <w:p w:rsidR="00021365" w:rsidRPr="005D7586" w:rsidRDefault="000213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fotH"/>
      <w:framePr w:w="8732" w:h="284" w:hRule="exact" w:hSpace="0" w:vSpace="0" w:wrap="around" w:xAlign="inside" w:y="13042" w:anchorLock="0"/>
    </w:pP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t>5</w:t>
    </w:r>
    <w:r w:rsidRPr="005D7586">
      <w:fldChar w:fldCharType="end"/>
    </w:r>
  </w:p>
  <w:p w:rsidR="00021365" w:rsidRPr="005D7586" w:rsidRDefault="000213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fotV"/>
      <w:framePr w:w="8732" w:h="284" w:hRule="exact" w:hSpace="0" w:vSpace="0" w:wrap="around" w:xAlign="inside" w:y="13042" w:anchorLock="0"/>
    </w:pPr>
    <w:r w:rsidRPr="005D7586">
      <w:fldChar w:fldCharType="begin" w:fldLock="1"/>
    </w:r>
    <w:r w:rsidRPr="005D7586">
      <w:instrText xml:space="preserve"> if </w:instrText>
    </w:r>
    <w:r w:rsidRPr="005D7586">
      <w:fldChar w:fldCharType="begin" w:fldLock="1"/>
    </w:r>
    <w:r w:rsidRPr="005D7586">
      <w:instrText xml:space="preserve"> = </w:instrText>
    </w:r>
    <w:r w:rsidRPr="005D7586">
      <w:fldChar w:fldCharType="begin" w:fldLock="1"/>
    </w:r>
    <w:r w:rsidRPr="005D7586">
      <w:instrText xml:space="preserve"> = </w:instrText>
    </w:r>
    <w:r w:rsidRPr="005D7586">
      <w:fldChar w:fldCharType="begin" w:fldLock="1"/>
    </w:r>
    <w:r w:rsidRPr="005D7586">
      <w:instrText xml:space="preserve"> page</w:instrText>
    </w:r>
    <w:r w:rsidRPr="005D7586">
      <w:fldChar w:fldCharType="separate"/>
    </w:r>
    <w:r w:rsidR="005D7586">
      <w:rPr>
        <w:noProof/>
      </w:rPr>
      <w:instrText>1</w:instrText>
    </w:r>
    <w:r w:rsidRPr="005D7586">
      <w:fldChar w:fldCharType="end"/>
    </w:r>
    <w:r w:rsidRPr="005D7586">
      <w:instrText xml:space="preserve">/2 </w:instrText>
    </w:r>
    <w:r w:rsidRPr="005D7586">
      <w:fldChar w:fldCharType="separate"/>
    </w:r>
    <w:r w:rsidR="005D7586">
      <w:rPr>
        <w:noProof/>
      </w:rPr>
      <w:instrText>0,5</w:instrText>
    </w:r>
    <w:r w:rsidRPr="005D7586">
      <w:fldChar w:fldCharType="end"/>
    </w:r>
    <w:r w:rsidRPr="005D7586">
      <w:instrText xml:space="preserve"> - </w:instrText>
    </w:r>
    <w:r w:rsidRPr="005D7586">
      <w:fldChar w:fldCharType="begin" w:fldLock="1"/>
    </w:r>
    <w:r w:rsidRPr="005D7586">
      <w:instrText xml:space="preserve"> = int(</w:instrText>
    </w:r>
    <w:r w:rsidRPr="005D7586">
      <w:fldChar w:fldCharType="begin" w:fldLock="1"/>
    </w:r>
    <w:r w:rsidRPr="005D7586">
      <w:instrText xml:space="preserve"> page</w:instrText>
    </w:r>
    <w:r w:rsidRPr="005D7586">
      <w:fldChar w:fldCharType="separate"/>
    </w:r>
    <w:r w:rsidR="005D7586">
      <w:rPr>
        <w:noProof/>
      </w:rPr>
      <w:instrText>1</w:instrText>
    </w:r>
    <w:r w:rsidRPr="005D7586">
      <w:fldChar w:fldCharType="end"/>
    </w:r>
    <w:r w:rsidRPr="005D7586">
      <w:instrText xml:space="preserve">/2) </w:instrText>
    </w:r>
    <w:r w:rsidRPr="005D7586">
      <w:fldChar w:fldCharType="separate"/>
    </w:r>
    <w:r w:rsidR="005D7586">
      <w:rPr>
        <w:noProof/>
      </w:rPr>
      <w:instrText>0</w:instrText>
    </w:r>
    <w:r w:rsidRPr="005D7586">
      <w:fldChar w:fldCharType="end"/>
    </w:r>
    <w:r w:rsidRPr="005D7586">
      <w:fldChar w:fldCharType="separate"/>
    </w:r>
    <w:r w:rsidR="005D7586">
      <w:rPr>
        <w:noProof/>
      </w:rPr>
      <w:instrText>0,5</w:instrText>
    </w:r>
    <w:r w:rsidRPr="005D7586">
      <w:fldChar w:fldCharType="end"/>
    </w:r>
    <w:r w:rsidRPr="005D7586">
      <w:instrText xml:space="preserve"> = 0 "</w:instrText>
    </w: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instrText>14</w:instrText>
    </w:r>
    <w:r w:rsidRPr="005D7586">
      <w:fldChar w:fldCharType="end"/>
    </w:r>
  </w:p>
  <w:p w:rsidR="00021365" w:rsidRPr="005D7586" w:rsidRDefault="00021365">
    <w:pPr>
      <w:pStyle w:val="SidfotH"/>
      <w:framePr w:w="8732" w:h="284" w:hRule="exact" w:hSpace="0" w:vSpace="0" w:wrap="around" w:xAlign="inside" w:y="13042" w:anchorLock="0"/>
    </w:pPr>
    <w:r w:rsidRPr="005D7586">
      <w:instrText>""</w:instrText>
    </w: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005D7586">
      <w:rPr>
        <w:noProof/>
      </w:rPr>
      <w:instrText>1</w:instrText>
    </w:r>
    <w:r w:rsidRPr="005D7586">
      <w:fldChar w:fldCharType="end"/>
    </w:r>
    <w:r w:rsidRPr="005D7586">
      <w:instrText>"</w:instrText>
    </w:r>
    <w:r w:rsidRPr="005D7586">
      <w:fldChar w:fldCharType="separate"/>
    </w:r>
    <w:r w:rsidR="005D7586">
      <w:rPr>
        <w:noProof/>
      </w:rPr>
      <w:t>1</w:t>
    </w:r>
    <w:r w:rsidRPr="005D7586">
      <w:fldChar w:fldCharType="end"/>
    </w:r>
  </w:p>
  <w:p w:rsidR="00021365" w:rsidRPr="005D7586" w:rsidRDefault="0002136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fotV"/>
      <w:framePr w:w="8732" w:h="284" w:hRule="exact" w:hSpace="0" w:vSpace="0" w:wrap="around" w:xAlign="inside" w:y="13042" w:anchorLock="0"/>
    </w:pP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t>10</w:t>
    </w:r>
    <w:r w:rsidRPr="005D7586">
      <w:fldChar w:fldCharType="end"/>
    </w:r>
  </w:p>
  <w:p w:rsidR="00021365" w:rsidRPr="005D7586" w:rsidRDefault="0002136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fotH"/>
      <w:framePr w:w="8732" w:h="284" w:hRule="exact" w:hSpace="0" w:vSpace="0" w:wrap="around" w:xAlign="inside" w:y="13042" w:anchorLock="0"/>
    </w:pP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t>9</w:t>
    </w:r>
    <w:r w:rsidRPr="005D7586">
      <w:fldChar w:fldCharType="end"/>
    </w:r>
  </w:p>
  <w:p w:rsidR="00021365" w:rsidRPr="005D7586" w:rsidRDefault="0002136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fotV"/>
      <w:framePr w:w="8732" w:h="284" w:hRule="exact" w:hSpace="0" w:vSpace="0" w:wrap="around" w:xAlign="inside" w:y="13042" w:anchorLock="0"/>
    </w:pPr>
    <w:r w:rsidRPr="005D7586">
      <w:fldChar w:fldCharType="begin" w:fldLock="1"/>
    </w:r>
    <w:r w:rsidRPr="005D7586">
      <w:instrText xml:space="preserve"> if </w:instrText>
    </w:r>
    <w:r w:rsidRPr="005D7586">
      <w:fldChar w:fldCharType="begin" w:fldLock="1"/>
    </w:r>
    <w:r w:rsidRPr="005D7586">
      <w:instrText xml:space="preserve"> = </w:instrText>
    </w:r>
    <w:r w:rsidRPr="005D7586">
      <w:fldChar w:fldCharType="begin" w:fldLock="1"/>
    </w:r>
    <w:r w:rsidRPr="005D7586">
      <w:instrText xml:space="preserve"> = </w:instrText>
    </w:r>
    <w:r w:rsidRPr="005D7586">
      <w:fldChar w:fldCharType="begin" w:fldLock="1"/>
    </w:r>
    <w:r w:rsidRPr="005D7586">
      <w:instrText xml:space="preserve"> page</w:instrText>
    </w:r>
    <w:r w:rsidRPr="005D7586">
      <w:fldChar w:fldCharType="separate"/>
    </w:r>
    <w:r w:rsidRPr="005D7586">
      <w:instrText>7</w:instrText>
    </w:r>
    <w:r w:rsidRPr="005D7586">
      <w:fldChar w:fldCharType="end"/>
    </w:r>
    <w:r w:rsidRPr="005D7586">
      <w:instrText xml:space="preserve">/2 </w:instrText>
    </w:r>
    <w:r w:rsidRPr="005D7586">
      <w:fldChar w:fldCharType="separate"/>
    </w:r>
    <w:r w:rsidRPr="005D7586">
      <w:instrText>3,5</w:instrText>
    </w:r>
    <w:r w:rsidRPr="005D7586">
      <w:fldChar w:fldCharType="end"/>
    </w:r>
    <w:r w:rsidRPr="005D7586">
      <w:instrText xml:space="preserve"> - </w:instrText>
    </w:r>
    <w:r w:rsidRPr="005D7586">
      <w:fldChar w:fldCharType="begin" w:fldLock="1"/>
    </w:r>
    <w:r w:rsidRPr="005D7586">
      <w:instrText xml:space="preserve"> = int(</w:instrText>
    </w:r>
    <w:r w:rsidRPr="005D7586">
      <w:fldChar w:fldCharType="begin" w:fldLock="1"/>
    </w:r>
    <w:r w:rsidRPr="005D7586">
      <w:instrText xml:space="preserve"> page</w:instrText>
    </w:r>
    <w:r w:rsidRPr="005D7586">
      <w:fldChar w:fldCharType="separate"/>
    </w:r>
    <w:r w:rsidRPr="005D7586">
      <w:instrText>7</w:instrText>
    </w:r>
    <w:r w:rsidRPr="005D7586">
      <w:fldChar w:fldCharType="end"/>
    </w:r>
    <w:r w:rsidRPr="005D7586">
      <w:instrText xml:space="preserve">/2) </w:instrText>
    </w:r>
    <w:r w:rsidRPr="005D7586">
      <w:fldChar w:fldCharType="separate"/>
    </w:r>
    <w:r w:rsidRPr="005D7586">
      <w:instrText>3</w:instrText>
    </w:r>
    <w:r w:rsidRPr="005D7586">
      <w:fldChar w:fldCharType="end"/>
    </w:r>
    <w:r w:rsidRPr="005D7586">
      <w:fldChar w:fldCharType="separate"/>
    </w:r>
    <w:r w:rsidRPr="005D7586">
      <w:instrText>0,5</w:instrText>
    </w:r>
    <w:r w:rsidRPr="005D7586">
      <w:fldChar w:fldCharType="end"/>
    </w:r>
    <w:r w:rsidRPr="005D7586">
      <w:instrText xml:space="preserve"> = 0 "</w:instrText>
    </w: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instrText>8</w:instrText>
    </w:r>
    <w:r w:rsidRPr="005D7586">
      <w:fldChar w:fldCharType="end"/>
    </w:r>
  </w:p>
  <w:p w:rsidR="00021365" w:rsidRPr="005D7586" w:rsidRDefault="00021365">
    <w:pPr>
      <w:pStyle w:val="SidfotH"/>
      <w:framePr w:w="8732" w:h="284" w:hRule="exact" w:hSpace="0" w:vSpace="0" w:wrap="around" w:xAlign="inside" w:y="13042" w:anchorLock="0"/>
    </w:pPr>
    <w:r w:rsidRPr="005D7586">
      <w:instrText>""</w:instrText>
    </w: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instrText>7</w:instrText>
    </w:r>
    <w:r w:rsidRPr="005D7586">
      <w:fldChar w:fldCharType="end"/>
    </w:r>
    <w:r w:rsidRPr="005D7586">
      <w:instrText>"</w:instrText>
    </w:r>
    <w:r w:rsidRPr="005D7586">
      <w:fldChar w:fldCharType="separate"/>
    </w:r>
    <w:r w:rsidRPr="005D7586">
      <w:t>7</w:t>
    </w:r>
    <w:r w:rsidRPr="005D7586">
      <w:fldChar w:fldCharType="end"/>
    </w:r>
  </w:p>
  <w:p w:rsidR="00021365" w:rsidRPr="005D7586" w:rsidRDefault="0002136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fotV"/>
      <w:framePr w:w="8732" w:h="284" w:hRule="exact" w:hSpace="0" w:vSpace="0" w:wrap="around" w:xAlign="inside" w:y="13042" w:anchorLock="0"/>
    </w:pP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t>2</w:t>
    </w:r>
    <w:r w:rsidRPr="005D7586">
      <w:fldChar w:fldCharType="end"/>
    </w:r>
  </w:p>
  <w:p w:rsidR="00021365" w:rsidRPr="005D7586" w:rsidRDefault="0002136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fotH"/>
      <w:framePr w:w="8732" w:h="284" w:hRule="exact" w:hSpace="0" w:vSpace="0" w:wrap="around" w:xAlign="inside" w:y="13042" w:anchorLock="0"/>
    </w:pP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t>3</w:t>
    </w:r>
    <w:r w:rsidRPr="005D7586">
      <w:fldChar w:fldCharType="end"/>
    </w:r>
  </w:p>
  <w:p w:rsidR="00021365" w:rsidRPr="005D7586" w:rsidRDefault="0002136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fotV"/>
      <w:framePr w:w="8732" w:h="284" w:hRule="exact" w:hSpace="0" w:vSpace="0" w:wrap="around" w:xAlign="inside" w:y="13042" w:anchorLock="0"/>
    </w:pPr>
    <w:r w:rsidRPr="005D7586">
      <w:fldChar w:fldCharType="begin" w:fldLock="1"/>
    </w:r>
    <w:r w:rsidRPr="005D7586">
      <w:instrText xml:space="preserve"> if </w:instrText>
    </w:r>
    <w:r w:rsidRPr="005D7586">
      <w:fldChar w:fldCharType="begin" w:fldLock="1"/>
    </w:r>
    <w:r w:rsidRPr="005D7586">
      <w:instrText xml:space="preserve"> = </w:instrText>
    </w:r>
    <w:r w:rsidRPr="005D7586">
      <w:fldChar w:fldCharType="begin" w:fldLock="1"/>
    </w:r>
    <w:r w:rsidRPr="005D7586">
      <w:instrText xml:space="preserve"> = </w:instrText>
    </w:r>
    <w:r w:rsidRPr="005D7586">
      <w:fldChar w:fldCharType="begin" w:fldLock="1"/>
    </w:r>
    <w:r w:rsidRPr="005D7586">
      <w:instrText xml:space="preserve"> page</w:instrText>
    </w:r>
    <w:r w:rsidRPr="005D7586">
      <w:fldChar w:fldCharType="separate"/>
    </w:r>
    <w:r w:rsidRPr="005D7586">
      <w:instrText>10</w:instrText>
    </w:r>
    <w:r w:rsidRPr="005D7586">
      <w:fldChar w:fldCharType="end"/>
    </w:r>
    <w:r w:rsidRPr="005D7586">
      <w:instrText xml:space="preserve">/2 </w:instrText>
    </w:r>
    <w:r w:rsidRPr="005D7586">
      <w:fldChar w:fldCharType="separate"/>
    </w:r>
    <w:r w:rsidRPr="005D7586">
      <w:instrText>5</w:instrText>
    </w:r>
    <w:r w:rsidRPr="005D7586">
      <w:fldChar w:fldCharType="end"/>
    </w:r>
    <w:r w:rsidRPr="005D7586">
      <w:instrText xml:space="preserve"> - </w:instrText>
    </w:r>
    <w:r w:rsidRPr="005D7586">
      <w:fldChar w:fldCharType="begin" w:fldLock="1"/>
    </w:r>
    <w:r w:rsidRPr="005D7586">
      <w:instrText xml:space="preserve"> = int(</w:instrText>
    </w:r>
    <w:r w:rsidRPr="005D7586">
      <w:fldChar w:fldCharType="begin" w:fldLock="1"/>
    </w:r>
    <w:r w:rsidRPr="005D7586">
      <w:instrText xml:space="preserve"> page</w:instrText>
    </w:r>
    <w:r w:rsidRPr="005D7586">
      <w:fldChar w:fldCharType="separate"/>
    </w:r>
    <w:r w:rsidRPr="005D7586">
      <w:instrText>10</w:instrText>
    </w:r>
    <w:r w:rsidRPr="005D7586">
      <w:fldChar w:fldCharType="end"/>
    </w:r>
    <w:r w:rsidRPr="005D7586">
      <w:instrText xml:space="preserve">/2) </w:instrText>
    </w:r>
    <w:r w:rsidRPr="005D7586">
      <w:fldChar w:fldCharType="separate"/>
    </w:r>
    <w:r w:rsidRPr="005D7586">
      <w:instrText>5</w:instrText>
    </w:r>
    <w:r w:rsidRPr="005D7586">
      <w:fldChar w:fldCharType="end"/>
    </w:r>
    <w:r w:rsidRPr="005D7586">
      <w:fldChar w:fldCharType="separate"/>
    </w:r>
    <w:r w:rsidRPr="005D7586">
      <w:instrText>0</w:instrText>
    </w:r>
    <w:r w:rsidRPr="005D7586">
      <w:fldChar w:fldCharType="end"/>
    </w:r>
    <w:r w:rsidRPr="005D7586">
      <w:instrText xml:space="preserve"> = 0 "</w:instrText>
    </w: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instrText>10</w:instrText>
    </w:r>
    <w:r w:rsidRPr="005D7586">
      <w:fldChar w:fldCharType="end"/>
    </w:r>
  </w:p>
  <w:p w:rsidR="00021365" w:rsidRPr="005D7586" w:rsidRDefault="00021365">
    <w:pPr>
      <w:pStyle w:val="SidfotV"/>
      <w:framePr w:w="8732" w:h="284" w:hRule="exact" w:hSpace="0" w:vSpace="0" w:wrap="around" w:xAlign="inside" w:y="13042" w:anchorLock="0"/>
    </w:pPr>
    <w:r w:rsidRPr="005D7586">
      <w:instrText>""</w:instrText>
    </w: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instrText>11</w:instrText>
    </w:r>
    <w:r w:rsidRPr="005D7586">
      <w:fldChar w:fldCharType="end"/>
    </w:r>
    <w:r w:rsidRPr="005D7586">
      <w:instrText>"</w:instrText>
    </w:r>
    <w:r w:rsidRPr="005D7586">
      <w:fldChar w:fldCharType="separate"/>
    </w:r>
    <w:r w:rsidRPr="005D7586">
      <w:fldChar w:fldCharType="begin" w:fldLock="1"/>
    </w:r>
    <w:r w:rsidRPr="005D7586">
      <w:instrText xml:space="preserve"> P</w:instrText>
    </w:r>
    <w:r w:rsidRPr="005D7586">
      <w:instrText>A</w:instrText>
    </w:r>
    <w:r w:rsidRPr="005D7586">
      <w:instrText xml:space="preserve">GE </w:instrText>
    </w:r>
    <w:r w:rsidRPr="005D7586">
      <w:fldChar w:fldCharType="separate"/>
    </w:r>
    <w:r w:rsidRPr="005D7586">
      <w:t>10</w:t>
    </w:r>
    <w:r w:rsidRPr="005D7586">
      <w:fldChar w:fldCharType="end"/>
    </w:r>
  </w:p>
  <w:p w:rsidR="00021365" w:rsidRPr="005D7586" w:rsidRDefault="00021365">
    <w:pPr>
      <w:pStyle w:val="SidfotH"/>
      <w:framePr w:w="8732" w:h="284" w:hRule="exact" w:hSpace="0" w:vSpace="0" w:wrap="around" w:xAlign="inside" w:y="13042" w:anchorLock="0"/>
    </w:pPr>
    <w:r w:rsidRPr="005D7586">
      <w:fldChar w:fldCharType="end"/>
    </w:r>
  </w:p>
  <w:p w:rsidR="00021365" w:rsidRPr="005D7586" w:rsidRDefault="00021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365" w:rsidRPr="005D7586" w:rsidRDefault="00021365">
      <w:pPr>
        <w:pStyle w:val="Sidfot"/>
      </w:pPr>
    </w:p>
  </w:footnote>
  <w:footnote w:type="continuationSeparator" w:id="0">
    <w:p w:rsidR="00021365" w:rsidRPr="005D7586" w:rsidRDefault="00021365">
      <w:pPr>
        <w:spacing w:before="0" w:line="240" w:lineRule="auto"/>
      </w:pPr>
      <w:r w:rsidRPr="005D7586">
        <w:continuationSeparator/>
      </w:r>
    </w:p>
  </w:footnote>
  <w:footnote w:id="1">
    <w:p w:rsidR="00021365" w:rsidRPr="005D7586" w:rsidRDefault="00021365">
      <w:pPr>
        <w:pStyle w:val="Fotnotstext"/>
        <w:rPr>
          <w:sz w:val="16"/>
        </w:rPr>
      </w:pPr>
      <w:r w:rsidRPr="005D7586">
        <w:rPr>
          <w:rStyle w:val="Fotnotsreferens"/>
          <w:sz w:val="16"/>
        </w:rPr>
        <w:footnoteRef/>
      </w:r>
      <w:r w:rsidRPr="005D7586">
        <w:rPr>
          <w:sz w:val="16"/>
        </w:rPr>
        <w:t xml:space="preserve"> I procent av BNI innebär det 0,74 för 2002, 0,81 för 2003 och 0,86 för 2004.</w:t>
      </w:r>
    </w:p>
  </w:footnote>
  <w:footnote w:id="2">
    <w:p w:rsidR="00021365" w:rsidRPr="005D7586" w:rsidRDefault="00021365">
      <w:pPr>
        <w:pStyle w:val="Fotnotstext"/>
        <w:rPr>
          <w:sz w:val="16"/>
        </w:rPr>
      </w:pPr>
      <w:r w:rsidRPr="005D7586">
        <w:rPr>
          <w:rStyle w:val="Fotnotsreferens"/>
          <w:sz w:val="16"/>
        </w:rPr>
        <w:footnoteRef/>
      </w:r>
      <w:r w:rsidRPr="005D7586">
        <w:rPr>
          <w:sz w:val="16"/>
        </w:rPr>
        <w:t xml:space="preserve"> </w:t>
      </w:r>
      <w:r w:rsidRPr="005D7586">
        <w:rPr>
          <w:snapToGrid w:val="0"/>
          <w:color w:val="000000"/>
          <w:sz w:val="16"/>
          <w:lang w:eastAsia="sv-SE"/>
        </w:rPr>
        <w:t xml:space="preserve">Moderaterna anser att det år 2004 bör ske en total skuldavskrivning för de högt skuldsatta </w:t>
      </w:r>
      <w:r w:rsidRPr="005D7586">
        <w:rPr>
          <w:snapToGrid w:val="0"/>
          <w:color w:val="000000"/>
          <w:sz w:val="16"/>
          <w:lang w:eastAsia="sv-SE"/>
        </w:rPr>
        <w:br/>
        <w:t xml:space="preserve">  låginkomstländerna. Sveriges andel blir då 2 miljarder dollar.</w:t>
      </w:r>
    </w:p>
  </w:footnote>
  <w:footnote w:id="3">
    <w:p w:rsidR="00021365" w:rsidRPr="005D7586" w:rsidRDefault="00021365">
      <w:pPr>
        <w:pStyle w:val="Fotnotstext"/>
        <w:rPr>
          <w:sz w:val="16"/>
        </w:rPr>
      </w:pPr>
      <w:r w:rsidRPr="005D7586">
        <w:rPr>
          <w:rStyle w:val="Fotnotsreferens"/>
          <w:sz w:val="16"/>
        </w:rPr>
        <w:footnoteRef/>
      </w:r>
      <w:r w:rsidRPr="005D7586">
        <w:rPr>
          <w:sz w:val="16"/>
        </w:rPr>
        <w:t xml:space="preserve"> I procent av BNI innebär det 0,77 för 2002, 0,84 för 2003 och 0,93 för 2004.</w:t>
      </w:r>
    </w:p>
  </w:footnote>
  <w:footnote w:id="4">
    <w:p w:rsidR="00021365" w:rsidRPr="005D7586" w:rsidRDefault="00021365">
      <w:pPr>
        <w:pStyle w:val="Fotnotstext"/>
        <w:rPr>
          <w:sz w:val="16"/>
        </w:rPr>
      </w:pPr>
      <w:r w:rsidRPr="005D7586">
        <w:rPr>
          <w:rStyle w:val="Fotnotsreferens"/>
          <w:sz w:val="16"/>
        </w:rPr>
        <w:footnoteRef/>
      </w:r>
      <w:r w:rsidRPr="005D7586">
        <w:rPr>
          <w:sz w:val="16"/>
        </w:rPr>
        <w:t xml:space="preserve"> I procent av BNI innebär det 0,78 för 2002, 0,82 för 2003 och 0,86 för 2004.</w:t>
      </w:r>
    </w:p>
  </w:footnote>
  <w:footnote w:id="5">
    <w:p w:rsidR="00021365" w:rsidRPr="005D7586" w:rsidRDefault="00021365">
      <w:pPr>
        <w:pStyle w:val="Fotnotstext"/>
        <w:rPr>
          <w:sz w:val="16"/>
        </w:rPr>
      </w:pPr>
      <w:r w:rsidRPr="005D7586">
        <w:rPr>
          <w:rStyle w:val="Fotnotsreferens"/>
          <w:sz w:val="16"/>
        </w:rPr>
        <w:footnoteRef/>
      </w:r>
      <w:r w:rsidRPr="005D7586">
        <w:rPr>
          <w:sz w:val="16"/>
        </w:rPr>
        <w:t xml:space="preserve"> I procent av BNI innebär det 0,82 för 2002, 0,86 för 2003 och 0,93 för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huvudKantJmn"/>
      <w:framePr w:w="8732" w:h="567" w:hRule="exact" w:vSpace="0" w:wrap="around" w:vAnchor="page" w:y="341" w:anchorLock="0"/>
    </w:pPr>
    <w:r w:rsidRPr="005D7586">
      <w:rPr>
        <w:rStyle w:val="SidhuvudUtskott"/>
      </w:rPr>
      <w:t>2001/02:UU1y</w:t>
    </w:r>
    <w:r w:rsidRPr="005D7586">
      <w:t xml:space="preserve">     </w:t>
    </w:r>
    <w:r w:rsidRPr="005D7586">
      <w:rPr>
        <w:rStyle w:val="SidhuvudBilaga"/>
      </w:rPr>
      <w:t xml:space="preserve"> </w:t>
    </w:r>
  </w:p>
  <w:p w:rsidR="00021365" w:rsidRPr="005D7586" w:rsidRDefault="00021365">
    <w:pPr>
      <w:pStyle w:val="SidhuvudKantJmn"/>
      <w:framePr w:w="8732" w:h="567" w:hRule="exact" w:vSpace="0" w:wrap="around" w:vAnchor="page" w:y="341" w:anchorLock="0"/>
    </w:pPr>
  </w:p>
  <w:p w:rsidR="00021365" w:rsidRPr="005D7586" w:rsidRDefault="0002136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huvudKantUdda"/>
      <w:framePr w:w="8732" w:h="567" w:hRule="exact" w:vSpace="0" w:wrap="around" w:vAnchor="page" w:y="341" w:anchorLock="0"/>
    </w:pPr>
    <w:r w:rsidRPr="005D7586">
      <w:rPr>
        <w:rStyle w:val="SidhuvudBilaga"/>
      </w:rPr>
      <w:t xml:space="preserve"> </w:t>
    </w:r>
    <w:r w:rsidRPr="005D7586">
      <w:t xml:space="preserve">     </w:t>
    </w:r>
    <w:r w:rsidRPr="005D7586">
      <w:rPr>
        <w:rStyle w:val="SidhuvudUtskott"/>
      </w:rPr>
      <w:t>2001/02:UU1y</w:t>
    </w:r>
  </w:p>
  <w:p w:rsidR="00021365" w:rsidRPr="005D7586" w:rsidRDefault="00021365">
    <w:pPr>
      <w:pStyle w:val="SidhuvudKantUdda"/>
      <w:framePr w:w="8732" w:h="567" w:hRule="exact" w:vSpace="0" w:wrap="around" w:vAnchor="page" w:y="341" w:anchorLock="0"/>
    </w:pPr>
  </w:p>
  <w:p w:rsidR="00021365" w:rsidRPr="005D7586" w:rsidRDefault="0002136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huvudKantJmn"/>
      <w:framePr w:w="8732" w:h="567" w:hRule="exact" w:vSpace="0" w:wrap="around" w:vAnchor="page" w:y="341" w:anchorLock="0"/>
    </w:pPr>
    <w:r w:rsidRPr="005D7586">
      <w:fldChar w:fldCharType="begin" w:fldLock="1"/>
    </w:r>
    <w:r w:rsidRPr="005D7586">
      <w:instrText xml:space="preserve"> if </w:instrText>
    </w:r>
    <w:r w:rsidRPr="005D7586">
      <w:fldChar w:fldCharType="begin" w:fldLock="1"/>
    </w:r>
    <w:r w:rsidRPr="005D7586">
      <w:instrText xml:space="preserve"> page</w:instrText>
    </w:r>
    <w:r w:rsidRPr="005D7586">
      <w:fldChar w:fldCharType="separate"/>
    </w:r>
    <w:r w:rsidR="005D7586">
      <w:rPr>
        <w:noProof/>
      </w:rPr>
      <w:instrText>1</w:instrText>
    </w:r>
    <w:r w:rsidRPr="005D7586">
      <w:fldChar w:fldCharType="end"/>
    </w:r>
    <w:r w:rsidRPr="005D7586">
      <w:instrText xml:space="preserve"> &gt; 1 "</w:instrText>
    </w:r>
    <w:r w:rsidRPr="005D7586">
      <w:fldChar w:fldCharType="begin" w:fldLock="1"/>
    </w:r>
    <w:r w:rsidRPr="005D7586">
      <w:instrText xml:space="preserve"> if </w:instrText>
    </w:r>
    <w:r w:rsidRPr="005D7586">
      <w:fldChar w:fldCharType="begin" w:fldLock="1"/>
    </w:r>
    <w:r w:rsidRPr="005D7586">
      <w:instrText xml:space="preserve"> = </w:instrText>
    </w:r>
    <w:r w:rsidRPr="005D7586">
      <w:fldChar w:fldCharType="begin" w:fldLock="1"/>
    </w:r>
    <w:r w:rsidRPr="005D7586">
      <w:instrText xml:space="preserve"> = </w:instrText>
    </w:r>
    <w:r w:rsidRPr="005D7586">
      <w:fldChar w:fldCharType="begin" w:fldLock="1"/>
    </w:r>
    <w:r w:rsidRPr="005D7586">
      <w:instrText xml:space="preserve"> page</w:instrText>
    </w:r>
    <w:r w:rsidRPr="005D7586">
      <w:fldChar w:fldCharType="separate"/>
    </w:r>
    <w:r w:rsidRPr="005D7586">
      <w:instrText>7</w:instrText>
    </w:r>
    <w:r w:rsidRPr="005D7586">
      <w:fldChar w:fldCharType="end"/>
    </w:r>
    <w:r w:rsidRPr="005D7586">
      <w:instrText xml:space="preserve">/2 </w:instrText>
    </w:r>
    <w:r w:rsidRPr="005D7586">
      <w:fldChar w:fldCharType="separate"/>
    </w:r>
    <w:r w:rsidRPr="005D7586">
      <w:instrText>3,5</w:instrText>
    </w:r>
    <w:r w:rsidRPr="005D7586">
      <w:fldChar w:fldCharType="end"/>
    </w:r>
    <w:r w:rsidRPr="005D7586">
      <w:instrText xml:space="preserve"> - </w:instrText>
    </w:r>
    <w:r w:rsidRPr="005D7586">
      <w:fldChar w:fldCharType="begin" w:fldLock="1"/>
    </w:r>
    <w:r w:rsidRPr="005D7586">
      <w:instrText xml:space="preserve"> = int(</w:instrText>
    </w:r>
    <w:r w:rsidRPr="005D7586">
      <w:fldChar w:fldCharType="begin" w:fldLock="1"/>
    </w:r>
    <w:r w:rsidRPr="005D7586">
      <w:instrText xml:space="preserve"> page</w:instrText>
    </w:r>
    <w:r w:rsidRPr="005D7586">
      <w:fldChar w:fldCharType="separate"/>
    </w:r>
    <w:r w:rsidRPr="005D7586">
      <w:instrText>7</w:instrText>
    </w:r>
    <w:r w:rsidRPr="005D7586">
      <w:fldChar w:fldCharType="end"/>
    </w:r>
    <w:r w:rsidRPr="005D7586">
      <w:instrText xml:space="preserve">/2) </w:instrText>
    </w:r>
    <w:r w:rsidRPr="005D7586">
      <w:fldChar w:fldCharType="separate"/>
    </w:r>
    <w:r w:rsidRPr="005D7586">
      <w:instrText>3</w:instrText>
    </w:r>
    <w:r w:rsidRPr="005D7586">
      <w:fldChar w:fldCharType="end"/>
    </w:r>
    <w:r w:rsidRPr="005D7586">
      <w:fldChar w:fldCharType="separate"/>
    </w:r>
    <w:r w:rsidRPr="005D7586">
      <w:instrText>0,5</w:instrText>
    </w:r>
    <w:r w:rsidRPr="005D7586">
      <w:fldChar w:fldCharType="end"/>
    </w:r>
    <w:r w:rsidRPr="005D7586">
      <w:instrText xml:space="preserve"> = 0 "</w:instrText>
    </w: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instrText>1999/2000</w:instrText>
    </w:r>
    <w:r w:rsidRPr="005D7586">
      <w:rPr>
        <w:rStyle w:val="SidhuvudUtskott"/>
      </w:rPr>
      <w:fldChar w:fldCharType="end"/>
    </w:r>
    <w:r w:rsidRPr="005D7586">
      <w:rPr>
        <w:rStyle w:val="SidhuvudUtskott"/>
      </w:rPr>
      <w:instrText>:</w:instrText>
    </w:r>
    <w:r w:rsidRPr="005D7586">
      <w:rPr>
        <w:rStyle w:val="SidhuvudUtskott"/>
      </w:rPr>
      <w:fldChar w:fldCharType="begin" w:fldLock="1"/>
    </w:r>
    <w:r w:rsidRPr="005D7586">
      <w:rPr>
        <w:rStyle w:val="SidhuvudUtskott"/>
      </w:rPr>
      <w:instrText xml:space="preserve"> DOCPR</w:instrText>
    </w:r>
    <w:r w:rsidRPr="005D7586">
      <w:rPr>
        <w:rStyle w:val="SidhuvudUtskott"/>
      </w:rPr>
      <w:instrText>O</w:instrText>
    </w:r>
    <w:r w:rsidRPr="005D7586">
      <w:rPr>
        <w:rStyle w:val="SidhuvudUtskott"/>
      </w:rPr>
      <w:instrText>PE</w:instrText>
    </w:r>
    <w:r w:rsidRPr="005D7586">
      <w:rPr>
        <w:rStyle w:val="SidhuvudUtskott"/>
      </w:rPr>
      <w:instrText>R</w:instrText>
    </w:r>
    <w:r w:rsidRPr="005D7586">
      <w:rPr>
        <w:rStyle w:val="SidhuvudUtskott"/>
      </w:rPr>
      <w:instrText>TY Utskott</w:instrText>
    </w:r>
    <w:r w:rsidRPr="005D7586">
      <w:rPr>
        <w:rStyle w:val="SidhuvudUtskott"/>
      </w:rPr>
      <w:fldChar w:fldCharType="separate"/>
    </w:r>
    <w:r w:rsidRPr="005D7586">
      <w:rPr>
        <w:rStyle w:val="SidhuvudUtskott"/>
      </w:rPr>
      <w:instrText>BoU</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BetänkandeNr</w:instrText>
    </w:r>
    <w:r w:rsidRPr="005D7586">
      <w:rPr>
        <w:rStyle w:val="SidhuvudUtskott"/>
      </w:rPr>
      <w:fldChar w:fldCharType="separate"/>
    </w:r>
    <w:r w:rsidRPr="005D7586">
      <w:rPr>
        <w:rStyle w:val="SidhuvudUtskott"/>
      </w:rPr>
      <w:instrText>6678</w:instrText>
    </w:r>
    <w:r w:rsidRPr="005D7586">
      <w:rPr>
        <w:rStyle w:val="SidhuvudUtskott"/>
      </w:rPr>
      <w:fldChar w:fldCharType="end"/>
    </w:r>
    <w:r w:rsidRPr="005D7586">
      <w:instrText xml:space="preserve">    </w:instrText>
    </w:r>
  </w:p>
  <w:p w:rsidR="00021365" w:rsidRPr="005D7586" w:rsidRDefault="00021365">
    <w:pPr>
      <w:pStyle w:val="SidhuvudKantJmn"/>
      <w:framePr w:w="8732" w:h="567" w:hRule="exact" w:vSpace="0" w:wrap="around" w:vAnchor="page" w:y="341" w:anchorLock="0"/>
    </w:pPr>
    <w:r w:rsidRPr="005D7586">
      <w:rPr>
        <w:rStyle w:val="SidhuvudUtskott"/>
      </w:rPr>
      <w:fldChar w:fldCharType="begin" w:fldLock="1"/>
    </w:r>
    <w:r w:rsidRPr="005D7586">
      <w:rPr>
        <w:rStyle w:val="SidhuvudUtskott"/>
      </w:rPr>
      <w:instrText xml:space="preserve"> DOCPROPERTY Status</w:instrText>
    </w:r>
    <w:r w:rsidRPr="005D7586">
      <w:rPr>
        <w:rStyle w:val="SidhuvudUtskott"/>
      </w:rPr>
      <w:fldChar w:fldCharType="separate"/>
    </w:r>
    <w:r w:rsidRPr="005D7586">
      <w:rPr>
        <w:rStyle w:val="SidhuvudUtskott"/>
      </w:rPr>
      <w:instrText>Utkast</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if </w:instrText>
    </w:r>
    <w:r w:rsidRPr="005D7586">
      <w:rPr>
        <w:rStyle w:val="SidhuvudUtskott"/>
      </w:rPr>
      <w:fldChar w:fldCharType="begin" w:fldLock="1"/>
    </w:r>
    <w:r w:rsidRPr="005D7586">
      <w:rPr>
        <w:rStyle w:val="SidhuvudUtskott"/>
      </w:rPr>
      <w:instrText xml:space="preserve"> DOCPROPERTY "UtkastDatum"</w:instrText>
    </w:r>
    <w:r w:rsidRPr="005D7586">
      <w:rPr>
        <w:rStyle w:val="SidhuvudUtskott"/>
      </w:rPr>
      <w:fldChar w:fldCharType="separate"/>
    </w:r>
    <w:r w:rsidRPr="005D7586">
      <w:rPr>
        <w:rStyle w:val="SidhuvudUtskott"/>
      </w:rPr>
      <w:instrText>Nej</w:instrText>
    </w:r>
    <w:r w:rsidRPr="005D7586">
      <w:rPr>
        <w:rStyle w:val="SidhuvudUtskott"/>
      </w:rPr>
      <w:fldChar w:fldCharType="end"/>
    </w:r>
    <w:r w:rsidRPr="005D7586">
      <w:rPr>
        <w:rStyle w:val="SidhuvudUtskott"/>
      </w:rPr>
      <w:instrText xml:space="preserve"> = "Ja" "    </w:instrText>
    </w:r>
    <w:r w:rsidRPr="005D7586">
      <w:rPr>
        <w:rStyle w:val="SidhuvudUtskott"/>
      </w:rPr>
      <w:fldChar w:fldCharType="begin" w:fldLock="1"/>
    </w:r>
    <w:r w:rsidRPr="005D7586">
      <w:rPr>
        <w:rStyle w:val="SidhuvudUtskott"/>
      </w:rPr>
      <w:instrText xml:space="preserve"> PRINTDATE \@ "yyyy-MM-dd HH.mm" </w:instrText>
    </w:r>
    <w:r w:rsidRPr="005D7586">
      <w:rPr>
        <w:rStyle w:val="SidhuvudUtskott"/>
      </w:rPr>
      <w:fldChar w:fldCharType="separate"/>
    </w:r>
    <w:r w:rsidRPr="005D7586">
      <w:rPr>
        <w:rStyle w:val="SidhuvudUtskott"/>
      </w:rPr>
      <w:instrText>2000-08-11 16.42</w:instrText>
    </w:r>
    <w:r w:rsidRPr="005D7586">
      <w:rPr>
        <w:rStyle w:val="SidhuvudUtskott"/>
      </w:rPr>
      <w:fldChar w:fldCharType="end"/>
    </w:r>
    <w:r w:rsidRPr="005D7586">
      <w:rPr>
        <w:rStyle w:val="SidhuvudUtskott"/>
      </w:rPr>
      <w:instrText xml:space="preserve">" </w:instrText>
    </w:r>
    <w:r w:rsidRPr="005D7586">
      <w:rPr>
        <w:rStyle w:val="SidhuvudUtskott"/>
      </w:rPr>
      <w:fldChar w:fldCharType="separate"/>
    </w:r>
    <w:r w:rsidRPr="005D7586">
      <w:rPr>
        <w:rStyle w:val="SidhuvudUtskott"/>
      </w:rPr>
      <w:fldChar w:fldCharType="end"/>
    </w:r>
  </w:p>
  <w:p w:rsidR="00021365" w:rsidRPr="005D7586" w:rsidRDefault="00021365">
    <w:pPr>
      <w:pStyle w:val="SidhuvudKantUdda"/>
      <w:framePr w:w="8732" w:h="567" w:hRule="exact" w:vSpace="0" w:wrap="around" w:vAnchor="page" w:y="341" w:anchorLock="0"/>
    </w:pPr>
    <w:r w:rsidRPr="005D7586">
      <w:rPr>
        <w:rStyle w:val="SidhuvudRubrikReferens"/>
        <w:smallCaps w:val="0"/>
        <w:spacing w:val="0"/>
        <w:sz w:val="19"/>
      </w:rPr>
      <w:instrText xml:space="preserve"> </w:instrText>
    </w:r>
    <w:r w:rsidRPr="005D7586">
      <w:instrText xml:space="preserve">"  "  </w:instrText>
    </w: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instrText>2001/02</w:instrText>
    </w:r>
    <w:r w:rsidRPr="005D7586">
      <w:rPr>
        <w:rStyle w:val="SidhuvudUtskott"/>
      </w:rPr>
      <w:fldChar w:fldCharType="end"/>
    </w:r>
    <w:r w:rsidRPr="005D7586">
      <w:rPr>
        <w:rStyle w:val="SidhuvudUtskott"/>
      </w:rPr>
      <w:instrText>:</w:instrText>
    </w:r>
    <w:r w:rsidRPr="005D7586">
      <w:rPr>
        <w:rStyle w:val="SidhuvudUtskott"/>
      </w:rPr>
      <w:fldChar w:fldCharType="begin" w:fldLock="1"/>
    </w:r>
    <w:r w:rsidRPr="005D7586">
      <w:rPr>
        <w:rStyle w:val="SidhuvudUtskott"/>
      </w:rPr>
      <w:instrText xml:space="preserve"> DOCPROPERTY Utskott</w:instrText>
    </w:r>
    <w:r w:rsidRPr="005D7586">
      <w:rPr>
        <w:rStyle w:val="SidhuvudUtskott"/>
      </w:rPr>
      <w:fldChar w:fldCharType="separate"/>
    </w:r>
    <w:r w:rsidRPr="005D7586">
      <w:rPr>
        <w:rStyle w:val="SidhuvudUtskott"/>
      </w:rPr>
      <w:instrText>UU</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BetänkandeNr</w:instrText>
    </w:r>
    <w:r w:rsidRPr="005D7586">
      <w:rPr>
        <w:rStyle w:val="SidhuvudUtskott"/>
      </w:rPr>
      <w:fldChar w:fldCharType="separate"/>
    </w:r>
    <w:r w:rsidRPr="005D7586">
      <w:rPr>
        <w:rStyle w:val="SidhuvudUtskott"/>
      </w:rPr>
      <w:instrText>1y</w:instrText>
    </w:r>
    <w:r w:rsidRPr="005D7586">
      <w:rPr>
        <w:rStyle w:val="SidhuvudUtskott"/>
      </w:rPr>
      <w:fldChar w:fldCharType="end"/>
    </w:r>
  </w:p>
  <w:p w:rsidR="00021365" w:rsidRPr="005D7586" w:rsidRDefault="00021365">
    <w:pPr>
      <w:pStyle w:val="SidhuvudKantUdda"/>
      <w:framePr w:w="8732" w:h="567" w:hRule="exact" w:vSpace="0" w:wrap="around" w:vAnchor="page" w:y="341" w:anchorLock="0"/>
    </w:pPr>
    <w:r w:rsidRPr="005D7586">
      <w:rPr>
        <w:rStyle w:val="SidhuvudUtskott"/>
      </w:rPr>
      <w:fldChar w:fldCharType="begin" w:fldLock="1"/>
    </w:r>
    <w:r w:rsidRPr="005D7586">
      <w:rPr>
        <w:rStyle w:val="SidhuvudUtskott"/>
      </w:rPr>
      <w:instrText xml:space="preserve"> if </w:instrText>
    </w:r>
    <w:r w:rsidRPr="005D7586">
      <w:rPr>
        <w:rStyle w:val="SidhuvudUtskott"/>
      </w:rPr>
      <w:fldChar w:fldCharType="begin" w:fldLock="1"/>
    </w:r>
    <w:r w:rsidRPr="005D7586">
      <w:rPr>
        <w:rStyle w:val="SidhuvudUtskott"/>
      </w:rPr>
      <w:instrText xml:space="preserve"> DOCPROPERTY "UtkastDatum"</w:instrText>
    </w:r>
    <w:r w:rsidRPr="005D7586">
      <w:rPr>
        <w:rStyle w:val="SidhuvudUtskott"/>
      </w:rPr>
      <w:fldChar w:fldCharType="separate"/>
    </w:r>
    <w:r w:rsidRPr="005D7586">
      <w:rPr>
        <w:rStyle w:val="SidhuvudUtskott"/>
      </w:rPr>
      <w:instrText>Nej</w:instrText>
    </w:r>
    <w:r w:rsidRPr="005D7586">
      <w:rPr>
        <w:rStyle w:val="SidhuvudUtskott"/>
      </w:rPr>
      <w:fldChar w:fldCharType="end"/>
    </w:r>
    <w:r w:rsidRPr="005D7586">
      <w:rPr>
        <w:rStyle w:val="SidhuvudUtskott"/>
      </w:rPr>
      <w:instrText xml:space="preserve"> = "Ja" "</w:instrText>
    </w:r>
    <w:r w:rsidRPr="005D7586">
      <w:rPr>
        <w:rStyle w:val="SidhuvudUtskott"/>
      </w:rPr>
      <w:fldChar w:fldCharType="begin" w:fldLock="1"/>
    </w:r>
    <w:r w:rsidRPr="005D7586">
      <w:rPr>
        <w:rStyle w:val="SidhuvudUtskott"/>
      </w:rPr>
      <w:instrText xml:space="preserve"> PRINTDATE \@ "yyyy-MM-dd HH.mm    " </w:instrText>
    </w:r>
    <w:r w:rsidRPr="005D7586">
      <w:rPr>
        <w:rStyle w:val="SidhuvudUtskott"/>
      </w:rPr>
      <w:fldChar w:fldCharType="separate"/>
    </w:r>
    <w:r w:rsidRPr="005D7586">
      <w:rPr>
        <w:rStyle w:val="SidhuvudUtskott"/>
      </w:rPr>
      <w:instrText>2000-08-11 16.42</w:instrText>
    </w:r>
    <w:r w:rsidRPr="005D7586">
      <w:rPr>
        <w:rStyle w:val="SidhuvudUtskott"/>
      </w:rPr>
      <w:fldChar w:fldCharType="end"/>
    </w:r>
    <w:r w:rsidRPr="005D7586">
      <w:rPr>
        <w:rStyle w:val="SidhuvudUtskott"/>
      </w:rPr>
      <w:instrText xml:space="preserve">" </w:instrText>
    </w:r>
    <w:r w:rsidRPr="005D7586">
      <w:rPr>
        <w:rStyle w:val="SidhuvudUtskott"/>
      </w:rPr>
      <w:fldChar w:fldCharType="separate"/>
    </w:r>
    <w:r w:rsidRPr="005D7586">
      <w:rPr>
        <w:rStyle w:val="SidhuvudUtskott"/>
      </w:rPr>
      <w:fldChar w:fldCharType="end"/>
    </w:r>
    <w:r w:rsidRPr="005D7586">
      <w:rPr>
        <w:rStyle w:val="SidhuvudUtskott"/>
      </w:rPr>
      <w:fldChar w:fldCharType="begin" w:fldLock="1"/>
    </w:r>
    <w:r w:rsidRPr="005D7586">
      <w:rPr>
        <w:rStyle w:val="SidhuvudUtskott"/>
      </w:rPr>
      <w:instrText xml:space="preserve"> DOCPR</w:instrText>
    </w:r>
    <w:r w:rsidRPr="005D7586">
      <w:rPr>
        <w:rStyle w:val="SidhuvudUtskott"/>
      </w:rPr>
      <w:instrText>O</w:instrText>
    </w:r>
    <w:r w:rsidRPr="005D7586">
      <w:rPr>
        <w:rStyle w:val="SidhuvudUtskott"/>
      </w:rPr>
      <w:instrText>PERTY Status</w:instrText>
    </w:r>
    <w:r w:rsidRPr="005D7586">
      <w:rPr>
        <w:rStyle w:val="SidhuvudUtskott"/>
      </w:rPr>
      <w:fldChar w:fldCharType="end"/>
    </w:r>
    <w:r w:rsidRPr="005D7586">
      <w:instrText>"</w:instrText>
    </w:r>
    <w:r w:rsidRPr="005D7586">
      <w:fldChar w:fldCharType="separate"/>
    </w:r>
    <w:r w:rsidRPr="005D7586">
      <w:instrText xml:space="preserve">  </w:instrText>
    </w: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instrText>2001/02</w:instrText>
    </w:r>
    <w:r w:rsidRPr="005D7586">
      <w:rPr>
        <w:rStyle w:val="SidhuvudUtskott"/>
      </w:rPr>
      <w:fldChar w:fldCharType="end"/>
    </w:r>
    <w:r w:rsidRPr="005D7586">
      <w:rPr>
        <w:rStyle w:val="SidhuvudUtskott"/>
      </w:rPr>
      <w:instrText>:</w:instrText>
    </w:r>
    <w:r w:rsidRPr="005D7586">
      <w:rPr>
        <w:rStyle w:val="SidhuvudUtskott"/>
      </w:rPr>
      <w:fldChar w:fldCharType="begin" w:fldLock="1"/>
    </w:r>
    <w:r w:rsidRPr="005D7586">
      <w:rPr>
        <w:rStyle w:val="SidhuvudUtskott"/>
      </w:rPr>
      <w:instrText xml:space="preserve"> DOCPROPERTY Utskott</w:instrText>
    </w:r>
    <w:r w:rsidRPr="005D7586">
      <w:rPr>
        <w:rStyle w:val="SidhuvudUtskott"/>
      </w:rPr>
      <w:fldChar w:fldCharType="separate"/>
    </w:r>
    <w:r w:rsidRPr="005D7586">
      <w:rPr>
        <w:rStyle w:val="SidhuvudUtskott"/>
      </w:rPr>
      <w:instrText>UU</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BetänkandeNr</w:instrText>
    </w:r>
    <w:r w:rsidRPr="005D7586">
      <w:rPr>
        <w:rStyle w:val="SidhuvudUtskott"/>
      </w:rPr>
      <w:fldChar w:fldCharType="separate"/>
    </w:r>
    <w:r w:rsidRPr="005D7586">
      <w:rPr>
        <w:rStyle w:val="SidhuvudUtskott"/>
      </w:rPr>
      <w:instrText>1y</w:instrText>
    </w:r>
    <w:r w:rsidRPr="005D7586">
      <w:rPr>
        <w:rStyle w:val="SidhuvudUtskott"/>
      </w:rPr>
      <w:fldChar w:fldCharType="end"/>
    </w:r>
  </w:p>
  <w:p w:rsidR="00021365" w:rsidRPr="005D7586" w:rsidRDefault="00021365">
    <w:pPr>
      <w:pStyle w:val="SidhuvudKantUdda"/>
      <w:framePr w:w="8732" w:h="567" w:hRule="exact" w:vSpace="0" w:wrap="around" w:vAnchor="page" w:y="341" w:anchorLock="0"/>
    </w:pPr>
    <w:r w:rsidRPr="005D7586">
      <w:fldChar w:fldCharType="end"/>
    </w:r>
    <w:r w:rsidRPr="005D7586">
      <w:instrText>" " "</w:instrText>
    </w:r>
    <w:r w:rsidRPr="005D7586">
      <w:fldChar w:fldCharType="separate"/>
    </w:r>
    <w:r w:rsidR="005D7586" w:rsidRPr="005D7586">
      <w:rPr>
        <w:noProof/>
      </w:rPr>
      <w:t xml:space="preserve"> </w:t>
    </w:r>
    <w:r w:rsidRPr="005D7586">
      <w:fldChar w:fldCharType="end"/>
    </w:r>
  </w:p>
  <w:p w:rsidR="00021365" w:rsidRPr="005D7586" w:rsidRDefault="0002136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huvudKantJmn"/>
      <w:framePr w:w="8732" w:h="567" w:hRule="exact" w:vSpace="0" w:wrap="around" w:vAnchor="page" w:y="341" w:anchorLock="0"/>
    </w:pP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t>2001/02</w:t>
    </w:r>
    <w:r w:rsidRPr="005D7586">
      <w:rPr>
        <w:rStyle w:val="SidhuvudUtskott"/>
      </w:rPr>
      <w:fldChar w:fldCharType="end"/>
    </w:r>
    <w:r w:rsidRPr="005D7586">
      <w:rPr>
        <w:rStyle w:val="SidhuvudUtskott"/>
      </w:rPr>
      <w:t>:</w:t>
    </w:r>
    <w:r w:rsidRPr="005D7586">
      <w:rPr>
        <w:rStyle w:val="SidhuvudUtskott"/>
      </w:rPr>
      <w:fldChar w:fldCharType="begin" w:fldLock="1"/>
    </w:r>
    <w:r w:rsidRPr="005D7586">
      <w:rPr>
        <w:rStyle w:val="SidhuvudUtskott"/>
      </w:rPr>
      <w:instrText xml:space="preserve"> DOCPROPERTY Utskott</w:instrText>
    </w:r>
    <w:r w:rsidRPr="005D7586">
      <w:rPr>
        <w:rStyle w:val="SidhuvudUtskott"/>
      </w:rPr>
      <w:fldChar w:fldCharType="separate"/>
    </w:r>
    <w:r w:rsidRPr="005D7586">
      <w:rPr>
        <w:rStyle w:val="SidhuvudUtskott"/>
      </w:rPr>
      <w:t>UU</w: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BetänkandeNr</w:instrText>
    </w:r>
    <w:r w:rsidRPr="005D7586">
      <w:rPr>
        <w:rStyle w:val="SidhuvudUtskott"/>
      </w:rPr>
      <w:fldChar w:fldCharType="separate"/>
    </w:r>
    <w:r w:rsidRPr="005D7586">
      <w:rPr>
        <w:rStyle w:val="SidhuvudUtskott"/>
      </w:rPr>
      <w:t>1y</w:t>
    </w:r>
    <w:r w:rsidRPr="005D7586">
      <w:rPr>
        <w:rStyle w:val="SidhuvudUtskott"/>
      </w:rPr>
      <w:fldChar w:fldCharType="end"/>
    </w:r>
    <w:r w:rsidRPr="005D7586">
      <w:t xml:space="preserve">     </w:t>
    </w:r>
    <w:r w:rsidRPr="005D7586">
      <w:rPr>
        <w:rStyle w:val="SidhuvudBilaga"/>
      </w:rPr>
      <w:t xml:space="preserve"> Bilaga   </w:t>
    </w:r>
    <w:r w:rsidRPr="005D7586">
      <w:rPr>
        <w:rStyle w:val="SidhuvudRubrikReferens"/>
      </w:rPr>
      <w:fldChar w:fldCharType="begin" w:fldLock="1"/>
    </w:r>
    <w:r w:rsidRPr="005D7586">
      <w:rPr>
        <w:rStyle w:val="SidhuvudRubrikReferens"/>
      </w:rPr>
      <w:instrText xml:space="preserve"> StyleREF "Rubrik 1" </w:instrText>
    </w:r>
    <w:r w:rsidRPr="005D7586">
      <w:rPr>
        <w:rStyle w:val="SidhuvudRubrikReferens"/>
      </w:rPr>
      <w:fldChar w:fldCharType="end"/>
    </w:r>
  </w:p>
  <w:p w:rsidR="00021365" w:rsidRPr="005D7586" w:rsidRDefault="00021365">
    <w:pPr>
      <w:pStyle w:val="SidhuvudKantJmn"/>
      <w:framePr w:w="8732" w:h="567" w:hRule="exact" w:vSpace="0" w:wrap="around" w:vAnchor="page" w:y="341" w:anchorLock="0"/>
    </w:pPr>
    <w:r w:rsidRPr="005D7586">
      <w:rPr>
        <w:rStyle w:val="SidhuvudUtskott"/>
      </w:rPr>
      <w:fldChar w:fldCharType="begin" w:fldLock="1"/>
    </w:r>
    <w:r w:rsidRPr="005D7586">
      <w:rPr>
        <w:rStyle w:val="SidhuvudUtskott"/>
      </w:rPr>
      <w:instrText xml:space="preserve"> DOCPROPERTY Status</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if </w:instrText>
    </w:r>
    <w:r w:rsidRPr="005D7586">
      <w:rPr>
        <w:rStyle w:val="SidhuvudUtskott"/>
      </w:rPr>
      <w:fldChar w:fldCharType="begin" w:fldLock="1"/>
    </w:r>
    <w:r w:rsidRPr="005D7586">
      <w:rPr>
        <w:rStyle w:val="SidhuvudUtskott"/>
      </w:rPr>
      <w:instrText xml:space="preserve"> DOCPROPERTY "UtkastDatum"</w:instrText>
    </w:r>
    <w:r w:rsidRPr="005D7586">
      <w:rPr>
        <w:rStyle w:val="SidhuvudUtskott"/>
      </w:rPr>
      <w:fldChar w:fldCharType="separate"/>
    </w:r>
    <w:r w:rsidRPr="005D7586">
      <w:rPr>
        <w:rStyle w:val="SidhuvudUtskott"/>
      </w:rPr>
      <w:instrText>Nej</w:instrText>
    </w:r>
    <w:r w:rsidRPr="005D7586">
      <w:rPr>
        <w:rStyle w:val="SidhuvudUtskott"/>
      </w:rPr>
      <w:fldChar w:fldCharType="end"/>
    </w:r>
    <w:r w:rsidRPr="005D7586">
      <w:rPr>
        <w:rStyle w:val="SidhuvudUtskott"/>
      </w:rPr>
      <w:instrText xml:space="preserve"> = "Ja" "    </w:instrText>
    </w:r>
    <w:r w:rsidRPr="005D7586">
      <w:rPr>
        <w:rStyle w:val="SidhuvudUtskott"/>
      </w:rPr>
      <w:fldChar w:fldCharType="begin" w:fldLock="1"/>
    </w:r>
    <w:r w:rsidRPr="005D7586">
      <w:rPr>
        <w:rStyle w:val="SidhuvudUtskott"/>
      </w:rPr>
      <w:instrText xml:space="preserve"> PRINTDATE \@ "yyyy-MM-dd HH.mm" </w:instrText>
    </w:r>
    <w:r w:rsidRPr="005D7586">
      <w:rPr>
        <w:rStyle w:val="SidhuvudUtskott"/>
      </w:rPr>
      <w:fldChar w:fldCharType="separate"/>
    </w:r>
    <w:r w:rsidRPr="005D7586">
      <w:rPr>
        <w:rStyle w:val="SidhuvudUtskott"/>
      </w:rPr>
      <w:instrText>2000-08-11 16.42</w:instrText>
    </w:r>
    <w:r w:rsidRPr="005D7586">
      <w:rPr>
        <w:rStyle w:val="SidhuvudUtskott"/>
      </w:rPr>
      <w:fldChar w:fldCharType="end"/>
    </w:r>
    <w:r w:rsidRPr="005D7586">
      <w:rPr>
        <w:rStyle w:val="SidhuvudUtskott"/>
      </w:rPr>
      <w:instrText xml:space="preserve">" </w:instrText>
    </w:r>
    <w:r w:rsidRPr="005D7586">
      <w:rPr>
        <w:rStyle w:val="SidhuvudUtskott"/>
      </w:rPr>
      <w:fldChar w:fldCharType="end"/>
    </w:r>
  </w:p>
  <w:p w:rsidR="00021365" w:rsidRPr="005D7586" w:rsidRDefault="0002136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huvudKantUdda"/>
      <w:framePr w:w="8732" w:h="567" w:hRule="exact" w:vSpace="0" w:wrap="around" w:vAnchor="page" w:y="341" w:anchorLock="0"/>
    </w:pPr>
    <w:r w:rsidRPr="005D7586">
      <w:rPr>
        <w:rStyle w:val="SidhuvudRubrikReferens"/>
      </w:rPr>
      <w:fldChar w:fldCharType="begin" w:fldLock="1"/>
    </w:r>
    <w:r w:rsidRPr="005D7586">
      <w:rPr>
        <w:rStyle w:val="SidhuvudRubrikReferens"/>
      </w:rPr>
      <w:instrText xml:space="preserve"> StyleREF "Rubrik 1" </w:instrText>
    </w:r>
    <w:r w:rsidRPr="005D7586">
      <w:rPr>
        <w:rStyle w:val="SidhuvudRubrikReferens"/>
      </w:rPr>
      <w:fldChar w:fldCharType="end"/>
    </w:r>
    <w:r w:rsidRPr="005D7586">
      <w:rPr>
        <w:rStyle w:val="SidhuvudBilaga"/>
      </w:rPr>
      <w:t xml:space="preserve">   Bilaga </w:t>
    </w:r>
    <w:r w:rsidRPr="005D7586">
      <w:t xml:space="preserve">     </w:t>
    </w: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t>2001/02</w:t>
    </w:r>
    <w:r w:rsidRPr="005D7586">
      <w:rPr>
        <w:rStyle w:val="SidhuvudUtskott"/>
      </w:rPr>
      <w:fldChar w:fldCharType="end"/>
    </w:r>
    <w:r w:rsidRPr="005D7586">
      <w:rPr>
        <w:rStyle w:val="SidhuvudUtskott"/>
      </w:rPr>
      <w:t>:</w:t>
    </w:r>
    <w:r w:rsidRPr="005D7586">
      <w:rPr>
        <w:rStyle w:val="SidhuvudUtskott"/>
      </w:rPr>
      <w:fldChar w:fldCharType="begin" w:fldLock="1"/>
    </w:r>
    <w:r w:rsidRPr="005D7586">
      <w:rPr>
        <w:rStyle w:val="SidhuvudUtskott"/>
      </w:rPr>
      <w:instrText xml:space="preserve"> DOCPROPERTY</w:instrText>
    </w:r>
    <w:r w:rsidRPr="005D7586">
      <w:instrText xml:space="preserve"> </w:instrText>
    </w:r>
    <w:r w:rsidRPr="005D7586">
      <w:rPr>
        <w:rStyle w:val="SidhuvudUtskott"/>
      </w:rPr>
      <w:instrText>Utskott</w:instrText>
    </w:r>
    <w:r w:rsidRPr="005D7586">
      <w:rPr>
        <w:rStyle w:val="SidhuvudUtskott"/>
      </w:rPr>
      <w:fldChar w:fldCharType="separate"/>
    </w:r>
    <w:r w:rsidRPr="005D7586">
      <w:rPr>
        <w:rStyle w:val="SidhuvudUtskott"/>
      </w:rPr>
      <w:t>UU</w: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w:instrText>
    </w:r>
    <w:r w:rsidRPr="005D7586">
      <w:rPr>
        <w:rStyle w:val="SidhuvudUtskott"/>
      </w:rPr>
      <w:instrText>n</w:instrText>
    </w:r>
    <w:r w:rsidRPr="005D7586">
      <w:rPr>
        <w:rStyle w:val="SidhuvudUtskott"/>
      </w:rPr>
      <w:instrText>kandeNr</w:instrText>
    </w:r>
    <w:r w:rsidRPr="005D7586">
      <w:rPr>
        <w:rStyle w:val="SidhuvudUtskott"/>
      </w:rPr>
      <w:fldChar w:fldCharType="separate"/>
    </w:r>
    <w:r w:rsidRPr="005D7586">
      <w:rPr>
        <w:rStyle w:val="SidhuvudUtskott"/>
      </w:rPr>
      <w:t>1y</w:t>
    </w:r>
    <w:r w:rsidRPr="005D7586">
      <w:rPr>
        <w:rStyle w:val="SidhuvudUtskott"/>
      </w:rPr>
      <w:fldChar w:fldCharType="end"/>
    </w:r>
  </w:p>
  <w:p w:rsidR="00021365" w:rsidRPr="005D7586" w:rsidRDefault="00021365">
    <w:pPr>
      <w:pStyle w:val="SidhuvudKantUdda"/>
      <w:framePr w:w="8732" w:h="567" w:hRule="exact" w:vSpace="0" w:wrap="around" w:vAnchor="page" w:y="341" w:anchorLock="0"/>
    </w:pPr>
    <w:r w:rsidRPr="005D7586">
      <w:rPr>
        <w:rStyle w:val="SidhuvudUtskott"/>
      </w:rPr>
      <w:fldChar w:fldCharType="begin" w:fldLock="1"/>
    </w:r>
    <w:r w:rsidRPr="005D7586">
      <w:rPr>
        <w:rStyle w:val="SidhuvudUtskott"/>
      </w:rPr>
      <w:instrText xml:space="preserve"> if </w:instrText>
    </w:r>
    <w:r w:rsidRPr="005D7586">
      <w:rPr>
        <w:rStyle w:val="SidhuvudUtskott"/>
      </w:rPr>
      <w:fldChar w:fldCharType="begin" w:fldLock="1"/>
    </w:r>
    <w:r w:rsidRPr="005D7586">
      <w:rPr>
        <w:rStyle w:val="SidhuvudUtskott"/>
      </w:rPr>
      <w:instrText xml:space="preserve"> DOCPROPERTY "UtkastDatum"</w:instrText>
    </w:r>
    <w:r w:rsidRPr="005D7586">
      <w:rPr>
        <w:rStyle w:val="SidhuvudUtskott"/>
      </w:rPr>
      <w:fldChar w:fldCharType="separate"/>
    </w:r>
    <w:r w:rsidRPr="005D7586">
      <w:rPr>
        <w:rStyle w:val="SidhuvudUtskott"/>
      </w:rPr>
      <w:instrText>Nej</w:instrText>
    </w:r>
    <w:r w:rsidRPr="005D7586">
      <w:rPr>
        <w:rStyle w:val="SidhuvudUtskott"/>
      </w:rPr>
      <w:fldChar w:fldCharType="end"/>
    </w:r>
    <w:r w:rsidRPr="005D7586">
      <w:rPr>
        <w:rStyle w:val="SidhuvudUtskott"/>
      </w:rPr>
      <w:instrText xml:space="preserve"> = "Ja" "</w:instrText>
    </w:r>
    <w:r w:rsidRPr="005D7586">
      <w:rPr>
        <w:rStyle w:val="SidhuvudUtskott"/>
      </w:rPr>
      <w:fldChar w:fldCharType="begin" w:fldLock="1"/>
    </w:r>
    <w:r w:rsidRPr="005D7586">
      <w:rPr>
        <w:rStyle w:val="SidhuvudUtskott"/>
      </w:rPr>
      <w:instrText xml:space="preserve"> PRINTDATE \@ "yyyy-MM-dd HH.mm    " </w:instrText>
    </w:r>
    <w:r w:rsidRPr="005D7586">
      <w:rPr>
        <w:rStyle w:val="SidhuvudUtskott"/>
      </w:rPr>
      <w:fldChar w:fldCharType="separate"/>
    </w:r>
    <w:r w:rsidRPr="005D7586">
      <w:rPr>
        <w:rStyle w:val="SidhuvudUtskott"/>
      </w:rPr>
      <w:instrText>2000-08-11 16.42</w:instrText>
    </w:r>
    <w:r w:rsidRPr="005D7586">
      <w:rPr>
        <w:rStyle w:val="SidhuvudUtskott"/>
      </w:rPr>
      <w:fldChar w:fldCharType="end"/>
    </w:r>
    <w:r w:rsidRPr="005D7586">
      <w:rPr>
        <w:rStyle w:val="SidhuvudUtskott"/>
      </w:rPr>
      <w:instrText xml:space="preserve">" </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w:instrText>
    </w:r>
    <w:r w:rsidRPr="005D7586">
      <w:rPr>
        <w:rStyle w:val="SidhuvudUtskott"/>
      </w:rPr>
      <w:instrText>O</w:instrText>
    </w:r>
    <w:r w:rsidRPr="005D7586">
      <w:rPr>
        <w:rStyle w:val="SidhuvudUtskott"/>
      </w:rPr>
      <w:instrText>PERTY Status</w:instrText>
    </w:r>
    <w:r w:rsidRPr="005D7586">
      <w:rPr>
        <w:rStyle w:val="SidhuvudUtskott"/>
      </w:rPr>
      <w:fldChar w:fldCharType="end"/>
    </w:r>
  </w:p>
  <w:p w:rsidR="00021365" w:rsidRPr="005D7586" w:rsidRDefault="0002136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huvudKantUdda"/>
      <w:framePr w:w="8732" w:h="567" w:hRule="exact" w:vSpace="0" w:wrap="around" w:vAnchor="page" w:y="341" w:anchorLock="0"/>
    </w:pPr>
    <w:r w:rsidRPr="005D7586">
      <w:t xml:space="preserve">  </w:t>
    </w:r>
    <w:r w:rsidRPr="005D7586">
      <w:rPr>
        <w:rStyle w:val="SidhuvudUtskott"/>
      </w:rPr>
      <w:t>2001/02:UU1y</w:t>
    </w:r>
  </w:p>
  <w:p w:rsidR="00021365" w:rsidRPr="005D7586" w:rsidRDefault="00021365">
    <w:pPr>
      <w:pStyle w:val="SidhuvudKantUdda"/>
      <w:framePr w:w="8732" w:h="567" w:hRule="exact" w:vSpace="0" w:wrap="around" w:vAnchor="page" w:y="341" w:anchorLock="0"/>
    </w:pPr>
  </w:p>
  <w:p w:rsidR="00021365" w:rsidRPr="005D7586" w:rsidRDefault="0002136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huvudKantJmn"/>
      <w:framePr w:w="8732" w:h="567" w:hRule="exact" w:vSpace="0" w:wrap="around" w:vAnchor="page" w:y="341" w:anchorLock="0"/>
    </w:pP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t>2001/02</w:t>
    </w:r>
    <w:r w:rsidRPr="005D7586">
      <w:rPr>
        <w:rStyle w:val="SidhuvudUtskott"/>
      </w:rPr>
      <w:fldChar w:fldCharType="end"/>
    </w:r>
    <w:r w:rsidRPr="005D7586">
      <w:rPr>
        <w:rStyle w:val="SidhuvudUtskott"/>
      </w:rPr>
      <w:t>:</w:t>
    </w:r>
    <w:r w:rsidRPr="005D7586">
      <w:rPr>
        <w:rStyle w:val="SidhuvudUtskott"/>
      </w:rPr>
      <w:fldChar w:fldCharType="begin" w:fldLock="1"/>
    </w:r>
    <w:r w:rsidRPr="005D7586">
      <w:rPr>
        <w:rStyle w:val="SidhuvudUtskott"/>
      </w:rPr>
      <w:instrText xml:space="preserve"> DOCPROPERTY Utskott</w:instrText>
    </w:r>
    <w:r w:rsidRPr="005D7586">
      <w:rPr>
        <w:rStyle w:val="SidhuvudUtskott"/>
      </w:rPr>
      <w:fldChar w:fldCharType="separate"/>
    </w:r>
    <w:r w:rsidRPr="005D7586">
      <w:rPr>
        <w:rStyle w:val="SidhuvudUtskott"/>
      </w:rPr>
      <w:t>UU</w: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BetänkandeNr</w:instrText>
    </w:r>
    <w:r w:rsidRPr="005D7586">
      <w:rPr>
        <w:rStyle w:val="SidhuvudUtskott"/>
      </w:rPr>
      <w:fldChar w:fldCharType="separate"/>
    </w:r>
    <w:r w:rsidRPr="005D7586">
      <w:rPr>
        <w:rStyle w:val="SidhuvudUtskott"/>
      </w:rPr>
      <w:t>1y</w:t>
    </w:r>
    <w:r w:rsidRPr="005D7586">
      <w:rPr>
        <w:rStyle w:val="SidhuvudUtskott"/>
      </w:rPr>
      <w:fldChar w:fldCharType="end"/>
    </w:r>
    <w:r w:rsidRPr="005D7586">
      <w:t xml:space="preserve">     </w:t>
    </w:r>
    <w:r w:rsidRPr="005D7586">
      <w:rPr>
        <w:rStyle w:val="SidhuvudBilaga"/>
      </w:rPr>
      <w:t xml:space="preserve"> </w:t>
    </w:r>
    <w:r w:rsidRPr="005D7586">
      <w:rPr>
        <w:rStyle w:val="SidhuvudRubrikReferens"/>
      </w:rPr>
      <w:fldChar w:fldCharType="begin" w:fldLock="1"/>
    </w:r>
    <w:r w:rsidRPr="005D7586">
      <w:rPr>
        <w:rStyle w:val="SidhuvudRubrikReferens"/>
      </w:rPr>
      <w:instrText xml:space="preserve"> StyleREF "Rubrik 1" </w:instrText>
    </w:r>
    <w:r w:rsidRPr="005D7586">
      <w:rPr>
        <w:rStyle w:val="SidhuvudRubrikReferens"/>
      </w:rPr>
      <w:fldChar w:fldCharType="end"/>
    </w:r>
  </w:p>
  <w:p w:rsidR="00021365" w:rsidRPr="005D7586" w:rsidRDefault="00021365">
    <w:pPr>
      <w:pStyle w:val="SidhuvudKantJmn"/>
      <w:framePr w:w="8732" w:h="567" w:hRule="exact" w:vSpace="0" w:wrap="around" w:vAnchor="page" w:y="341" w:anchorLock="0"/>
    </w:pPr>
    <w:r w:rsidRPr="005D7586">
      <w:rPr>
        <w:rStyle w:val="SidhuvudUtskott"/>
      </w:rPr>
      <w:fldChar w:fldCharType="begin" w:fldLock="1"/>
    </w:r>
    <w:r w:rsidRPr="005D7586">
      <w:rPr>
        <w:rStyle w:val="SidhuvudUtskott"/>
      </w:rPr>
      <w:instrText xml:space="preserve"> DOCPROPERTY Status</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if </w:instrText>
    </w:r>
    <w:r w:rsidRPr="005D7586">
      <w:rPr>
        <w:rStyle w:val="SidhuvudUtskott"/>
      </w:rPr>
      <w:fldChar w:fldCharType="begin" w:fldLock="1"/>
    </w:r>
    <w:r w:rsidRPr="005D7586">
      <w:rPr>
        <w:rStyle w:val="SidhuvudUtskott"/>
      </w:rPr>
      <w:instrText xml:space="preserve"> DOCPROPERTY "UtkastDatum"</w:instrText>
    </w:r>
    <w:r w:rsidRPr="005D7586">
      <w:rPr>
        <w:rStyle w:val="SidhuvudUtskott"/>
      </w:rPr>
      <w:fldChar w:fldCharType="separate"/>
    </w:r>
    <w:r w:rsidRPr="005D7586">
      <w:rPr>
        <w:rStyle w:val="SidhuvudUtskott"/>
      </w:rPr>
      <w:instrText>Nej</w:instrText>
    </w:r>
    <w:r w:rsidRPr="005D7586">
      <w:rPr>
        <w:rStyle w:val="SidhuvudUtskott"/>
      </w:rPr>
      <w:fldChar w:fldCharType="end"/>
    </w:r>
    <w:r w:rsidRPr="005D7586">
      <w:rPr>
        <w:rStyle w:val="SidhuvudUtskott"/>
      </w:rPr>
      <w:instrText xml:space="preserve"> = "Ja" "    </w:instrText>
    </w:r>
    <w:r w:rsidRPr="005D7586">
      <w:rPr>
        <w:rStyle w:val="SidhuvudUtskott"/>
      </w:rPr>
      <w:fldChar w:fldCharType="begin" w:fldLock="1"/>
    </w:r>
    <w:r w:rsidRPr="005D7586">
      <w:rPr>
        <w:rStyle w:val="SidhuvudUtskott"/>
      </w:rPr>
      <w:instrText xml:space="preserve"> PRINTDATE \@ "yyyy-MM-dd HH.mm" </w:instrText>
    </w:r>
    <w:r w:rsidRPr="005D7586">
      <w:rPr>
        <w:rStyle w:val="SidhuvudUtskott"/>
      </w:rPr>
      <w:fldChar w:fldCharType="separate"/>
    </w:r>
    <w:r w:rsidRPr="005D7586">
      <w:rPr>
        <w:rStyle w:val="SidhuvudUtskott"/>
      </w:rPr>
      <w:instrText>2000-08-11 16.42</w:instrText>
    </w:r>
    <w:r w:rsidRPr="005D7586">
      <w:rPr>
        <w:rStyle w:val="SidhuvudUtskott"/>
      </w:rPr>
      <w:fldChar w:fldCharType="end"/>
    </w:r>
    <w:r w:rsidRPr="005D7586">
      <w:rPr>
        <w:rStyle w:val="SidhuvudUtskott"/>
      </w:rPr>
      <w:instrText xml:space="preserve">" </w:instrText>
    </w:r>
    <w:r w:rsidRPr="005D7586">
      <w:rPr>
        <w:rStyle w:val="SidhuvudUtskott"/>
      </w:rPr>
      <w:fldChar w:fldCharType="end"/>
    </w:r>
  </w:p>
  <w:p w:rsidR="00021365" w:rsidRPr="005D7586" w:rsidRDefault="0002136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huvudKantUdda"/>
      <w:framePr w:w="8732" w:h="567" w:hRule="exact" w:vSpace="0" w:wrap="around" w:vAnchor="page" w:y="341" w:anchorLock="0"/>
    </w:pPr>
    <w:r w:rsidRPr="005D7586">
      <w:rPr>
        <w:rStyle w:val="SidhuvudRubrikReferens"/>
      </w:rPr>
      <w:fldChar w:fldCharType="begin" w:fldLock="1"/>
    </w:r>
    <w:r w:rsidRPr="005D7586">
      <w:rPr>
        <w:rStyle w:val="SidhuvudRubrikReferens"/>
      </w:rPr>
      <w:instrText xml:space="preserve"> StyleREF "Rubrik 1" </w:instrText>
    </w:r>
    <w:r w:rsidRPr="005D7586">
      <w:rPr>
        <w:rStyle w:val="SidhuvudRubrikReferens"/>
      </w:rPr>
      <w:fldChar w:fldCharType="end"/>
    </w:r>
    <w:r w:rsidRPr="005D7586">
      <w:rPr>
        <w:rStyle w:val="SidhuvudBilaga"/>
      </w:rPr>
      <w:t xml:space="preserve"> </w:t>
    </w:r>
    <w:r w:rsidRPr="005D7586">
      <w:t xml:space="preserve">     </w:t>
    </w: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t>2001/02</w:t>
    </w:r>
    <w:r w:rsidRPr="005D7586">
      <w:rPr>
        <w:rStyle w:val="SidhuvudUtskott"/>
      </w:rPr>
      <w:fldChar w:fldCharType="end"/>
    </w:r>
    <w:r w:rsidRPr="005D7586">
      <w:rPr>
        <w:rStyle w:val="SidhuvudUtskott"/>
      </w:rPr>
      <w:t>:</w:t>
    </w:r>
    <w:r w:rsidRPr="005D7586">
      <w:rPr>
        <w:rStyle w:val="SidhuvudUtskott"/>
      </w:rPr>
      <w:fldChar w:fldCharType="begin" w:fldLock="1"/>
    </w:r>
    <w:r w:rsidRPr="005D7586">
      <w:rPr>
        <w:rStyle w:val="SidhuvudUtskott"/>
      </w:rPr>
      <w:instrText xml:space="preserve"> DOCPROPERTY</w:instrText>
    </w:r>
    <w:r w:rsidRPr="005D7586">
      <w:instrText xml:space="preserve"> </w:instrText>
    </w:r>
    <w:r w:rsidRPr="005D7586">
      <w:rPr>
        <w:rStyle w:val="SidhuvudUtskott"/>
      </w:rPr>
      <w:instrText>Utskott</w:instrText>
    </w:r>
    <w:r w:rsidRPr="005D7586">
      <w:rPr>
        <w:rStyle w:val="SidhuvudUtskott"/>
      </w:rPr>
      <w:fldChar w:fldCharType="separate"/>
    </w:r>
    <w:r w:rsidRPr="005D7586">
      <w:rPr>
        <w:rStyle w:val="SidhuvudUtskott"/>
      </w:rPr>
      <w:t>UU</w: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w:instrText>
    </w:r>
    <w:r w:rsidRPr="005D7586">
      <w:rPr>
        <w:rStyle w:val="SidhuvudUtskott"/>
      </w:rPr>
      <w:instrText>n</w:instrText>
    </w:r>
    <w:r w:rsidRPr="005D7586">
      <w:rPr>
        <w:rStyle w:val="SidhuvudUtskott"/>
      </w:rPr>
      <w:instrText>kandeNr</w:instrText>
    </w:r>
    <w:r w:rsidRPr="005D7586">
      <w:rPr>
        <w:rStyle w:val="SidhuvudUtskott"/>
      </w:rPr>
      <w:fldChar w:fldCharType="separate"/>
    </w:r>
    <w:r w:rsidRPr="005D7586">
      <w:rPr>
        <w:rStyle w:val="SidhuvudUtskott"/>
      </w:rPr>
      <w:t>1y</w:t>
    </w:r>
    <w:r w:rsidRPr="005D7586">
      <w:rPr>
        <w:rStyle w:val="SidhuvudUtskott"/>
      </w:rPr>
      <w:fldChar w:fldCharType="end"/>
    </w:r>
  </w:p>
  <w:p w:rsidR="00021365" w:rsidRPr="005D7586" w:rsidRDefault="00021365">
    <w:pPr>
      <w:pStyle w:val="SidhuvudKantUdda"/>
      <w:framePr w:w="8732" w:h="567" w:hRule="exact" w:vSpace="0" w:wrap="around" w:vAnchor="page" w:y="341" w:anchorLock="0"/>
    </w:pPr>
    <w:r w:rsidRPr="005D7586">
      <w:rPr>
        <w:rStyle w:val="SidhuvudUtskott"/>
      </w:rPr>
      <w:fldChar w:fldCharType="begin" w:fldLock="1"/>
    </w:r>
    <w:r w:rsidRPr="005D7586">
      <w:rPr>
        <w:rStyle w:val="SidhuvudUtskott"/>
      </w:rPr>
      <w:instrText xml:space="preserve"> if </w:instrText>
    </w:r>
    <w:r w:rsidRPr="005D7586">
      <w:rPr>
        <w:rStyle w:val="SidhuvudUtskott"/>
      </w:rPr>
      <w:fldChar w:fldCharType="begin" w:fldLock="1"/>
    </w:r>
    <w:r w:rsidRPr="005D7586">
      <w:rPr>
        <w:rStyle w:val="SidhuvudUtskott"/>
      </w:rPr>
      <w:instrText xml:space="preserve"> DOCPROPERTY "UtkastDatum"</w:instrText>
    </w:r>
    <w:r w:rsidRPr="005D7586">
      <w:rPr>
        <w:rStyle w:val="SidhuvudUtskott"/>
      </w:rPr>
      <w:fldChar w:fldCharType="separate"/>
    </w:r>
    <w:r w:rsidRPr="005D7586">
      <w:rPr>
        <w:rStyle w:val="SidhuvudUtskott"/>
      </w:rPr>
      <w:instrText>Nej</w:instrText>
    </w:r>
    <w:r w:rsidRPr="005D7586">
      <w:rPr>
        <w:rStyle w:val="SidhuvudUtskott"/>
      </w:rPr>
      <w:fldChar w:fldCharType="end"/>
    </w:r>
    <w:r w:rsidRPr="005D7586">
      <w:rPr>
        <w:rStyle w:val="SidhuvudUtskott"/>
      </w:rPr>
      <w:instrText xml:space="preserve"> = "Ja" "</w:instrText>
    </w:r>
    <w:r w:rsidRPr="005D7586">
      <w:rPr>
        <w:rStyle w:val="SidhuvudUtskott"/>
      </w:rPr>
      <w:fldChar w:fldCharType="begin" w:fldLock="1"/>
    </w:r>
    <w:r w:rsidRPr="005D7586">
      <w:rPr>
        <w:rStyle w:val="SidhuvudUtskott"/>
      </w:rPr>
      <w:instrText xml:space="preserve"> PRINTDATE \@ "yyyy-MM-dd HH.mm    " </w:instrText>
    </w:r>
    <w:r w:rsidRPr="005D7586">
      <w:rPr>
        <w:rStyle w:val="SidhuvudUtskott"/>
      </w:rPr>
      <w:fldChar w:fldCharType="separate"/>
    </w:r>
    <w:r w:rsidRPr="005D7586">
      <w:rPr>
        <w:rStyle w:val="SidhuvudUtskott"/>
      </w:rPr>
      <w:instrText>2000-08-11 16.42</w:instrText>
    </w:r>
    <w:r w:rsidRPr="005D7586">
      <w:rPr>
        <w:rStyle w:val="SidhuvudUtskott"/>
      </w:rPr>
      <w:fldChar w:fldCharType="end"/>
    </w:r>
    <w:r w:rsidRPr="005D7586">
      <w:rPr>
        <w:rStyle w:val="SidhuvudUtskott"/>
      </w:rPr>
      <w:instrText xml:space="preserve">" </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w:instrText>
    </w:r>
    <w:r w:rsidRPr="005D7586">
      <w:rPr>
        <w:rStyle w:val="SidhuvudUtskott"/>
      </w:rPr>
      <w:instrText>O</w:instrText>
    </w:r>
    <w:r w:rsidRPr="005D7586">
      <w:rPr>
        <w:rStyle w:val="SidhuvudUtskott"/>
      </w:rPr>
      <w:instrText>PERTY Status</w:instrText>
    </w:r>
    <w:r w:rsidRPr="005D7586">
      <w:rPr>
        <w:rStyle w:val="SidhuvudUtskott"/>
      </w:rPr>
      <w:fldChar w:fldCharType="end"/>
    </w:r>
  </w:p>
  <w:p w:rsidR="00021365" w:rsidRPr="005D7586" w:rsidRDefault="0002136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365" w:rsidRPr="005D7586" w:rsidRDefault="00021365">
    <w:pPr>
      <w:pStyle w:val="SidhuvudKantJmn"/>
      <w:framePr w:w="8732" w:h="567" w:hRule="exact" w:vSpace="0" w:wrap="around" w:vAnchor="page" w:y="341" w:anchorLock="0"/>
    </w:pPr>
    <w:r w:rsidRPr="005D7586">
      <w:fldChar w:fldCharType="begin" w:fldLock="1"/>
    </w:r>
    <w:r w:rsidRPr="005D7586">
      <w:instrText xml:space="preserve"> if </w:instrText>
    </w:r>
    <w:r w:rsidRPr="005D7586">
      <w:fldChar w:fldCharType="begin" w:fldLock="1"/>
    </w:r>
    <w:r w:rsidRPr="005D7586">
      <w:instrText xml:space="preserve"> page</w:instrText>
    </w:r>
    <w:r w:rsidRPr="005D7586">
      <w:fldChar w:fldCharType="separate"/>
    </w:r>
    <w:r w:rsidRPr="005D7586">
      <w:instrText>10</w:instrText>
    </w:r>
    <w:r w:rsidRPr="005D7586">
      <w:fldChar w:fldCharType="end"/>
    </w:r>
    <w:r w:rsidRPr="005D7586">
      <w:instrText xml:space="preserve"> &gt; 1 "</w:instrText>
    </w:r>
    <w:r w:rsidRPr="005D7586">
      <w:fldChar w:fldCharType="begin" w:fldLock="1"/>
    </w:r>
    <w:r w:rsidRPr="005D7586">
      <w:instrText xml:space="preserve"> if </w:instrText>
    </w:r>
    <w:r w:rsidRPr="005D7586">
      <w:fldChar w:fldCharType="begin" w:fldLock="1"/>
    </w:r>
    <w:r w:rsidRPr="005D7586">
      <w:instrText xml:space="preserve"> = </w:instrText>
    </w:r>
    <w:r w:rsidRPr="005D7586">
      <w:fldChar w:fldCharType="begin" w:fldLock="1"/>
    </w:r>
    <w:r w:rsidRPr="005D7586">
      <w:instrText xml:space="preserve"> = </w:instrText>
    </w:r>
    <w:r w:rsidRPr="005D7586">
      <w:fldChar w:fldCharType="begin" w:fldLock="1"/>
    </w:r>
    <w:r w:rsidRPr="005D7586">
      <w:instrText xml:space="preserve"> page</w:instrText>
    </w:r>
    <w:r w:rsidRPr="005D7586">
      <w:fldChar w:fldCharType="separate"/>
    </w:r>
    <w:r w:rsidRPr="005D7586">
      <w:instrText>10</w:instrText>
    </w:r>
    <w:r w:rsidRPr="005D7586">
      <w:fldChar w:fldCharType="end"/>
    </w:r>
    <w:r w:rsidRPr="005D7586">
      <w:instrText xml:space="preserve">/2 </w:instrText>
    </w:r>
    <w:r w:rsidRPr="005D7586">
      <w:fldChar w:fldCharType="separate"/>
    </w:r>
    <w:r w:rsidRPr="005D7586">
      <w:instrText>5</w:instrText>
    </w:r>
    <w:r w:rsidRPr="005D7586">
      <w:fldChar w:fldCharType="end"/>
    </w:r>
    <w:r w:rsidRPr="005D7586">
      <w:instrText xml:space="preserve"> - </w:instrText>
    </w:r>
    <w:r w:rsidRPr="005D7586">
      <w:fldChar w:fldCharType="begin" w:fldLock="1"/>
    </w:r>
    <w:r w:rsidRPr="005D7586">
      <w:instrText xml:space="preserve"> = int(</w:instrText>
    </w:r>
    <w:r w:rsidRPr="005D7586">
      <w:fldChar w:fldCharType="begin" w:fldLock="1"/>
    </w:r>
    <w:r w:rsidRPr="005D7586">
      <w:instrText xml:space="preserve"> page</w:instrText>
    </w:r>
    <w:r w:rsidRPr="005D7586">
      <w:fldChar w:fldCharType="separate"/>
    </w:r>
    <w:r w:rsidRPr="005D7586">
      <w:instrText>10</w:instrText>
    </w:r>
    <w:r w:rsidRPr="005D7586">
      <w:fldChar w:fldCharType="end"/>
    </w:r>
    <w:r w:rsidRPr="005D7586">
      <w:instrText xml:space="preserve">/2) </w:instrText>
    </w:r>
    <w:r w:rsidRPr="005D7586">
      <w:fldChar w:fldCharType="separate"/>
    </w:r>
    <w:r w:rsidRPr="005D7586">
      <w:instrText>5</w:instrText>
    </w:r>
    <w:r w:rsidRPr="005D7586">
      <w:fldChar w:fldCharType="end"/>
    </w:r>
    <w:r w:rsidRPr="005D7586">
      <w:fldChar w:fldCharType="separate"/>
    </w:r>
    <w:r w:rsidRPr="005D7586">
      <w:instrText>0</w:instrText>
    </w:r>
    <w:r w:rsidRPr="005D7586">
      <w:fldChar w:fldCharType="end"/>
    </w:r>
    <w:r w:rsidRPr="005D7586">
      <w:instrText xml:space="preserve"> = 0 "</w:instrText>
    </w: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instrText>2001/02</w:instrText>
    </w:r>
    <w:r w:rsidRPr="005D7586">
      <w:rPr>
        <w:rStyle w:val="SidhuvudUtskott"/>
      </w:rPr>
      <w:fldChar w:fldCharType="end"/>
    </w:r>
    <w:r w:rsidRPr="005D7586">
      <w:rPr>
        <w:rStyle w:val="SidhuvudUtskott"/>
      </w:rPr>
      <w:instrText>:</w:instrText>
    </w:r>
    <w:r w:rsidRPr="005D7586">
      <w:rPr>
        <w:rStyle w:val="SidhuvudUtskott"/>
      </w:rPr>
      <w:fldChar w:fldCharType="begin" w:fldLock="1"/>
    </w:r>
    <w:r w:rsidRPr="005D7586">
      <w:rPr>
        <w:rStyle w:val="SidhuvudUtskott"/>
      </w:rPr>
      <w:instrText xml:space="preserve"> DOCPR</w:instrText>
    </w:r>
    <w:r w:rsidRPr="005D7586">
      <w:rPr>
        <w:rStyle w:val="SidhuvudUtskott"/>
      </w:rPr>
      <w:instrText>O</w:instrText>
    </w:r>
    <w:r w:rsidRPr="005D7586">
      <w:rPr>
        <w:rStyle w:val="SidhuvudUtskott"/>
      </w:rPr>
      <w:instrText>PE</w:instrText>
    </w:r>
    <w:r w:rsidRPr="005D7586">
      <w:rPr>
        <w:rStyle w:val="SidhuvudUtskott"/>
      </w:rPr>
      <w:instrText>R</w:instrText>
    </w:r>
    <w:r w:rsidRPr="005D7586">
      <w:rPr>
        <w:rStyle w:val="SidhuvudUtskott"/>
      </w:rPr>
      <w:instrText>TY Utskott</w:instrText>
    </w:r>
    <w:r w:rsidRPr="005D7586">
      <w:rPr>
        <w:rStyle w:val="SidhuvudUtskott"/>
      </w:rPr>
      <w:fldChar w:fldCharType="separate"/>
    </w:r>
    <w:r w:rsidRPr="005D7586">
      <w:rPr>
        <w:rStyle w:val="SidhuvudUtskott"/>
      </w:rPr>
      <w:instrText>UU</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BetänkandeNr</w:instrText>
    </w:r>
    <w:r w:rsidRPr="005D7586">
      <w:rPr>
        <w:rStyle w:val="SidhuvudUtskott"/>
      </w:rPr>
      <w:fldChar w:fldCharType="separate"/>
    </w:r>
    <w:r w:rsidRPr="005D7586">
      <w:rPr>
        <w:rStyle w:val="SidhuvudUtskott"/>
      </w:rPr>
      <w:instrText>1y</w:instrText>
    </w:r>
    <w:r w:rsidRPr="005D7586">
      <w:rPr>
        <w:rStyle w:val="SidhuvudUtskott"/>
      </w:rPr>
      <w:fldChar w:fldCharType="end"/>
    </w:r>
    <w:r w:rsidRPr="005D7586">
      <w:instrText xml:space="preserve">    </w:instrText>
    </w:r>
  </w:p>
  <w:p w:rsidR="00021365" w:rsidRPr="005D7586" w:rsidRDefault="00021365">
    <w:pPr>
      <w:pStyle w:val="SidhuvudKantJmn"/>
      <w:framePr w:w="8732" w:h="567" w:hRule="exact" w:vSpace="0" w:wrap="around" w:vAnchor="page" w:y="341" w:anchorLock="0"/>
    </w:pPr>
    <w:r w:rsidRPr="005D7586">
      <w:rPr>
        <w:rStyle w:val="SidhuvudUtskott"/>
      </w:rPr>
      <w:fldChar w:fldCharType="begin" w:fldLock="1"/>
    </w:r>
    <w:r w:rsidRPr="005D7586">
      <w:rPr>
        <w:rStyle w:val="SidhuvudUtskott"/>
      </w:rPr>
      <w:instrText xml:space="preserve"> DOCPROPERTY Status</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if </w:instrText>
    </w:r>
    <w:r w:rsidRPr="005D7586">
      <w:rPr>
        <w:rStyle w:val="SidhuvudUtskott"/>
      </w:rPr>
      <w:fldChar w:fldCharType="begin" w:fldLock="1"/>
    </w:r>
    <w:r w:rsidRPr="005D7586">
      <w:rPr>
        <w:rStyle w:val="SidhuvudUtskott"/>
      </w:rPr>
      <w:instrText xml:space="preserve"> DOCPROPERTY "UtkastDatum"</w:instrText>
    </w:r>
    <w:r w:rsidRPr="005D7586">
      <w:rPr>
        <w:rStyle w:val="SidhuvudUtskott"/>
      </w:rPr>
      <w:fldChar w:fldCharType="separate"/>
    </w:r>
    <w:r w:rsidRPr="005D7586">
      <w:rPr>
        <w:rStyle w:val="SidhuvudUtskott"/>
      </w:rPr>
      <w:instrText>Nej</w:instrText>
    </w:r>
    <w:r w:rsidRPr="005D7586">
      <w:rPr>
        <w:rStyle w:val="SidhuvudUtskott"/>
      </w:rPr>
      <w:fldChar w:fldCharType="end"/>
    </w:r>
    <w:r w:rsidRPr="005D7586">
      <w:rPr>
        <w:rStyle w:val="SidhuvudUtskott"/>
      </w:rPr>
      <w:instrText xml:space="preserve"> = "Ja" "    </w:instrText>
    </w:r>
    <w:r w:rsidRPr="005D7586">
      <w:rPr>
        <w:rStyle w:val="SidhuvudUtskott"/>
      </w:rPr>
      <w:fldChar w:fldCharType="begin" w:fldLock="1"/>
    </w:r>
    <w:r w:rsidRPr="005D7586">
      <w:rPr>
        <w:rStyle w:val="SidhuvudUtskott"/>
      </w:rPr>
      <w:instrText xml:space="preserve"> PRINTDATE \@ "yyyy-MM-dd HH.mm" </w:instrText>
    </w:r>
    <w:r w:rsidRPr="005D7586">
      <w:rPr>
        <w:rStyle w:val="SidhuvudUtskott"/>
      </w:rPr>
      <w:fldChar w:fldCharType="separate"/>
    </w:r>
    <w:r w:rsidRPr="005D7586">
      <w:rPr>
        <w:rStyle w:val="SidhuvudUtskott"/>
      </w:rPr>
      <w:instrText>2000-08-11 16.42</w:instrText>
    </w:r>
    <w:r w:rsidRPr="005D7586">
      <w:rPr>
        <w:rStyle w:val="SidhuvudUtskott"/>
      </w:rPr>
      <w:fldChar w:fldCharType="end"/>
    </w:r>
    <w:r w:rsidRPr="005D7586">
      <w:rPr>
        <w:rStyle w:val="SidhuvudUtskott"/>
      </w:rPr>
      <w:instrText xml:space="preserve">" </w:instrText>
    </w:r>
    <w:r w:rsidRPr="005D7586">
      <w:rPr>
        <w:rStyle w:val="SidhuvudUtskott"/>
      </w:rPr>
      <w:fldChar w:fldCharType="end"/>
    </w:r>
  </w:p>
  <w:p w:rsidR="00021365" w:rsidRPr="005D7586" w:rsidRDefault="00021365">
    <w:pPr>
      <w:pStyle w:val="SidhuvudKantUdda"/>
      <w:framePr w:w="8732" w:h="567" w:hRule="exact" w:vSpace="0" w:wrap="around" w:vAnchor="page" w:y="341" w:anchorLock="0"/>
    </w:pPr>
    <w:r w:rsidRPr="005D7586">
      <w:rPr>
        <w:rStyle w:val="SidhuvudRubrikReferens"/>
        <w:smallCaps w:val="0"/>
        <w:spacing w:val="0"/>
        <w:sz w:val="19"/>
      </w:rPr>
      <w:instrText xml:space="preserve"> </w:instrText>
    </w:r>
    <w:r w:rsidRPr="005D7586">
      <w:instrText xml:space="preserve">"  "  </w:instrText>
    </w: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instrText>2001/02</w:instrText>
    </w:r>
    <w:r w:rsidRPr="005D7586">
      <w:rPr>
        <w:rStyle w:val="SidhuvudUtskott"/>
      </w:rPr>
      <w:fldChar w:fldCharType="end"/>
    </w:r>
    <w:r w:rsidRPr="005D7586">
      <w:rPr>
        <w:rStyle w:val="SidhuvudUtskott"/>
      </w:rPr>
      <w:instrText>:</w:instrText>
    </w:r>
    <w:r w:rsidRPr="005D7586">
      <w:rPr>
        <w:rStyle w:val="SidhuvudUtskott"/>
      </w:rPr>
      <w:fldChar w:fldCharType="begin" w:fldLock="1"/>
    </w:r>
    <w:r w:rsidRPr="005D7586">
      <w:rPr>
        <w:rStyle w:val="SidhuvudUtskott"/>
      </w:rPr>
      <w:instrText xml:space="preserve"> DOCPROPERTY Utskott</w:instrText>
    </w:r>
    <w:r w:rsidRPr="005D7586">
      <w:rPr>
        <w:rStyle w:val="SidhuvudUtskott"/>
      </w:rPr>
      <w:fldChar w:fldCharType="separate"/>
    </w:r>
    <w:r w:rsidRPr="005D7586">
      <w:rPr>
        <w:rStyle w:val="SidhuvudUtskott"/>
      </w:rPr>
      <w:instrText>UU</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BetänkandeNr</w:instrText>
    </w:r>
    <w:r w:rsidRPr="005D7586">
      <w:rPr>
        <w:rStyle w:val="SidhuvudUtskott"/>
      </w:rPr>
      <w:fldChar w:fldCharType="separate"/>
    </w:r>
    <w:r w:rsidRPr="005D7586">
      <w:rPr>
        <w:rStyle w:val="SidhuvudUtskott"/>
      </w:rPr>
      <w:instrText>1y</w:instrText>
    </w:r>
    <w:r w:rsidRPr="005D7586">
      <w:rPr>
        <w:rStyle w:val="SidhuvudUtskott"/>
      </w:rPr>
      <w:fldChar w:fldCharType="end"/>
    </w:r>
  </w:p>
  <w:p w:rsidR="00021365" w:rsidRPr="005D7586" w:rsidRDefault="00021365">
    <w:pPr>
      <w:pStyle w:val="SidhuvudKantJmn"/>
      <w:framePr w:w="8732" w:h="567" w:hRule="exact" w:vSpace="0" w:wrap="around" w:vAnchor="page" w:y="341" w:anchorLock="0"/>
    </w:pPr>
    <w:r w:rsidRPr="005D7586">
      <w:rPr>
        <w:rStyle w:val="SidhuvudUtskott"/>
      </w:rPr>
      <w:fldChar w:fldCharType="begin" w:fldLock="1"/>
    </w:r>
    <w:r w:rsidRPr="005D7586">
      <w:rPr>
        <w:rStyle w:val="SidhuvudUtskott"/>
      </w:rPr>
      <w:instrText xml:space="preserve"> if </w:instrText>
    </w:r>
    <w:r w:rsidRPr="005D7586">
      <w:rPr>
        <w:rStyle w:val="SidhuvudUtskott"/>
      </w:rPr>
      <w:fldChar w:fldCharType="begin" w:fldLock="1"/>
    </w:r>
    <w:r w:rsidRPr="005D7586">
      <w:rPr>
        <w:rStyle w:val="SidhuvudUtskott"/>
      </w:rPr>
      <w:instrText xml:space="preserve"> DOCPROPERTY "UtkastDatum"</w:instrText>
    </w:r>
    <w:r w:rsidRPr="005D7586">
      <w:rPr>
        <w:rStyle w:val="SidhuvudUtskott"/>
      </w:rPr>
      <w:fldChar w:fldCharType="separate"/>
    </w:r>
    <w:r w:rsidRPr="005D7586">
      <w:rPr>
        <w:rStyle w:val="SidhuvudUtskott"/>
      </w:rPr>
      <w:instrText>Nej</w:instrText>
    </w:r>
    <w:r w:rsidRPr="005D7586">
      <w:rPr>
        <w:rStyle w:val="SidhuvudUtskott"/>
      </w:rPr>
      <w:fldChar w:fldCharType="end"/>
    </w:r>
    <w:r w:rsidRPr="005D7586">
      <w:rPr>
        <w:rStyle w:val="SidhuvudUtskott"/>
      </w:rPr>
      <w:instrText xml:space="preserve"> = "Ja" "</w:instrText>
    </w:r>
    <w:r w:rsidRPr="005D7586">
      <w:rPr>
        <w:rStyle w:val="SidhuvudUtskott"/>
      </w:rPr>
      <w:fldChar w:fldCharType="begin" w:fldLock="1"/>
    </w:r>
    <w:r w:rsidRPr="005D7586">
      <w:rPr>
        <w:rStyle w:val="SidhuvudUtskott"/>
      </w:rPr>
      <w:instrText xml:space="preserve"> PRINTDATE \@ "yyyy-MM-dd HH.mm    " </w:instrText>
    </w:r>
    <w:r w:rsidRPr="005D7586">
      <w:rPr>
        <w:rStyle w:val="SidhuvudUtskott"/>
      </w:rPr>
      <w:fldChar w:fldCharType="separate"/>
    </w:r>
    <w:r w:rsidRPr="005D7586">
      <w:rPr>
        <w:rStyle w:val="SidhuvudUtskott"/>
      </w:rPr>
      <w:instrText>2000-08-11 16.42</w:instrText>
    </w:r>
    <w:r w:rsidRPr="005D7586">
      <w:rPr>
        <w:rStyle w:val="SidhuvudUtskott"/>
      </w:rPr>
      <w:fldChar w:fldCharType="end"/>
    </w:r>
    <w:r w:rsidRPr="005D7586">
      <w:rPr>
        <w:rStyle w:val="SidhuvudUtskott"/>
      </w:rPr>
      <w:instrText xml:space="preserve">" </w:instrText>
    </w:r>
    <w:r w:rsidRPr="005D7586">
      <w:rPr>
        <w:rStyle w:val="SidhuvudUtskott"/>
      </w:rPr>
      <w:fldChar w:fldCharType="separate"/>
    </w:r>
    <w:r w:rsidRPr="005D7586">
      <w:rPr>
        <w:rStyle w:val="SidhuvudUtskott"/>
      </w:rPr>
      <w:fldChar w:fldCharType="end"/>
    </w:r>
    <w:r w:rsidRPr="005D7586">
      <w:rPr>
        <w:rStyle w:val="SidhuvudUtskott"/>
      </w:rPr>
      <w:fldChar w:fldCharType="begin" w:fldLock="1"/>
    </w:r>
    <w:r w:rsidRPr="005D7586">
      <w:rPr>
        <w:rStyle w:val="SidhuvudUtskott"/>
      </w:rPr>
      <w:instrText xml:space="preserve"> DOCPR</w:instrText>
    </w:r>
    <w:r w:rsidRPr="005D7586">
      <w:rPr>
        <w:rStyle w:val="SidhuvudUtskott"/>
      </w:rPr>
      <w:instrText>O</w:instrText>
    </w:r>
    <w:r w:rsidRPr="005D7586">
      <w:rPr>
        <w:rStyle w:val="SidhuvudUtskott"/>
      </w:rPr>
      <w:instrText>PERTY Status</w:instrText>
    </w:r>
    <w:r w:rsidRPr="005D7586">
      <w:rPr>
        <w:rStyle w:val="SidhuvudUtskott"/>
      </w:rPr>
      <w:fldChar w:fldCharType="end"/>
    </w:r>
    <w:r w:rsidRPr="005D7586">
      <w:instrText>"</w:instrText>
    </w:r>
    <w:r w:rsidRPr="005D7586">
      <w:fldChar w:fldCharType="separate"/>
    </w: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instrText>2001/02</w:instrText>
    </w:r>
    <w:r w:rsidRPr="005D7586">
      <w:rPr>
        <w:rStyle w:val="SidhuvudUtskott"/>
      </w:rPr>
      <w:fldChar w:fldCharType="end"/>
    </w:r>
    <w:r w:rsidRPr="005D7586">
      <w:rPr>
        <w:rStyle w:val="SidhuvudUtskott"/>
      </w:rPr>
      <w:instrText>:</w:instrText>
    </w:r>
    <w:r w:rsidRPr="005D7586">
      <w:rPr>
        <w:rStyle w:val="SidhuvudUtskott"/>
      </w:rPr>
      <w:fldChar w:fldCharType="begin" w:fldLock="1"/>
    </w:r>
    <w:r w:rsidRPr="005D7586">
      <w:rPr>
        <w:rStyle w:val="SidhuvudUtskott"/>
      </w:rPr>
      <w:instrText xml:space="preserve"> DOCPR</w:instrText>
    </w:r>
    <w:r w:rsidRPr="005D7586">
      <w:rPr>
        <w:rStyle w:val="SidhuvudUtskott"/>
      </w:rPr>
      <w:instrText>O</w:instrText>
    </w:r>
    <w:r w:rsidRPr="005D7586">
      <w:rPr>
        <w:rStyle w:val="SidhuvudUtskott"/>
      </w:rPr>
      <w:instrText>PE</w:instrText>
    </w:r>
    <w:r w:rsidRPr="005D7586">
      <w:rPr>
        <w:rStyle w:val="SidhuvudUtskott"/>
      </w:rPr>
      <w:instrText>R</w:instrText>
    </w:r>
    <w:r w:rsidRPr="005D7586">
      <w:rPr>
        <w:rStyle w:val="SidhuvudUtskott"/>
      </w:rPr>
      <w:instrText>TY Utskott</w:instrText>
    </w:r>
    <w:r w:rsidRPr="005D7586">
      <w:rPr>
        <w:rStyle w:val="SidhuvudUtskott"/>
      </w:rPr>
      <w:fldChar w:fldCharType="separate"/>
    </w:r>
    <w:r w:rsidRPr="005D7586">
      <w:rPr>
        <w:rStyle w:val="SidhuvudUtskott"/>
      </w:rPr>
      <w:instrText>UU</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BetänkandeNr</w:instrText>
    </w:r>
    <w:r w:rsidRPr="005D7586">
      <w:rPr>
        <w:rStyle w:val="SidhuvudUtskott"/>
      </w:rPr>
      <w:fldChar w:fldCharType="separate"/>
    </w:r>
    <w:r w:rsidRPr="005D7586">
      <w:rPr>
        <w:rStyle w:val="SidhuvudUtskott"/>
      </w:rPr>
      <w:instrText>1y</w:instrText>
    </w:r>
    <w:r w:rsidRPr="005D7586">
      <w:rPr>
        <w:rStyle w:val="SidhuvudUtskott"/>
      </w:rPr>
      <w:fldChar w:fldCharType="end"/>
    </w:r>
    <w:r w:rsidRPr="005D7586">
      <w:instrText xml:space="preserve">    </w:instrText>
    </w:r>
  </w:p>
  <w:p w:rsidR="00021365" w:rsidRPr="005D7586" w:rsidRDefault="00021365">
    <w:pPr>
      <w:pStyle w:val="SidhuvudKantJmn"/>
      <w:framePr w:w="8732" w:h="567" w:hRule="exact" w:vSpace="0" w:wrap="around" w:vAnchor="page" w:y="341" w:anchorLock="0"/>
    </w:pPr>
    <w:r w:rsidRPr="005D7586">
      <w:rPr>
        <w:rStyle w:val="SidhuvudUtskott"/>
      </w:rPr>
      <w:fldChar w:fldCharType="begin" w:fldLock="1"/>
    </w:r>
    <w:r w:rsidRPr="005D7586">
      <w:rPr>
        <w:rStyle w:val="SidhuvudUtskott"/>
      </w:rPr>
      <w:instrText xml:space="preserve"> DOCPROPERTY Status</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if </w:instrText>
    </w:r>
    <w:r w:rsidRPr="005D7586">
      <w:rPr>
        <w:rStyle w:val="SidhuvudUtskott"/>
      </w:rPr>
      <w:fldChar w:fldCharType="begin" w:fldLock="1"/>
    </w:r>
    <w:r w:rsidRPr="005D7586">
      <w:rPr>
        <w:rStyle w:val="SidhuvudUtskott"/>
      </w:rPr>
      <w:instrText xml:space="preserve"> DOCPROPERTY "UtkastDatum"</w:instrText>
    </w:r>
    <w:r w:rsidRPr="005D7586">
      <w:rPr>
        <w:rStyle w:val="SidhuvudUtskott"/>
      </w:rPr>
      <w:fldChar w:fldCharType="separate"/>
    </w:r>
    <w:r w:rsidRPr="005D7586">
      <w:rPr>
        <w:rStyle w:val="SidhuvudUtskott"/>
      </w:rPr>
      <w:instrText>Nej</w:instrText>
    </w:r>
    <w:r w:rsidRPr="005D7586">
      <w:rPr>
        <w:rStyle w:val="SidhuvudUtskott"/>
      </w:rPr>
      <w:fldChar w:fldCharType="end"/>
    </w:r>
    <w:r w:rsidRPr="005D7586">
      <w:rPr>
        <w:rStyle w:val="SidhuvudUtskott"/>
      </w:rPr>
      <w:instrText xml:space="preserve"> = "Ja" "    </w:instrText>
    </w:r>
    <w:r w:rsidRPr="005D7586">
      <w:rPr>
        <w:rStyle w:val="SidhuvudUtskott"/>
      </w:rPr>
      <w:fldChar w:fldCharType="begin" w:fldLock="1"/>
    </w:r>
    <w:r w:rsidRPr="005D7586">
      <w:rPr>
        <w:rStyle w:val="SidhuvudUtskott"/>
      </w:rPr>
      <w:instrText xml:space="preserve"> PRINTDATE \@ "yyyy-MM-dd HH.mm" </w:instrText>
    </w:r>
    <w:r w:rsidRPr="005D7586">
      <w:rPr>
        <w:rStyle w:val="SidhuvudUtskott"/>
      </w:rPr>
      <w:fldChar w:fldCharType="separate"/>
    </w:r>
    <w:r w:rsidRPr="005D7586">
      <w:rPr>
        <w:rStyle w:val="SidhuvudUtskott"/>
      </w:rPr>
      <w:instrText>2000-08-11 16.42</w:instrText>
    </w:r>
    <w:r w:rsidRPr="005D7586">
      <w:rPr>
        <w:rStyle w:val="SidhuvudUtskott"/>
      </w:rPr>
      <w:fldChar w:fldCharType="end"/>
    </w:r>
    <w:r w:rsidRPr="005D7586">
      <w:rPr>
        <w:rStyle w:val="SidhuvudUtskott"/>
      </w:rPr>
      <w:instrText xml:space="preserve">" </w:instrText>
    </w:r>
    <w:r w:rsidRPr="005D7586">
      <w:rPr>
        <w:rStyle w:val="SidhuvudUtskott"/>
      </w:rPr>
      <w:fldChar w:fldCharType="end"/>
    </w:r>
  </w:p>
  <w:p w:rsidR="00021365" w:rsidRPr="005D7586" w:rsidRDefault="00021365">
    <w:pPr>
      <w:pStyle w:val="SidhuvudKantJmn"/>
      <w:framePr w:w="8732" w:h="567" w:hRule="exact" w:vSpace="0" w:wrap="around" w:vAnchor="page" w:y="341" w:anchorLock="0"/>
    </w:pPr>
    <w:r w:rsidRPr="005D7586">
      <w:rPr>
        <w:rStyle w:val="SidhuvudRubrikReferens"/>
        <w:smallCaps w:val="0"/>
        <w:spacing w:val="0"/>
        <w:sz w:val="19"/>
      </w:rPr>
      <w:instrText xml:space="preserve"> </w:instrText>
    </w:r>
    <w:r w:rsidRPr="005D7586">
      <w:fldChar w:fldCharType="end"/>
    </w:r>
    <w:r w:rsidRPr="005D7586">
      <w:instrText>" " "</w:instrText>
    </w:r>
    <w:r w:rsidRPr="005D7586">
      <w:fldChar w:fldCharType="separate"/>
    </w:r>
    <w:r w:rsidRPr="005D7586">
      <w:rPr>
        <w:rStyle w:val="SidhuvudUtskott"/>
      </w:rPr>
      <w:fldChar w:fldCharType="begin" w:fldLock="1"/>
    </w:r>
    <w:r w:rsidRPr="005D7586">
      <w:rPr>
        <w:rStyle w:val="SidhuvudUtskott"/>
      </w:rPr>
      <w:instrText xml:space="preserve"> DOCPROPERTY BetänkandeÅr</w:instrText>
    </w:r>
    <w:r w:rsidRPr="005D7586">
      <w:rPr>
        <w:rStyle w:val="SidhuvudUtskott"/>
      </w:rPr>
      <w:fldChar w:fldCharType="separate"/>
    </w:r>
    <w:r w:rsidRPr="005D7586">
      <w:rPr>
        <w:rStyle w:val="SidhuvudUtskott"/>
      </w:rPr>
      <w:t>2001/02</w:t>
    </w:r>
    <w:r w:rsidRPr="005D7586">
      <w:rPr>
        <w:rStyle w:val="SidhuvudUtskott"/>
      </w:rPr>
      <w:fldChar w:fldCharType="end"/>
    </w:r>
    <w:r w:rsidRPr="005D7586">
      <w:rPr>
        <w:rStyle w:val="SidhuvudUtskott"/>
      </w:rPr>
      <w:t>:</w:t>
    </w:r>
    <w:r w:rsidRPr="005D7586">
      <w:rPr>
        <w:rStyle w:val="SidhuvudUtskott"/>
      </w:rPr>
      <w:fldChar w:fldCharType="begin" w:fldLock="1"/>
    </w:r>
    <w:r w:rsidRPr="005D7586">
      <w:rPr>
        <w:rStyle w:val="SidhuvudUtskott"/>
      </w:rPr>
      <w:instrText xml:space="preserve"> DOCPR</w:instrText>
    </w:r>
    <w:r w:rsidRPr="005D7586">
      <w:rPr>
        <w:rStyle w:val="SidhuvudUtskott"/>
      </w:rPr>
      <w:instrText>O</w:instrText>
    </w:r>
    <w:r w:rsidRPr="005D7586">
      <w:rPr>
        <w:rStyle w:val="SidhuvudUtskott"/>
      </w:rPr>
      <w:instrText>PE</w:instrText>
    </w:r>
    <w:r w:rsidRPr="005D7586">
      <w:rPr>
        <w:rStyle w:val="SidhuvudUtskott"/>
      </w:rPr>
      <w:instrText>R</w:instrText>
    </w:r>
    <w:r w:rsidRPr="005D7586">
      <w:rPr>
        <w:rStyle w:val="SidhuvudUtskott"/>
      </w:rPr>
      <w:instrText>TY Utskott</w:instrText>
    </w:r>
    <w:r w:rsidRPr="005D7586">
      <w:rPr>
        <w:rStyle w:val="SidhuvudUtskott"/>
      </w:rPr>
      <w:fldChar w:fldCharType="separate"/>
    </w:r>
    <w:r w:rsidRPr="005D7586">
      <w:rPr>
        <w:rStyle w:val="SidhuvudUtskott"/>
      </w:rPr>
      <w:t>UU</w:t>
    </w:r>
    <w:r w:rsidRPr="005D7586">
      <w:rPr>
        <w:rStyle w:val="SidhuvudUtskott"/>
      </w:rPr>
      <w:fldChar w:fldCharType="end"/>
    </w:r>
    <w:r w:rsidRPr="005D7586">
      <w:rPr>
        <w:rStyle w:val="SidhuvudUtskott"/>
      </w:rPr>
      <w:fldChar w:fldCharType="begin" w:fldLock="1"/>
    </w:r>
    <w:r w:rsidRPr="005D7586">
      <w:rPr>
        <w:rStyle w:val="SidhuvudUtskott"/>
      </w:rPr>
      <w:instrText xml:space="preserve"> DOCPROPERTY BetänkandeNr</w:instrText>
    </w:r>
    <w:r w:rsidRPr="005D7586">
      <w:rPr>
        <w:rStyle w:val="SidhuvudUtskott"/>
      </w:rPr>
      <w:fldChar w:fldCharType="separate"/>
    </w:r>
    <w:r w:rsidRPr="005D7586">
      <w:rPr>
        <w:rStyle w:val="SidhuvudUtskott"/>
      </w:rPr>
      <w:t>1y</w:t>
    </w:r>
    <w:r w:rsidRPr="005D7586">
      <w:rPr>
        <w:rStyle w:val="SidhuvudUtskott"/>
      </w:rPr>
      <w:fldChar w:fldCharType="end"/>
    </w:r>
    <w:r w:rsidRPr="005D7586">
      <w:t xml:space="preserve">    </w:t>
    </w:r>
  </w:p>
  <w:p w:rsidR="00021365" w:rsidRPr="005D7586" w:rsidRDefault="00021365">
    <w:pPr>
      <w:pStyle w:val="SidhuvudKantJmn"/>
      <w:framePr w:w="8732" w:h="567" w:hRule="exact" w:vSpace="0" w:wrap="around" w:vAnchor="page" w:y="341" w:anchorLock="0"/>
    </w:pPr>
    <w:r w:rsidRPr="005D7586">
      <w:rPr>
        <w:rStyle w:val="SidhuvudUtskott"/>
      </w:rPr>
      <w:fldChar w:fldCharType="begin" w:fldLock="1"/>
    </w:r>
    <w:r w:rsidRPr="005D7586">
      <w:rPr>
        <w:rStyle w:val="SidhuvudUtskott"/>
      </w:rPr>
      <w:instrText xml:space="preserve"> DOCPROPERTY Status</w:instrText>
    </w:r>
    <w:r w:rsidRPr="005D7586">
      <w:rPr>
        <w:rStyle w:val="SidhuvudUtskott"/>
      </w:rPr>
      <w:fldChar w:fldCharType="end"/>
    </w:r>
    <w:r w:rsidRPr="005D7586">
      <w:rPr>
        <w:rStyle w:val="SidhuvudUtskott"/>
      </w:rPr>
      <w:fldChar w:fldCharType="begin" w:fldLock="1"/>
    </w:r>
    <w:r w:rsidRPr="005D7586">
      <w:rPr>
        <w:rStyle w:val="SidhuvudUtskott"/>
      </w:rPr>
      <w:instrText xml:space="preserve"> if </w:instrText>
    </w:r>
    <w:r w:rsidRPr="005D7586">
      <w:rPr>
        <w:rStyle w:val="SidhuvudUtskott"/>
      </w:rPr>
      <w:fldChar w:fldCharType="begin" w:fldLock="1"/>
    </w:r>
    <w:r w:rsidRPr="005D7586">
      <w:rPr>
        <w:rStyle w:val="SidhuvudUtskott"/>
      </w:rPr>
      <w:instrText xml:space="preserve"> DOCPROPERTY "UtkastDatum"</w:instrText>
    </w:r>
    <w:r w:rsidRPr="005D7586">
      <w:rPr>
        <w:rStyle w:val="SidhuvudUtskott"/>
      </w:rPr>
      <w:fldChar w:fldCharType="separate"/>
    </w:r>
    <w:r w:rsidRPr="005D7586">
      <w:rPr>
        <w:rStyle w:val="SidhuvudUtskott"/>
      </w:rPr>
      <w:instrText>Nej</w:instrText>
    </w:r>
    <w:r w:rsidRPr="005D7586">
      <w:rPr>
        <w:rStyle w:val="SidhuvudUtskott"/>
      </w:rPr>
      <w:fldChar w:fldCharType="end"/>
    </w:r>
    <w:r w:rsidRPr="005D7586">
      <w:rPr>
        <w:rStyle w:val="SidhuvudUtskott"/>
      </w:rPr>
      <w:instrText xml:space="preserve"> = "Ja" "    </w:instrText>
    </w:r>
    <w:r w:rsidRPr="005D7586">
      <w:rPr>
        <w:rStyle w:val="SidhuvudUtskott"/>
      </w:rPr>
      <w:fldChar w:fldCharType="begin" w:fldLock="1"/>
    </w:r>
    <w:r w:rsidRPr="005D7586">
      <w:rPr>
        <w:rStyle w:val="SidhuvudUtskott"/>
      </w:rPr>
      <w:instrText xml:space="preserve"> PRINTDATE \@ "yyyy-MM-dd HH.mm" </w:instrText>
    </w:r>
    <w:r w:rsidRPr="005D7586">
      <w:rPr>
        <w:rStyle w:val="SidhuvudUtskott"/>
      </w:rPr>
      <w:fldChar w:fldCharType="separate"/>
    </w:r>
    <w:r w:rsidRPr="005D7586">
      <w:rPr>
        <w:rStyle w:val="SidhuvudUtskott"/>
      </w:rPr>
      <w:instrText>2000-08-11 16.42</w:instrText>
    </w:r>
    <w:r w:rsidRPr="005D7586">
      <w:rPr>
        <w:rStyle w:val="SidhuvudUtskott"/>
      </w:rPr>
      <w:fldChar w:fldCharType="end"/>
    </w:r>
    <w:r w:rsidRPr="005D7586">
      <w:rPr>
        <w:rStyle w:val="SidhuvudUtskott"/>
      </w:rPr>
      <w:instrText xml:space="preserve">" </w:instrText>
    </w:r>
    <w:r w:rsidRPr="005D7586">
      <w:rPr>
        <w:rStyle w:val="SidhuvudUtskott"/>
      </w:rPr>
      <w:fldChar w:fldCharType="end"/>
    </w:r>
  </w:p>
  <w:p w:rsidR="00021365" w:rsidRPr="005D7586" w:rsidRDefault="00021365">
    <w:pPr>
      <w:pStyle w:val="SidhuvudKantUdda"/>
      <w:framePr w:w="8732" w:h="567" w:hRule="exact" w:vSpace="0" w:wrap="around" w:vAnchor="page" w:y="341" w:anchorLock="0"/>
    </w:pPr>
    <w:r w:rsidRPr="005D7586">
      <w:rPr>
        <w:rStyle w:val="SidhuvudRubrikReferens"/>
        <w:smallCaps w:val="0"/>
        <w:spacing w:val="0"/>
        <w:sz w:val="19"/>
      </w:rPr>
      <w:t xml:space="preserve"> </w:t>
    </w:r>
    <w:r w:rsidRPr="005D7586">
      <w:fldChar w:fldCharType="end"/>
    </w:r>
  </w:p>
  <w:p w:rsidR="00021365" w:rsidRPr="005D7586" w:rsidRDefault="0002136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352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241686"/>
    <w:rsid w:val="00021365"/>
    <w:rsid w:val="00241686"/>
    <w:rsid w:val="005D75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A8851A-2D2E-4951-AF98-7E0FDC97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Rubrik3utannumrering">
    <w:name w:val="Rubrik 3 utan numrering"/>
    <w:basedOn w:val="Rubrik3"/>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rPr>
  </w:style>
  <w:style w:type="paragraph" w:customStyle="1" w:styleId="TabellUnderrubrik">
    <w:name w:val="Tabell Underrubrik"/>
    <w:basedOn w:val="Normal"/>
    <w:next w:val="Brdtext"/>
    <w:pPr>
      <w:overflowPunct w:val="0"/>
      <w:autoSpaceDE w:val="0"/>
      <w:autoSpaceDN w:val="0"/>
      <w:adjustRightInd w:val="0"/>
      <w:spacing w:before="0" w:after="120" w:line="200" w:lineRule="exact"/>
      <w:jc w:val="left"/>
      <w:textAlignment w:val="baseline"/>
    </w:pPr>
    <w:rPr>
      <w:rFonts w:ascii="TradeGothic" w:hAnsi="TradeGothic"/>
      <w:i/>
      <w:sz w:val="14"/>
    </w:rPr>
  </w:style>
  <w:style w:type="paragraph" w:styleId="Brdtext2">
    <w:name w:val="Body Text 2"/>
    <w:basedOn w:val="Normal"/>
    <w:semiHidden/>
    <w:rPr>
      <w:u w:val="single"/>
    </w:rPr>
  </w:style>
  <w:style w:type="paragraph" w:styleId="Brdtext3">
    <w:name w:val="Body Text 3"/>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2311</Words>
  <Characters>14470</Characters>
  <Application>Microsoft Office Word</Application>
  <DocSecurity>4</DocSecurity>
  <Lines>452</Lines>
  <Paragraphs>266</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Utrikesutskottets yttrande</vt:lpstr>
      <vt:lpstr/>
      <vt:lpstr>    Propositionen</vt:lpstr>
      <vt:lpstr>        Utgiftsområdena 5 och 7</vt:lpstr>
      <vt:lpstr>        Vissa garantifrågor</vt:lpstr>
      <vt:lpstr>        Revision av EU-medel</vt:lpstr>
      <vt:lpstr>    Motionerna</vt:lpstr>
      <vt:lpstr>    Utskottet</vt:lpstr>
      <vt:lpstr>        Anslagens fördelning mellan utgiftsområdena m.m.</vt:lpstr>
      <vt:lpstr>        Vissa garantifrågor</vt:lpstr>
      <vt:lpstr>        Revision av EU-medel</vt:lpstr>
      <vt:lpstr/>
      <vt:lpstr>    Utgiftsområde 5 Internationell samverkan</vt:lpstr>
      <vt:lpstr>    Utgiftsområde 7 Internationellt bistånd</vt:lpstr>
    </vt:vector>
  </TitlesOfParts>
  <Company>Riksdagen</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2001-11-06T14:01:00Z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