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E42EE">
        <w:tc>
          <w:tcPr>
            <w:tcW w:w="2268" w:type="dxa"/>
          </w:tcPr>
          <w:p w:rsidR="007E42EE" w:rsidRDefault="007E42EE">
            <w:pPr>
              <w:framePr w:w="4400" w:h="1644" w:wrap="notBeside" w:vAnchor="page" w:hAnchor="page" w:x="6573" w:y="721"/>
              <w:rPr>
                <w:rFonts w:ascii="TradeGothic" w:hAnsi="TradeGothic"/>
                <w:i/>
                <w:sz w:val="18"/>
              </w:rPr>
            </w:pPr>
          </w:p>
        </w:tc>
        <w:tc>
          <w:tcPr>
            <w:tcW w:w="2347" w:type="dxa"/>
            <w:gridSpan w:val="2"/>
          </w:tcPr>
          <w:p w:rsidR="007E42EE" w:rsidRDefault="007E42EE">
            <w:pPr>
              <w:framePr w:w="4400" w:h="1644" w:wrap="notBeside" w:vAnchor="page" w:hAnchor="page" w:x="6573" w:y="721"/>
              <w:rPr>
                <w:rFonts w:ascii="TradeGothic" w:hAnsi="TradeGothic"/>
                <w:i/>
                <w:sz w:val="18"/>
              </w:rPr>
            </w:pPr>
          </w:p>
        </w:tc>
      </w:tr>
      <w:tr w:rsidR="007E42EE">
        <w:tc>
          <w:tcPr>
            <w:tcW w:w="2268" w:type="dxa"/>
          </w:tcPr>
          <w:p w:rsidR="007E42EE" w:rsidRDefault="007E42EE">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7E42EE" w:rsidRDefault="007E42EE">
            <w:pPr>
              <w:framePr w:w="4400" w:h="1644" w:wrap="notBeside" w:vAnchor="page" w:hAnchor="page" w:x="6573" w:y="721"/>
              <w:rPr>
                <w:rFonts w:ascii="TradeGothic" w:hAnsi="TradeGothic"/>
                <w:b/>
              </w:rPr>
            </w:pPr>
          </w:p>
        </w:tc>
      </w:tr>
      <w:tr w:rsidR="007E42EE">
        <w:trPr>
          <w:trHeight w:val="343"/>
        </w:trPr>
        <w:tc>
          <w:tcPr>
            <w:tcW w:w="3402" w:type="dxa"/>
            <w:gridSpan w:val="2"/>
          </w:tcPr>
          <w:p w:rsidR="007E42EE" w:rsidRDefault="007E42EE">
            <w:pPr>
              <w:framePr w:w="4400" w:h="1644" w:wrap="notBeside" w:vAnchor="page" w:hAnchor="page" w:x="6573" w:y="721"/>
            </w:pPr>
          </w:p>
        </w:tc>
        <w:tc>
          <w:tcPr>
            <w:tcW w:w="1213" w:type="dxa"/>
          </w:tcPr>
          <w:p w:rsidR="007E42EE" w:rsidRDefault="007E42EE">
            <w:pPr>
              <w:framePr w:w="4400" w:h="1644" w:wrap="notBeside" w:vAnchor="page" w:hAnchor="page" w:x="6573" w:y="721"/>
            </w:pPr>
          </w:p>
        </w:tc>
      </w:tr>
      <w:tr w:rsidR="007E42EE">
        <w:tc>
          <w:tcPr>
            <w:tcW w:w="2268" w:type="dxa"/>
          </w:tcPr>
          <w:p w:rsidR="007E42EE" w:rsidRDefault="007E42EE">
            <w:pPr>
              <w:framePr w:w="4400" w:h="1644" w:wrap="notBeside" w:vAnchor="page" w:hAnchor="page" w:x="6573" w:y="721"/>
            </w:pPr>
            <w:r>
              <w:t>2012-10-18</w:t>
            </w:r>
          </w:p>
        </w:tc>
        <w:tc>
          <w:tcPr>
            <w:tcW w:w="2347" w:type="dxa"/>
            <w:gridSpan w:val="2"/>
          </w:tcPr>
          <w:p w:rsidR="007E42EE" w:rsidRDefault="007E42EE">
            <w:pPr>
              <w:framePr w:w="4400" w:h="1644" w:wrap="notBeside" w:vAnchor="page" w:hAnchor="page" w:x="6573" w:y="721"/>
            </w:pPr>
          </w:p>
        </w:tc>
      </w:tr>
      <w:tr w:rsidR="007E42EE">
        <w:tc>
          <w:tcPr>
            <w:tcW w:w="2268" w:type="dxa"/>
          </w:tcPr>
          <w:p w:rsidR="007E42EE" w:rsidRDefault="007E42EE">
            <w:pPr>
              <w:framePr w:w="4400" w:h="1644" w:wrap="notBeside" w:vAnchor="page" w:hAnchor="page" w:x="6573" w:y="721"/>
            </w:pPr>
          </w:p>
        </w:tc>
        <w:tc>
          <w:tcPr>
            <w:tcW w:w="2347" w:type="dxa"/>
            <w:gridSpan w:val="2"/>
          </w:tcPr>
          <w:p w:rsidR="007E42EE" w:rsidRDefault="007E42EE">
            <w:pPr>
              <w:framePr w:w="4400" w:h="1644" w:wrap="notBeside" w:vAnchor="page" w:hAnchor="page" w:x="6573" w:y="721"/>
            </w:pPr>
          </w:p>
        </w:tc>
      </w:tr>
    </w:tbl>
    <w:tbl>
      <w:tblPr>
        <w:tblW w:w="0" w:type="auto"/>
        <w:tblLayout w:type="fixed"/>
        <w:tblLook w:val="0000"/>
      </w:tblPr>
      <w:tblGrid>
        <w:gridCol w:w="4911"/>
      </w:tblGrid>
      <w:tr w:rsidR="007E42EE">
        <w:trPr>
          <w:trHeight w:val="2400"/>
        </w:trPr>
        <w:tc>
          <w:tcPr>
            <w:tcW w:w="4911" w:type="dxa"/>
          </w:tcPr>
          <w:p w:rsidR="007E42EE" w:rsidRDefault="007E42EE">
            <w:pPr>
              <w:pStyle w:val="Avsndare"/>
              <w:framePr w:h="2483" w:wrap="notBeside" w:x="1504"/>
              <w:rPr>
                <w:b/>
                <w:i w:val="0"/>
                <w:sz w:val="22"/>
              </w:rPr>
            </w:pPr>
            <w:r>
              <w:rPr>
                <w:b/>
                <w:i w:val="0"/>
                <w:sz w:val="22"/>
              </w:rPr>
              <w:t>Statsrådsberedningen</w:t>
            </w:r>
          </w:p>
          <w:p w:rsidR="007E42EE" w:rsidRDefault="007E42EE">
            <w:pPr>
              <w:pStyle w:val="Avsndare"/>
              <w:framePr w:h="2483" w:wrap="notBeside" w:x="1504"/>
            </w:pPr>
          </w:p>
          <w:p w:rsidR="007E42EE" w:rsidRDefault="007E42EE">
            <w:pPr>
              <w:pStyle w:val="Avsndare"/>
              <w:framePr w:h="2483" w:wrap="notBeside" w:x="1504"/>
            </w:pPr>
            <w:r>
              <w:t>EU-kansliet</w:t>
            </w:r>
          </w:p>
          <w:p w:rsidR="007E42EE" w:rsidRDefault="007E42EE">
            <w:pPr>
              <w:pStyle w:val="Avsndare"/>
              <w:framePr w:h="2483" w:wrap="notBeside" w:x="1504"/>
            </w:pPr>
          </w:p>
          <w:p w:rsidR="007E42EE" w:rsidRDefault="007E42EE">
            <w:pPr>
              <w:pStyle w:val="Avsndare"/>
              <w:framePr w:h="2483" w:wrap="notBeside" w:x="1504"/>
            </w:pPr>
          </w:p>
          <w:p w:rsidR="007E42EE" w:rsidRDefault="007E42EE">
            <w:pPr>
              <w:pStyle w:val="Avsndare"/>
              <w:framePr w:h="2483" w:wrap="notBeside" w:x="1504"/>
            </w:pPr>
          </w:p>
          <w:p w:rsidR="007E42EE" w:rsidRDefault="007E42EE">
            <w:pPr>
              <w:pStyle w:val="Avsndare"/>
              <w:framePr w:h="2483" w:wrap="notBeside" w:x="1504"/>
              <w:rPr>
                <w:b/>
                <w:i w:val="0"/>
                <w:sz w:val="22"/>
              </w:rPr>
            </w:pPr>
          </w:p>
        </w:tc>
      </w:tr>
    </w:tbl>
    <w:p w:rsidR="007E42EE" w:rsidRDefault="007E42EE">
      <w:pPr>
        <w:framePr w:w="4400" w:h="2523" w:wrap="notBeside" w:vAnchor="page" w:hAnchor="page" w:x="6453" w:y="2445"/>
        <w:ind w:left="142"/>
      </w:pPr>
    </w:p>
    <w:p w:rsidR="007E42EE" w:rsidRDefault="007E42EE" w:rsidP="00190553">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vecka 42.</w:t>
      </w: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bookmarkEnd w:id="0"/>
      <w:bookmarkEnd w:id="1"/>
    </w:p>
    <w:p w:rsidR="007E42EE" w:rsidRDefault="007E42EE" w:rsidP="00190553">
      <w:pPr>
        <w:pStyle w:val="BodyText"/>
      </w:pPr>
    </w:p>
    <w:p w:rsidR="007E42EE" w:rsidRDefault="007E42EE" w:rsidP="00190553">
      <w:pPr>
        <w:pStyle w:val="BodyText"/>
      </w:pPr>
      <w:r>
        <w:t xml:space="preserve">Översänds för skriftligt samråd vecka 42 till fredagen den 19 oktober, </w:t>
      </w:r>
    </w:p>
    <w:p w:rsidR="007E42EE" w:rsidRDefault="007E42EE" w:rsidP="00190553">
      <w:pPr>
        <w:pStyle w:val="BodyText"/>
      </w:pPr>
      <w:r>
        <w:t>kl 14.00.</w:t>
      </w:r>
    </w:p>
    <w:p w:rsidR="007E42EE" w:rsidRDefault="007E42EE">
      <w:pPr>
        <w:spacing w:line="240" w:lineRule="auto"/>
        <w:rPr>
          <w:rFonts w:ascii="Garamond" w:hAnsi="Garamond"/>
        </w:rPr>
      </w:pPr>
      <w:r>
        <w:br w:type="page"/>
      </w:r>
    </w:p>
    <w:p w:rsidR="007E42EE" w:rsidRPr="00190553" w:rsidRDefault="007E42EE" w:rsidP="00190553">
      <w:pPr>
        <w:pStyle w:val="BodyText"/>
      </w:pPr>
    </w:p>
    <w:bookmarkStart w:id="16" w:name="_GoBack"/>
    <w:bookmarkEnd w:id="16"/>
    <w:p w:rsidR="007E42EE" w:rsidRDefault="007E42E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8332581" w:history="1">
        <w:r w:rsidRPr="00D97CFD">
          <w:rPr>
            <w:rStyle w:val="Hyperlink"/>
            <w:noProof/>
          </w:rPr>
          <w:t>Frågor som lösts i förberedande instanser</w:t>
        </w:r>
        <w:r>
          <w:rPr>
            <w:noProof/>
            <w:webHidden/>
          </w:rPr>
          <w:tab/>
        </w:r>
        <w:r>
          <w:rPr>
            <w:noProof/>
            <w:webHidden/>
          </w:rPr>
          <w:fldChar w:fldCharType="begin"/>
        </w:r>
        <w:r>
          <w:rPr>
            <w:noProof/>
            <w:webHidden/>
          </w:rPr>
          <w:instrText xml:space="preserve"> PAGEREF _Toc338332581 \h </w:instrText>
        </w:r>
        <w:r>
          <w:rPr>
            <w:noProof/>
            <w:webHidden/>
          </w:rPr>
        </w:r>
        <w:r>
          <w:rPr>
            <w:noProof/>
            <w:webHidden/>
          </w:rPr>
          <w:fldChar w:fldCharType="separate"/>
        </w:r>
        <w:r>
          <w:rPr>
            <w:noProof/>
            <w:webHidden/>
          </w:rPr>
          <w:t>4</w:t>
        </w:r>
        <w:r>
          <w:rPr>
            <w:noProof/>
            <w:webHidden/>
          </w:rPr>
          <w:fldChar w:fldCharType="end"/>
        </w:r>
      </w:hyperlink>
    </w:p>
    <w:p w:rsidR="007E42EE" w:rsidRDefault="007E42EE">
      <w:pPr>
        <w:pStyle w:val="TOC1"/>
        <w:tabs>
          <w:tab w:val="right" w:leader="dot" w:pos="7644"/>
        </w:tabs>
        <w:rPr>
          <w:rFonts w:ascii="Calibri" w:hAnsi="Calibri"/>
          <w:b w:val="0"/>
          <w:bCs w:val="0"/>
          <w:caps w:val="0"/>
          <w:noProof/>
          <w:sz w:val="22"/>
          <w:szCs w:val="22"/>
          <w:lang w:eastAsia="sv-SE"/>
        </w:rPr>
      </w:pPr>
      <w:hyperlink w:anchor="_Toc338332582" w:history="1">
        <w:r w:rsidRPr="00D97CFD">
          <w:rPr>
            <w:rStyle w:val="Hyperlink"/>
            <w:noProof/>
          </w:rPr>
          <w:t>Troliga A-punkter inför kommande rådsmöten som godkändes vid Coreper I 17 oktober 2012.</w:t>
        </w:r>
        <w:r>
          <w:rPr>
            <w:noProof/>
            <w:webHidden/>
          </w:rPr>
          <w:tab/>
        </w:r>
        <w:r>
          <w:rPr>
            <w:noProof/>
            <w:webHidden/>
          </w:rPr>
          <w:fldChar w:fldCharType="begin"/>
        </w:r>
        <w:r>
          <w:rPr>
            <w:noProof/>
            <w:webHidden/>
          </w:rPr>
          <w:instrText xml:space="preserve"> PAGEREF _Toc338332582 \h </w:instrText>
        </w:r>
        <w:r>
          <w:rPr>
            <w:noProof/>
            <w:webHidden/>
          </w:rPr>
        </w:r>
        <w:r>
          <w:rPr>
            <w:noProof/>
            <w:webHidden/>
          </w:rPr>
          <w:fldChar w:fldCharType="separate"/>
        </w:r>
        <w:r>
          <w:rPr>
            <w:noProof/>
            <w:webHidden/>
          </w:rPr>
          <w:t>4</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3" w:history="1">
        <w:r w:rsidRPr="00D97CFD">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_Toc338332583 \h </w:instrText>
        </w:r>
        <w:r>
          <w:rPr>
            <w:noProof/>
            <w:webHidden/>
          </w:rPr>
        </w:r>
        <w:r>
          <w:rPr>
            <w:noProof/>
            <w:webHidden/>
          </w:rPr>
          <w:fldChar w:fldCharType="separate"/>
        </w:r>
        <w:r>
          <w:rPr>
            <w:noProof/>
            <w:webHidden/>
          </w:rPr>
          <w:t>4</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4" w:history="1">
        <w:r w:rsidRPr="00D97CFD">
          <w:rPr>
            <w:rStyle w:val="Hyperlink"/>
            <w:noProof/>
          </w:rPr>
          <w:t>2. Case before the Court of Justice Case T-335/12 (T&amp;L Sugars Ltd and Sidul Açúcares Unipessoal Lda against European Commission) (Council intervention before the General Court in support of the Commission) = Information for the Permanent Representatives Committee (Part 1)</w:t>
        </w:r>
        <w:r>
          <w:rPr>
            <w:noProof/>
            <w:webHidden/>
          </w:rPr>
          <w:tab/>
        </w:r>
        <w:r>
          <w:rPr>
            <w:noProof/>
            <w:webHidden/>
          </w:rPr>
          <w:fldChar w:fldCharType="begin"/>
        </w:r>
        <w:r>
          <w:rPr>
            <w:noProof/>
            <w:webHidden/>
          </w:rPr>
          <w:instrText xml:space="preserve"> PAGEREF _Toc338332584 \h </w:instrText>
        </w:r>
        <w:r>
          <w:rPr>
            <w:noProof/>
            <w:webHidden/>
          </w:rPr>
        </w:r>
        <w:r>
          <w:rPr>
            <w:noProof/>
            <w:webHidden/>
          </w:rPr>
          <w:fldChar w:fldCharType="separate"/>
        </w:r>
        <w:r>
          <w:rPr>
            <w:noProof/>
            <w:webHidden/>
          </w:rPr>
          <w:t>4</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5" w:history="1">
        <w:r w:rsidRPr="00D97CFD">
          <w:rPr>
            <w:rStyle w:val="Hyperlink"/>
            <w:noProof/>
          </w:rPr>
          <w:t>3. Case before the Court of Justice of the European Union Case C-397/12 P (Transports Schiocchet-Excursions against the Council of the European Union and the European Commission) = Information for the Permanent Representatives Committee (Part 1)</w:t>
        </w:r>
        <w:r>
          <w:rPr>
            <w:noProof/>
            <w:webHidden/>
          </w:rPr>
          <w:tab/>
        </w:r>
        <w:r>
          <w:rPr>
            <w:noProof/>
            <w:webHidden/>
          </w:rPr>
          <w:fldChar w:fldCharType="begin"/>
        </w:r>
        <w:r>
          <w:rPr>
            <w:noProof/>
            <w:webHidden/>
          </w:rPr>
          <w:instrText xml:space="preserve"> PAGEREF _Toc338332585 \h </w:instrText>
        </w:r>
        <w:r>
          <w:rPr>
            <w:noProof/>
            <w:webHidden/>
          </w:rPr>
        </w:r>
        <w:r>
          <w:rPr>
            <w:noProof/>
            <w:webHidden/>
          </w:rPr>
          <w:fldChar w:fldCharType="separate"/>
        </w:r>
        <w:r>
          <w:rPr>
            <w:noProof/>
            <w:webHidden/>
          </w:rPr>
          <w:t>5</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6" w:history="1">
        <w:r w:rsidRPr="00D97CFD">
          <w:rPr>
            <w:rStyle w:val="Hyperlink"/>
            <w:noProof/>
          </w:rPr>
          <w:t>4. Advisory Committee on Freedom of Movement for Workers Appointment of Ms Anke SIEBOLD, German alternate member, in place of Mr Henning GRUB who has resigned = Adoption</w:t>
        </w:r>
        <w:r>
          <w:rPr>
            <w:noProof/>
            <w:webHidden/>
          </w:rPr>
          <w:tab/>
        </w:r>
        <w:r>
          <w:rPr>
            <w:noProof/>
            <w:webHidden/>
          </w:rPr>
          <w:fldChar w:fldCharType="begin"/>
        </w:r>
        <w:r>
          <w:rPr>
            <w:noProof/>
            <w:webHidden/>
          </w:rPr>
          <w:instrText xml:space="preserve"> PAGEREF _Toc338332586 \h </w:instrText>
        </w:r>
        <w:r>
          <w:rPr>
            <w:noProof/>
            <w:webHidden/>
          </w:rPr>
        </w:r>
        <w:r>
          <w:rPr>
            <w:noProof/>
            <w:webHidden/>
          </w:rPr>
          <w:fldChar w:fldCharType="separate"/>
        </w:r>
        <w:r>
          <w:rPr>
            <w:noProof/>
            <w:webHidden/>
          </w:rPr>
          <w:t>5</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7" w:history="1">
        <w:r w:rsidRPr="00D97CFD">
          <w:rPr>
            <w:rStyle w:val="Hyperlink"/>
            <w:noProof/>
          </w:rPr>
          <w:t>5. Council Decision appointing an Austrian member and an Austrian alternate member of the Committee of the Regions = Adoption</w:t>
        </w:r>
        <w:r>
          <w:rPr>
            <w:noProof/>
            <w:webHidden/>
          </w:rPr>
          <w:tab/>
        </w:r>
        <w:r>
          <w:rPr>
            <w:noProof/>
            <w:webHidden/>
          </w:rPr>
          <w:fldChar w:fldCharType="begin"/>
        </w:r>
        <w:r>
          <w:rPr>
            <w:noProof/>
            <w:webHidden/>
          </w:rPr>
          <w:instrText xml:space="preserve"> PAGEREF _Toc338332587 \h </w:instrText>
        </w:r>
        <w:r>
          <w:rPr>
            <w:noProof/>
            <w:webHidden/>
          </w:rPr>
        </w:r>
        <w:r>
          <w:rPr>
            <w:noProof/>
            <w:webHidden/>
          </w:rPr>
          <w:fldChar w:fldCharType="separate"/>
        </w:r>
        <w:r>
          <w:rPr>
            <w:noProof/>
            <w:webHidden/>
          </w:rPr>
          <w:t>5</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8" w:history="1">
        <w:r w:rsidRPr="00D97CFD">
          <w:rPr>
            <w:rStyle w:val="Hyperlink"/>
            <w:noProof/>
          </w:rPr>
          <w:t>6. Proposal for a Council Implementing Regulation clarifying the scope of the definitive anti-dumping duties imposed by Regulation (EC) No 383/2009 on imports of certain PSC wires and strands originating in the People's Republic of China = Adoption</w:t>
        </w:r>
        <w:r>
          <w:rPr>
            <w:noProof/>
            <w:webHidden/>
          </w:rPr>
          <w:tab/>
        </w:r>
        <w:r>
          <w:rPr>
            <w:noProof/>
            <w:webHidden/>
          </w:rPr>
          <w:fldChar w:fldCharType="begin"/>
        </w:r>
        <w:r>
          <w:rPr>
            <w:noProof/>
            <w:webHidden/>
          </w:rPr>
          <w:instrText xml:space="preserve"> PAGEREF _Toc338332588 \h </w:instrText>
        </w:r>
        <w:r>
          <w:rPr>
            <w:noProof/>
            <w:webHidden/>
          </w:rPr>
        </w:r>
        <w:r>
          <w:rPr>
            <w:noProof/>
            <w:webHidden/>
          </w:rPr>
          <w:fldChar w:fldCharType="separate"/>
        </w:r>
        <w:r>
          <w:rPr>
            <w:noProof/>
            <w:webHidden/>
          </w:rPr>
          <w:t>6</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89" w:history="1">
        <w:r w:rsidRPr="00D97CFD">
          <w:rPr>
            <w:rStyle w:val="Hyperlink"/>
            <w:noProof/>
          </w:rPr>
          <w:t>7. Proposal for a Council Implementing Regulation re-imposing a definitive anti-dumping duty on imports of ironing boards originating in the People's Republic of China, manufactured by Zhejiang Harmonic Hardware Products Co. Ltd. = Adoption</w:t>
        </w:r>
        <w:r>
          <w:rPr>
            <w:noProof/>
            <w:webHidden/>
          </w:rPr>
          <w:tab/>
        </w:r>
        <w:r>
          <w:rPr>
            <w:noProof/>
            <w:webHidden/>
          </w:rPr>
          <w:fldChar w:fldCharType="begin"/>
        </w:r>
        <w:r>
          <w:rPr>
            <w:noProof/>
            <w:webHidden/>
          </w:rPr>
          <w:instrText xml:space="preserve"> PAGEREF _Toc338332589 \h </w:instrText>
        </w:r>
        <w:r>
          <w:rPr>
            <w:noProof/>
            <w:webHidden/>
          </w:rPr>
        </w:r>
        <w:r>
          <w:rPr>
            <w:noProof/>
            <w:webHidden/>
          </w:rPr>
          <w:fldChar w:fldCharType="separate"/>
        </w:r>
        <w:r>
          <w:rPr>
            <w:noProof/>
            <w:webHidden/>
          </w:rPr>
          <w:t>6</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0" w:history="1">
        <w:r w:rsidRPr="00D97CFD">
          <w:rPr>
            <w:rStyle w:val="Hyperlink"/>
            <w:noProof/>
          </w:rPr>
          <w:t>8. Proposal for a Council Decision on the establishment of the Union position to be adopted in the framework of the Southern Indian Ocean Fisheries Agreement (SIOFA) = Adoption</w:t>
        </w:r>
        <w:r>
          <w:rPr>
            <w:noProof/>
            <w:webHidden/>
          </w:rPr>
          <w:tab/>
        </w:r>
        <w:r>
          <w:rPr>
            <w:noProof/>
            <w:webHidden/>
          </w:rPr>
          <w:fldChar w:fldCharType="begin"/>
        </w:r>
        <w:r>
          <w:rPr>
            <w:noProof/>
            <w:webHidden/>
          </w:rPr>
          <w:instrText xml:space="preserve"> PAGEREF _Toc338332590 \h </w:instrText>
        </w:r>
        <w:r>
          <w:rPr>
            <w:noProof/>
            <w:webHidden/>
          </w:rPr>
        </w:r>
        <w:r>
          <w:rPr>
            <w:noProof/>
            <w:webHidden/>
          </w:rPr>
          <w:fldChar w:fldCharType="separate"/>
        </w:r>
        <w:r>
          <w:rPr>
            <w:noProof/>
            <w:webHidden/>
          </w:rPr>
          <w:t>7</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1" w:history="1">
        <w:r w:rsidRPr="00D97CFD">
          <w:rPr>
            <w:rStyle w:val="Hyperlink"/>
            <w:noProof/>
          </w:rPr>
          <w:t>9. Proposal for a Council Decision on the establishment of the Union position to be adopted in the framework of the South Pacific Regional Fisheries Management Organisation (SPRFMO) = Adoption</w:t>
        </w:r>
        <w:r>
          <w:rPr>
            <w:noProof/>
            <w:webHidden/>
          </w:rPr>
          <w:tab/>
        </w:r>
        <w:r>
          <w:rPr>
            <w:noProof/>
            <w:webHidden/>
          </w:rPr>
          <w:fldChar w:fldCharType="begin"/>
        </w:r>
        <w:r>
          <w:rPr>
            <w:noProof/>
            <w:webHidden/>
          </w:rPr>
          <w:instrText xml:space="preserve"> PAGEREF _Toc338332591 \h </w:instrText>
        </w:r>
        <w:r>
          <w:rPr>
            <w:noProof/>
            <w:webHidden/>
          </w:rPr>
        </w:r>
        <w:r>
          <w:rPr>
            <w:noProof/>
            <w:webHidden/>
          </w:rPr>
          <w:fldChar w:fldCharType="separate"/>
        </w:r>
        <w:r>
          <w:rPr>
            <w:noProof/>
            <w:webHidden/>
          </w:rPr>
          <w:t>8</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2" w:history="1">
        <w:r w:rsidRPr="00D97CFD">
          <w:rPr>
            <w:rStyle w:val="Hyperlink"/>
            <w:noProof/>
          </w:rPr>
          <w:t>10. Draft Council conclusions on the Report from the Commission to the Council on the exception clause (Article 10 of Annex XI to the Staff Regulations) = Adoption</w:t>
        </w:r>
        <w:r>
          <w:rPr>
            <w:noProof/>
            <w:webHidden/>
          </w:rPr>
          <w:tab/>
        </w:r>
        <w:r>
          <w:rPr>
            <w:noProof/>
            <w:webHidden/>
          </w:rPr>
          <w:fldChar w:fldCharType="begin"/>
        </w:r>
        <w:r>
          <w:rPr>
            <w:noProof/>
            <w:webHidden/>
          </w:rPr>
          <w:instrText xml:space="preserve"> PAGEREF _Toc338332592 \h </w:instrText>
        </w:r>
        <w:r>
          <w:rPr>
            <w:noProof/>
            <w:webHidden/>
          </w:rPr>
        </w:r>
        <w:r>
          <w:rPr>
            <w:noProof/>
            <w:webHidden/>
          </w:rPr>
          <w:fldChar w:fldCharType="separate"/>
        </w:r>
        <w:r>
          <w:rPr>
            <w:noProof/>
            <w:webHidden/>
          </w:rPr>
          <w:t>8</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3" w:history="1">
        <w:r w:rsidRPr="00D97CFD">
          <w:rPr>
            <w:rStyle w:val="Hyperlink"/>
            <w:noProof/>
          </w:rPr>
          <w:t>11. Commission Directive ../…/EU of XXX amending Directive 2006/126/EC of the European Parliament and of the Council on driving licences = Decision not to oppose adoption</w:t>
        </w:r>
        <w:r>
          <w:rPr>
            <w:noProof/>
            <w:webHidden/>
          </w:rPr>
          <w:tab/>
        </w:r>
        <w:r>
          <w:rPr>
            <w:noProof/>
            <w:webHidden/>
          </w:rPr>
          <w:fldChar w:fldCharType="begin"/>
        </w:r>
        <w:r>
          <w:rPr>
            <w:noProof/>
            <w:webHidden/>
          </w:rPr>
          <w:instrText xml:space="preserve"> PAGEREF _Toc338332593 \h </w:instrText>
        </w:r>
        <w:r>
          <w:rPr>
            <w:noProof/>
            <w:webHidden/>
          </w:rPr>
        </w:r>
        <w:r>
          <w:rPr>
            <w:noProof/>
            <w:webHidden/>
          </w:rPr>
          <w:fldChar w:fldCharType="separate"/>
        </w:r>
        <w:r>
          <w:rPr>
            <w:noProof/>
            <w:webHidden/>
          </w:rPr>
          <w:t>9</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4" w:history="1">
        <w:r w:rsidRPr="00D97CFD">
          <w:rPr>
            <w:rStyle w:val="Hyperlink"/>
            <w:noProof/>
          </w:rPr>
          <w:t>12. ENLARGEMENT = Accession negotiations with Iceland (= Chapter 29: Customs Union)</w:t>
        </w:r>
        <w:r>
          <w:rPr>
            <w:noProof/>
            <w:webHidden/>
          </w:rPr>
          <w:tab/>
        </w:r>
        <w:r>
          <w:rPr>
            <w:noProof/>
            <w:webHidden/>
          </w:rPr>
          <w:fldChar w:fldCharType="begin"/>
        </w:r>
        <w:r>
          <w:rPr>
            <w:noProof/>
            <w:webHidden/>
          </w:rPr>
          <w:instrText xml:space="preserve"> PAGEREF _Toc338332594 \h </w:instrText>
        </w:r>
        <w:r>
          <w:rPr>
            <w:noProof/>
            <w:webHidden/>
          </w:rPr>
        </w:r>
        <w:r>
          <w:rPr>
            <w:noProof/>
            <w:webHidden/>
          </w:rPr>
          <w:fldChar w:fldCharType="separate"/>
        </w:r>
        <w:r>
          <w:rPr>
            <w:noProof/>
            <w:webHidden/>
          </w:rPr>
          <w:t>10</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5" w:history="1">
        <w:r w:rsidRPr="00D97CFD">
          <w:rPr>
            <w:rStyle w:val="Hyperlink"/>
            <w:noProof/>
          </w:rPr>
          <w:t>13. Follow up to the adoption of a standard setting maximum residue levels (MRLs) on ractopamine by the Codex Alimentarius Commission at its 35th session - Adoption of Council conclusions</w:t>
        </w:r>
        <w:r>
          <w:rPr>
            <w:noProof/>
            <w:webHidden/>
          </w:rPr>
          <w:tab/>
        </w:r>
        <w:r>
          <w:rPr>
            <w:noProof/>
            <w:webHidden/>
          </w:rPr>
          <w:fldChar w:fldCharType="begin"/>
        </w:r>
        <w:r>
          <w:rPr>
            <w:noProof/>
            <w:webHidden/>
          </w:rPr>
          <w:instrText xml:space="preserve"> PAGEREF _Toc338332595 \h </w:instrText>
        </w:r>
        <w:r>
          <w:rPr>
            <w:noProof/>
            <w:webHidden/>
          </w:rPr>
        </w:r>
        <w:r>
          <w:rPr>
            <w:noProof/>
            <w:webHidden/>
          </w:rPr>
          <w:fldChar w:fldCharType="separate"/>
        </w:r>
        <w:r>
          <w:rPr>
            <w:noProof/>
            <w:webHidden/>
          </w:rPr>
          <w:t>11</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6" w:history="1">
        <w:r w:rsidRPr="00D97CFD">
          <w:rPr>
            <w:rStyle w:val="Hyperlink"/>
            <w:noProof/>
          </w:rPr>
          <w:t>14. Enlargement Accession negotiations with Iceland- Outcome of screening on Chapter 3 (Right of Establishment and Freedom to Provide Services)</w:t>
        </w:r>
        <w:r>
          <w:rPr>
            <w:noProof/>
            <w:webHidden/>
          </w:rPr>
          <w:tab/>
        </w:r>
        <w:r>
          <w:rPr>
            <w:noProof/>
            <w:webHidden/>
          </w:rPr>
          <w:fldChar w:fldCharType="begin"/>
        </w:r>
        <w:r>
          <w:rPr>
            <w:noProof/>
            <w:webHidden/>
          </w:rPr>
          <w:instrText xml:space="preserve"> PAGEREF _Toc338332596 \h </w:instrText>
        </w:r>
        <w:r>
          <w:rPr>
            <w:noProof/>
            <w:webHidden/>
          </w:rPr>
        </w:r>
        <w:r>
          <w:rPr>
            <w:noProof/>
            <w:webHidden/>
          </w:rPr>
          <w:fldChar w:fldCharType="separate"/>
        </w:r>
        <w:r>
          <w:rPr>
            <w:noProof/>
            <w:webHidden/>
          </w:rPr>
          <w:t>12</w:t>
        </w:r>
        <w:r>
          <w:rPr>
            <w:noProof/>
            <w:webHidden/>
          </w:rPr>
          <w:fldChar w:fldCharType="end"/>
        </w:r>
      </w:hyperlink>
    </w:p>
    <w:p w:rsidR="007E42EE" w:rsidRDefault="007E42EE">
      <w:pPr>
        <w:pStyle w:val="TOC2"/>
        <w:tabs>
          <w:tab w:val="right" w:leader="dot" w:pos="7644"/>
        </w:tabs>
        <w:rPr>
          <w:rFonts w:ascii="Calibri" w:hAnsi="Calibri"/>
          <w:b w:val="0"/>
          <w:bCs w:val="0"/>
          <w:noProof/>
          <w:sz w:val="22"/>
          <w:szCs w:val="22"/>
          <w:lang w:eastAsia="sv-SE"/>
        </w:rPr>
      </w:pPr>
      <w:hyperlink w:anchor="_Toc338332597" w:history="1">
        <w:r w:rsidRPr="00D97CFD">
          <w:rPr>
            <w:rStyle w:val="Hyperlink"/>
            <w:noProof/>
          </w:rPr>
          <w:t>15. Enlargement Accession negotiations with Iceland- Outcome of screening on Chapter 4 (Free Movement of Capital)</w:t>
        </w:r>
        <w:r>
          <w:rPr>
            <w:noProof/>
            <w:webHidden/>
          </w:rPr>
          <w:tab/>
        </w:r>
        <w:r>
          <w:rPr>
            <w:noProof/>
            <w:webHidden/>
          </w:rPr>
          <w:fldChar w:fldCharType="begin"/>
        </w:r>
        <w:r>
          <w:rPr>
            <w:noProof/>
            <w:webHidden/>
          </w:rPr>
          <w:instrText xml:space="preserve"> PAGEREF _Toc338332597 \h </w:instrText>
        </w:r>
        <w:r>
          <w:rPr>
            <w:noProof/>
            <w:webHidden/>
          </w:rPr>
        </w:r>
        <w:r>
          <w:rPr>
            <w:noProof/>
            <w:webHidden/>
          </w:rPr>
          <w:fldChar w:fldCharType="separate"/>
        </w:r>
        <w:r>
          <w:rPr>
            <w:noProof/>
            <w:webHidden/>
          </w:rPr>
          <w:t>13</w:t>
        </w:r>
        <w:r>
          <w:rPr>
            <w:noProof/>
            <w:webHidden/>
          </w:rPr>
          <w:fldChar w:fldCharType="end"/>
        </w:r>
      </w:hyperlink>
    </w:p>
    <w:p w:rsidR="007E42EE" w:rsidRDefault="007E42EE">
      <w:pPr>
        <w:pStyle w:val="RKnormal"/>
        <w:ind w:left="0"/>
        <w:rPr>
          <w:b/>
          <w:bCs/>
        </w:rPr>
      </w:pPr>
      <w:r>
        <w:rPr>
          <w:b/>
          <w:bCs/>
        </w:rPr>
        <w:fldChar w:fldCharType="end"/>
      </w:r>
    </w:p>
    <w:p w:rsidR="007E42EE" w:rsidRDefault="007E42E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8332581"/>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E42EE" w:rsidRDefault="007E42E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E42EE" w:rsidRDefault="007E42EE" w:rsidP="00190553">
      <w:pPr>
        <w:pStyle w:val="Heading1"/>
      </w:pPr>
      <w:bookmarkStart w:id="55" w:name="_Toc338332582"/>
      <w:r>
        <w:t>Troliga A-punkter inför kommande rådsmöten som godkändes vid Coreper I 17 oktober 2012.</w:t>
      </w:r>
      <w:bookmarkEnd w:id="55"/>
    </w:p>
    <w:p w:rsidR="007E42EE" w:rsidRPr="00790194" w:rsidRDefault="007E42EE" w:rsidP="00EE0B15">
      <w:pPr>
        <w:pStyle w:val="Heading2"/>
        <w:rPr>
          <w:lang w:val="en-US"/>
        </w:rPr>
      </w:pPr>
      <w:bookmarkStart w:id="56" w:name="_Toc338332583"/>
      <w:r w:rsidRPr="00790194">
        <w:rPr>
          <w:lang w:val="en-US"/>
        </w:rPr>
        <w:t>1. Replies to written questions put to the Council by Members of the European Parliament(+)</w:t>
      </w:r>
      <w:bookmarkEnd w:id="56"/>
    </w:p>
    <w:p w:rsidR="007E42EE" w:rsidRPr="00790194" w:rsidRDefault="007E42EE" w:rsidP="00190553">
      <w:pPr>
        <w:rPr>
          <w:lang w:val="en-US"/>
        </w:rPr>
      </w:pPr>
      <w:r w:rsidRPr="00790194">
        <w:rPr>
          <w:lang w:val="en-US"/>
        </w:rPr>
        <w:t xml:space="preserve">(a) n° E-006645/2012 put by Véronique Mathieu "Maize cultivation in the European Union" (b) n° P-007194/2012 put by Silvia-Adriana ?ic?u"Cyprus Presidency of the EU - lifting barriers for Romanian and Bulgarian workers" (c) n° E-007628/2012 put by Ivailo Kalfin "ITU World Conference on International Telecommunications"  </w:t>
      </w:r>
    </w:p>
    <w:p w:rsidR="007E42EE" w:rsidRPr="00790194" w:rsidRDefault="007E42EE">
      <w:pPr>
        <w:pStyle w:val="RKnormal"/>
        <w:tabs>
          <w:tab w:val="clear" w:pos="1843"/>
          <w:tab w:val="left" w:pos="0"/>
        </w:tabs>
        <w:ind w:left="0"/>
        <w:rPr>
          <w:lang w:val="en-US"/>
        </w:rPr>
      </w:pPr>
    </w:p>
    <w:p w:rsidR="007E42EE" w:rsidRPr="00EE0B15" w:rsidRDefault="007E42EE" w:rsidP="00EE0B15">
      <w:r>
        <w:t>14029/12, 13879/12, 14129/12</w:t>
      </w:r>
    </w:p>
    <w:p w:rsidR="007E42EE" w:rsidRDefault="007E42EE">
      <w:pPr>
        <w:pStyle w:val="RKnormal"/>
        <w:tabs>
          <w:tab w:val="clear" w:pos="1843"/>
          <w:tab w:val="left" w:pos="0"/>
        </w:tabs>
        <w:ind w:left="0"/>
      </w:pPr>
    </w:p>
    <w:p w:rsidR="007E42EE" w:rsidRPr="00EE0B15" w:rsidRDefault="007E42EE" w:rsidP="00EE0B15">
      <w:r>
        <w:t>Ansvarigt departement: Statsrådsberedningen</w:t>
      </w:r>
    </w:p>
    <w:p w:rsidR="007E42EE" w:rsidRDefault="007E42EE">
      <w:pPr>
        <w:pStyle w:val="RKnormal"/>
        <w:tabs>
          <w:tab w:val="clear" w:pos="1843"/>
          <w:tab w:val="left" w:pos="0"/>
        </w:tabs>
        <w:ind w:left="0"/>
      </w:pPr>
    </w:p>
    <w:p w:rsidR="007E42EE" w:rsidRPr="00EE0B15" w:rsidRDefault="007E42EE" w:rsidP="00EE0B15">
      <w:r>
        <w:t>Ansvarigt statsråd: Birgitta Ohlsson</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Pr="00790194" w:rsidRDefault="007E42EE" w:rsidP="00190553">
      <w:pPr>
        <w:rPr>
          <w:lang w:val="en-US"/>
        </w:rPr>
      </w:pPr>
      <w:r w:rsidRPr="00790194">
        <w:rPr>
          <w:lang w:val="en-US"/>
        </w:rPr>
        <w:t xml:space="preserve">Föranleder ingen annotering. </w:t>
      </w:r>
    </w:p>
    <w:p w:rsidR="007E42EE" w:rsidRPr="00790194" w:rsidRDefault="007E42EE" w:rsidP="00EE0B15">
      <w:pPr>
        <w:pStyle w:val="Heading2"/>
        <w:rPr>
          <w:lang w:val="en-US"/>
        </w:rPr>
      </w:pPr>
      <w:bookmarkStart w:id="57" w:name="_Toc338332584"/>
      <w:r w:rsidRPr="00790194">
        <w:rPr>
          <w:lang w:val="en-US"/>
        </w:rPr>
        <w:t>2. Case before the Court of Justice Case T-335/12 (T&amp;L Sugars Ltd and Sidul Açúcares Unipessoal Lda against European Commission) (Council intervention before the General Court in support of the Commission) = Information for the Permanent Representatives Committee (Part 1)</w:t>
      </w:r>
      <w:bookmarkEnd w:id="57"/>
    </w:p>
    <w:p w:rsidR="007E42EE" w:rsidRPr="00EE0B15" w:rsidRDefault="007E42EE" w:rsidP="00EE0B15">
      <w:r>
        <w:t>14714/12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Birgitta Ohlsson</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Pr="00790194" w:rsidRDefault="007E42EE" w:rsidP="00190553">
      <w:pPr>
        <w:rPr>
          <w:lang w:val="en-US"/>
        </w:rPr>
      </w:pPr>
      <w:r w:rsidRPr="00790194">
        <w:rPr>
          <w:lang w:val="en-US"/>
        </w:rPr>
        <w:t xml:space="preserve">Föranleder ingen annotering </w:t>
      </w:r>
    </w:p>
    <w:p w:rsidR="007E42EE" w:rsidRPr="00790194" w:rsidRDefault="007E42EE" w:rsidP="00EE0B15">
      <w:pPr>
        <w:pStyle w:val="Heading2"/>
        <w:rPr>
          <w:lang w:val="en-US"/>
        </w:rPr>
      </w:pPr>
      <w:bookmarkStart w:id="58" w:name="_Toc338332585"/>
      <w:r w:rsidRPr="00790194">
        <w:rPr>
          <w:lang w:val="en-US"/>
        </w:rPr>
        <w:t>3. Case before the Court of Justice of the European Union Case C-397/12 P (Transports Schiocchet-Excursions against the Council of the European Union and the European Commission) = Information for the Permanent Representatives Committee (Part 1)</w:t>
      </w:r>
      <w:bookmarkEnd w:id="58"/>
    </w:p>
    <w:p w:rsidR="007E42EE" w:rsidRPr="00EE0B15" w:rsidRDefault="007E42EE" w:rsidP="00EE0B15">
      <w:r>
        <w:t>14777/12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Birgitta Ohlsson</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Pr="00790194" w:rsidRDefault="007E42EE" w:rsidP="00190553">
      <w:pPr>
        <w:rPr>
          <w:lang w:val="en-US"/>
        </w:rPr>
      </w:pPr>
      <w:r w:rsidRPr="00790194">
        <w:rPr>
          <w:lang w:val="en-US"/>
        </w:rPr>
        <w:t xml:space="preserve">Föranleder ingen annotering </w:t>
      </w:r>
    </w:p>
    <w:p w:rsidR="007E42EE" w:rsidRPr="00790194" w:rsidRDefault="007E42EE" w:rsidP="00EE0B15">
      <w:pPr>
        <w:pStyle w:val="Heading2"/>
        <w:rPr>
          <w:lang w:val="en-US"/>
        </w:rPr>
      </w:pPr>
      <w:bookmarkStart w:id="59" w:name="_Toc338332586"/>
      <w:r w:rsidRPr="00790194">
        <w:rPr>
          <w:lang w:val="en-US"/>
        </w:rPr>
        <w:t>4. Advisory Committee on Freedom of Movement for Workers Appointment of Ms Anke SIEBOLD, German alternate member, in place of Mr Henning GRUB who has resigned = Adoption</w:t>
      </w:r>
      <w:bookmarkEnd w:id="59"/>
    </w:p>
    <w:p w:rsidR="007E42EE" w:rsidRPr="00EE0B15" w:rsidRDefault="007E42EE" w:rsidP="00EE0B15">
      <w:r>
        <w:t>14416/12</w:t>
      </w:r>
    </w:p>
    <w:p w:rsidR="007E42EE" w:rsidRDefault="007E42EE">
      <w:pPr>
        <w:pStyle w:val="RKnormal"/>
        <w:tabs>
          <w:tab w:val="clear" w:pos="1843"/>
          <w:tab w:val="left" w:pos="0"/>
        </w:tabs>
        <w:ind w:left="0"/>
      </w:pPr>
    </w:p>
    <w:p w:rsidR="007E42EE" w:rsidRPr="00EE0B15" w:rsidRDefault="007E42EE" w:rsidP="00EE0B15">
      <w:r>
        <w:t>Ansvarigt departement: Arbetsmarknadsdepartementet</w:t>
      </w:r>
    </w:p>
    <w:p w:rsidR="007E42EE" w:rsidRDefault="007E42EE">
      <w:pPr>
        <w:pStyle w:val="RKnormal"/>
        <w:tabs>
          <w:tab w:val="clear" w:pos="1843"/>
          <w:tab w:val="left" w:pos="0"/>
        </w:tabs>
        <w:ind w:left="0"/>
      </w:pPr>
    </w:p>
    <w:p w:rsidR="007E42EE" w:rsidRPr="00EE0B15" w:rsidRDefault="007E42EE" w:rsidP="00EE0B15">
      <w:r>
        <w:t>Ansvarigt statsråd: Hillevi Engström</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Pr="00790194" w:rsidRDefault="007E42EE" w:rsidP="00190553">
      <w:pPr>
        <w:rPr>
          <w:lang w:val="en-US"/>
        </w:rPr>
      </w:pPr>
      <w:r w:rsidRPr="00790194">
        <w:rPr>
          <w:lang w:val="en-US"/>
        </w:rPr>
        <w:t xml:space="preserve">Föranleder ingen annotering. </w:t>
      </w:r>
    </w:p>
    <w:p w:rsidR="007E42EE" w:rsidRPr="00790194" w:rsidRDefault="007E42EE" w:rsidP="00EE0B15">
      <w:pPr>
        <w:pStyle w:val="Heading2"/>
        <w:rPr>
          <w:lang w:val="en-US"/>
        </w:rPr>
      </w:pPr>
      <w:bookmarkStart w:id="60" w:name="_Toc338332587"/>
      <w:r w:rsidRPr="00790194">
        <w:rPr>
          <w:lang w:val="en-US"/>
        </w:rPr>
        <w:t>5. Council Decision appointing an Austrian member and an Austrian alternate member of the Committee of the Regions = Adoption</w:t>
      </w:r>
      <w:bookmarkEnd w:id="60"/>
    </w:p>
    <w:p w:rsidR="007E42EE" w:rsidRPr="00EE0B15" w:rsidRDefault="007E42EE" w:rsidP="00EE0B15">
      <w:r>
        <w:t>14734/12, 14735/12</w:t>
      </w:r>
    </w:p>
    <w:p w:rsidR="007E42EE" w:rsidRDefault="007E42EE">
      <w:pPr>
        <w:pStyle w:val="RKnormal"/>
        <w:tabs>
          <w:tab w:val="clear" w:pos="1843"/>
          <w:tab w:val="left" w:pos="0"/>
        </w:tabs>
        <w:ind w:left="0"/>
      </w:pPr>
    </w:p>
    <w:p w:rsidR="007E42EE" w:rsidRPr="00EE0B15" w:rsidRDefault="007E42EE" w:rsidP="00EE0B15">
      <w:r>
        <w:t>Ansvarigt departement: Finansdepartementet</w:t>
      </w:r>
    </w:p>
    <w:p w:rsidR="007E42EE" w:rsidRDefault="007E42EE">
      <w:pPr>
        <w:pStyle w:val="RKnormal"/>
        <w:tabs>
          <w:tab w:val="clear" w:pos="1843"/>
          <w:tab w:val="left" w:pos="0"/>
        </w:tabs>
        <w:ind w:left="0"/>
      </w:pPr>
    </w:p>
    <w:p w:rsidR="007E42EE" w:rsidRPr="00EE0B15" w:rsidRDefault="007E42EE" w:rsidP="00EE0B15">
      <w:r>
        <w:t>Ansvarigt statsråd: Peter Norman</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Pr="00790194" w:rsidRDefault="007E42EE" w:rsidP="00EE0B15">
      <w:pPr>
        <w:rPr>
          <w:lang w:val="en-US"/>
        </w:rPr>
      </w:pPr>
      <w:r w:rsidRPr="00790194">
        <w:rPr>
          <w:lang w:val="en-US"/>
        </w:rPr>
        <w:t>Föranleder ingen annotering.</w:t>
      </w:r>
    </w:p>
    <w:p w:rsidR="007E42EE" w:rsidRPr="00790194" w:rsidRDefault="007E42EE">
      <w:pPr>
        <w:pStyle w:val="RKnormal"/>
        <w:tabs>
          <w:tab w:val="clear" w:pos="1843"/>
          <w:tab w:val="left" w:pos="0"/>
        </w:tabs>
        <w:ind w:left="0"/>
        <w:rPr>
          <w:lang w:val="en-US"/>
        </w:rPr>
      </w:pPr>
      <w:r w:rsidRPr="00790194">
        <w:rPr>
          <w:lang w:val="en-US"/>
        </w:rPr>
        <w:t xml:space="preserve"> </w:t>
      </w:r>
    </w:p>
    <w:p w:rsidR="007E42EE" w:rsidRPr="00790194" w:rsidRDefault="007E42EE" w:rsidP="00EE0B15">
      <w:pPr>
        <w:pStyle w:val="Heading2"/>
        <w:rPr>
          <w:lang w:val="en-US"/>
        </w:rPr>
      </w:pPr>
      <w:bookmarkStart w:id="61" w:name="_Toc338332588"/>
      <w:r w:rsidRPr="00790194">
        <w:rPr>
          <w:lang w:val="en-US"/>
        </w:rPr>
        <w:t>6. Proposal for a Council Implementing Regulation clarifying the scope of the definitive anti-dumping duties imposed by Regulation (EC) No 383/2009 on imports of certain PSC wires and strands originating in the People's Republic of China = Adoption</w:t>
      </w:r>
      <w:bookmarkEnd w:id="61"/>
      <w:r w:rsidRPr="00790194">
        <w:rPr>
          <w:lang w:val="en-US"/>
        </w:rPr>
        <w:t xml:space="preserve"> </w:t>
      </w:r>
    </w:p>
    <w:p w:rsidR="007E42EE" w:rsidRPr="00EE0B15" w:rsidRDefault="007E42EE" w:rsidP="00EE0B15">
      <w:r>
        <w:t>14250/12, 14251/12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Ewa Björling</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Kommissionen föreslår att produktomfattningen av de definitive antidumpningstullarna på importen av trådar och linor av olegerat stål från Kina revideras och att en produkt exkluderas. De antidumpningstullar som intagits kommer således att återbetalas till drabbade företag.</w:t>
      </w:r>
    </w:p>
    <w:p w:rsidR="007E42EE" w:rsidRDefault="007E42EE" w:rsidP="00EE0B15"/>
    <w:p w:rsidR="007E42EE" w:rsidRDefault="007E42EE" w:rsidP="00EE0B15">
      <w:r>
        <w:t>Definitiva antidumpningstullar på importen av trådar och linor av olegerat stål från Kina infördes år 2008. Den 4 oktober efterfrågade en spansk tillverkare att en produkt som omfattades av åtgärderna exkluderas då den har andra användningsområden och inte omfattades av den ursprungliga undersökningen.</w:t>
      </w:r>
    </w:p>
    <w:p w:rsidR="007E42EE" w:rsidRDefault="007E42EE" w:rsidP="00EE0B15"/>
    <w:p w:rsidR="007E42EE" w:rsidRDefault="007E42EE" w:rsidP="00190553">
      <w:r>
        <w:t xml:space="preserve">Eftersom Sverige motsatte sig införandet av de definitiva åtgärderna år 2008 gav Sverige stöd till kommissionens förslag att exkludera den föreslagna produkten vid mötet med kommissionens antidumpningskommitté den 5 september 2012. </w:t>
      </w:r>
    </w:p>
    <w:p w:rsidR="007E42EE" w:rsidRPr="00EE0B15" w:rsidRDefault="007E42EE" w:rsidP="00EE0B15">
      <w:pPr>
        <w:pStyle w:val="Heading2"/>
      </w:pPr>
      <w:bookmarkStart w:id="62" w:name="_Toc338332589"/>
      <w:r w:rsidRPr="00790194">
        <w:rPr>
          <w:lang w:val="en-US"/>
        </w:rPr>
        <w:t xml:space="preserve">7. Proposal for a Council Implementing Regulation re-imposing a definitive anti-dumping duty on imports of ironing boards originating in the People's Republic of China, manufactured by Zhejiang Harmonic Hardware Products Co. Ltd. </w:t>
      </w:r>
      <w:r>
        <w:t>= Adoption</w:t>
      </w:r>
      <w:bookmarkEnd w:id="62"/>
    </w:p>
    <w:p w:rsidR="007E42EE" w:rsidRPr="00EE0B15" w:rsidRDefault="007E42EE" w:rsidP="00EE0B15">
      <w:r>
        <w:t>14348/12, 14349/12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Ewa Björling</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 xml:space="preserve">Kommissionen föreslår att återinföra de definitiva antidumpningstullarna på importen av strykbrädor från Kina tillverkade av företaget Zhejiang Harmonic Hardware Products. </w:t>
      </w:r>
    </w:p>
    <w:p w:rsidR="007E42EE" w:rsidRDefault="007E42EE" w:rsidP="00EE0B15"/>
    <w:p w:rsidR="007E42EE" w:rsidRDefault="007E42EE" w:rsidP="00EE0B15">
      <w:r>
        <w:t>Den 8 november 2008 annullerade EU-domstolen rådsförordningen 452/2007 om beslut att införa definitiva antidumpningstullar med avseende på importen från det nämnda företaget eftersom procedurmässiga felaktigheter begåtts av kommissionen i undersökningen. Kommissionen inledde därefter en ny undersökning avseende importen från det nämnda företaget den 2 mars 2012 och föreslog den 5 september 2012 att åtgärderna för företaget återinförs.</w:t>
      </w:r>
    </w:p>
    <w:p w:rsidR="007E42EE" w:rsidRDefault="007E42EE" w:rsidP="00EE0B15"/>
    <w:p w:rsidR="007E42EE" w:rsidRDefault="007E42EE" w:rsidP="00190553">
      <w:r>
        <w:t xml:space="preserve">Vid mötet med kommissionens antidumpningskommitté den 5 september 2012 motsatte sig Sverige inte kommissionens förslag eftersom kommissionen gjort en ny undersökning av fallet och i detta avseende beaktat EU-domstolens beslut. Eftersom Sverige motsatte sig införandet av de definitiva åtgärderna år 2007 ger Sverige inte kommissionen sitt stöd för att återinföra antidumpningsåtgärderna. </w:t>
      </w:r>
    </w:p>
    <w:p w:rsidR="007E42EE" w:rsidRPr="00790194" w:rsidRDefault="007E42EE" w:rsidP="00EE0B15">
      <w:pPr>
        <w:pStyle w:val="Heading2"/>
        <w:rPr>
          <w:lang w:val="en-US"/>
        </w:rPr>
      </w:pPr>
      <w:bookmarkStart w:id="63" w:name="_Toc338332590"/>
      <w:r w:rsidRPr="00790194">
        <w:rPr>
          <w:lang w:val="en-US"/>
        </w:rPr>
        <w:t>8. Proposal for a Council Decision on the establishment of the Union position to be adopted in the framework of the Southern Indian Ocean Fisheries Agreement (SIOFA) = Adoption</w:t>
      </w:r>
      <w:bookmarkEnd w:id="63"/>
    </w:p>
    <w:p w:rsidR="007E42EE" w:rsidRPr="00EE0B15" w:rsidRDefault="007E42EE" w:rsidP="00EE0B15">
      <w:r>
        <w:t>14404/12, 14421/12</w:t>
      </w:r>
    </w:p>
    <w:p w:rsidR="007E42EE" w:rsidRDefault="007E42EE">
      <w:pPr>
        <w:pStyle w:val="RKnormal"/>
        <w:tabs>
          <w:tab w:val="clear" w:pos="1843"/>
          <w:tab w:val="left" w:pos="0"/>
        </w:tabs>
        <w:ind w:left="0"/>
      </w:pPr>
    </w:p>
    <w:p w:rsidR="007E42EE" w:rsidRPr="00EE0B15" w:rsidRDefault="007E42EE" w:rsidP="00EE0B15">
      <w:r>
        <w:t>Ansvarigt departement: Landsbygdsdepartementet</w:t>
      </w:r>
    </w:p>
    <w:p w:rsidR="007E42EE" w:rsidRDefault="007E42EE">
      <w:pPr>
        <w:pStyle w:val="RKnormal"/>
        <w:tabs>
          <w:tab w:val="clear" w:pos="1843"/>
          <w:tab w:val="left" w:pos="0"/>
        </w:tabs>
        <w:ind w:left="0"/>
      </w:pPr>
    </w:p>
    <w:p w:rsidR="007E42EE" w:rsidRPr="00EE0B15" w:rsidRDefault="007E42EE" w:rsidP="00EE0B15">
      <w:r>
        <w:t>Ansvarigt statsråd: Eskil Erlandsson</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 xml:space="preserve">Avsikt med behandlingen i rådet: </w:t>
      </w:r>
    </w:p>
    <w:p w:rsidR="007E42EE" w:rsidRDefault="007E42EE" w:rsidP="00EE0B15">
      <w:r>
        <w:t>Rådet föreslås anta en gemensam ståndpunkt</w:t>
      </w:r>
    </w:p>
    <w:p w:rsidR="007E42EE" w:rsidRDefault="007E42EE" w:rsidP="00EE0B15"/>
    <w:p w:rsidR="007E42EE" w:rsidRDefault="007E42EE" w:rsidP="00EE0B15">
      <w:r>
        <w:t xml:space="preserve">Hur regeringen ställer sig till den blivande A-punkten: </w:t>
      </w:r>
    </w:p>
    <w:p w:rsidR="007E42EE" w:rsidRDefault="007E42EE" w:rsidP="00EE0B15">
      <w:r>
        <w:t xml:space="preserve">Regeringen har inga invändningar mot förslaget. </w:t>
      </w:r>
    </w:p>
    <w:p w:rsidR="007E42EE" w:rsidRDefault="007E42EE" w:rsidP="00EE0B15"/>
    <w:p w:rsidR="007E42EE" w:rsidRDefault="007E42EE" w:rsidP="00EE0B15">
      <w:r>
        <w:t xml:space="preserve">Bakgrund: </w:t>
      </w:r>
    </w:p>
    <w:p w:rsidR="007E42EE" w:rsidRDefault="007E42EE" w:rsidP="00EE0B15">
      <w:r>
        <w:t>För varje regional fiskeriorganisation antar EU dels en övergripande långsiktig förhandlingsposition som motsvarar den allmänna målsättning för CFP, dels bilagor av kortsiktig natur avseende aktuella dagordningspunkter, dock oftast utan någon högre grad av precisering.</w:t>
      </w:r>
    </w:p>
    <w:p w:rsidR="007E42EE" w:rsidRDefault="007E42EE" w:rsidP="00EE0B15">
      <w:r>
        <w:t xml:space="preserve">Frågan har behandlats i rådsarbetsgruppen för fiskeripolitik varvid föreslogs och godtogs bl a ett tillägg med innebörden att en preciserad instruktion inför varje årsmöte skulle diskuteras och antas av Rådet eller dess förberedande organ vilket är i linje med förslag som tidigare framförts av SE. </w:t>
      </w:r>
    </w:p>
    <w:p w:rsidR="007E42EE" w:rsidRPr="00790194" w:rsidRDefault="007E42EE" w:rsidP="00EE0B15">
      <w:pPr>
        <w:pStyle w:val="Heading2"/>
        <w:rPr>
          <w:lang w:val="en-US"/>
        </w:rPr>
      </w:pPr>
      <w:bookmarkStart w:id="64" w:name="_Toc338332591"/>
      <w:r w:rsidRPr="00790194">
        <w:rPr>
          <w:lang w:val="en-US"/>
        </w:rPr>
        <w:t>9. Proposal for a Council Decision on the establishment of the Union position to be adopted in the framework of the South Pacific Regional Fisheries Management Organisation (SPRFMO) = Adoption</w:t>
      </w:r>
      <w:bookmarkEnd w:id="64"/>
    </w:p>
    <w:p w:rsidR="007E42EE" w:rsidRPr="00EE0B15" w:rsidRDefault="007E42EE" w:rsidP="00EE0B15">
      <w:r>
        <w:t>14405/12, 14424/12</w:t>
      </w:r>
    </w:p>
    <w:p w:rsidR="007E42EE" w:rsidRDefault="007E42EE">
      <w:pPr>
        <w:pStyle w:val="RKnormal"/>
        <w:tabs>
          <w:tab w:val="clear" w:pos="1843"/>
          <w:tab w:val="left" w:pos="0"/>
        </w:tabs>
        <w:ind w:left="0"/>
      </w:pPr>
    </w:p>
    <w:p w:rsidR="007E42EE" w:rsidRPr="00EE0B15" w:rsidRDefault="007E42EE" w:rsidP="00EE0B15">
      <w:r>
        <w:t>Ansvarigt departement: Landsbygdsdepartementet</w:t>
      </w:r>
    </w:p>
    <w:p w:rsidR="007E42EE" w:rsidRDefault="007E42EE">
      <w:pPr>
        <w:pStyle w:val="RKnormal"/>
        <w:tabs>
          <w:tab w:val="clear" w:pos="1843"/>
          <w:tab w:val="left" w:pos="0"/>
        </w:tabs>
        <w:ind w:left="0"/>
      </w:pPr>
    </w:p>
    <w:p w:rsidR="007E42EE" w:rsidRPr="00EE0B15" w:rsidRDefault="007E42EE" w:rsidP="00EE0B15">
      <w:r>
        <w:t>Ansvarigt statsråd: Eskil Erlandsson</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 xml:space="preserve">Avsikt med behandlingen i rådet: </w:t>
      </w:r>
    </w:p>
    <w:p w:rsidR="007E42EE" w:rsidRDefault="007E42EE" w:rsidP="00EE0B15">
      <w:r>
        <w:t>Rådet föreslås anta en gemensam ståndpunkt</w:t>
      </w:r>
    </w:p>
    <w:p w:rsidR="007E42EE" w:rsidRDefault="007E42EE" w:rsidP="00EE0B15"/>
    <w:p w:rsidR="007E42EE" w:rsidRDefault="007E42EE" w:rsidP="00EE0B15">
      <w:r>
        <w:t xml:space="preserve">Hur regeringen ställer sig till den blivande A-punkten: </w:t>
      </w:r>
    </w:p>
    <w:p w:rsidR="007E42EE" w:rsidRDefault="007E42EE" w:rsidP="00EE0B15">
      <w:r>
        <w:t xml:space="preserve">Regeringen har inga invändningar mot förslaget. </w:t>
      </w:r>
    </w:p>
    <w:p w:rsidR="007E42EE" w:rsidRDefault="007E42EE" w:rsidP="00EE0B15"/>
    <w:p w:rsidR="007E42EE" w:rsidRDefault="007E42EE" w:rsidP="00EE0B15">
      <w:r>
        <w:t xml:space="preserve">Bakgrund: </w:t>
      </w:r>
    </w:p>
    <w:p w:rsidR="007E42EE" w:rsidRPr="00790194" w:rsidRDefault="007E42EE" w:rsidP="00F17F59">
      <w:pPr>
        <w:rPr>
          <w:lang w:val="en-US"/>
        </w:rPr>
      </w:pPr>
      <w:r>
        <w:t xml:space="preserve">För varje regional fiskeriorganisation antar EU dels en övergripande långsiktig förhandlingsposition som motsvarar allmänna målsättningen för CFP, dels bilagor av kortsiktig natur avseende aktuella dagordningspunkter. </w:t>
      </w:r>
      <w:r w:rsidRPr="00790194">
        <w:rPr>
          <w:lang w:val="en-US"/>
        </w:rPr>
        <w:t xml:space="preserve">Förslaget överensstämmer med EUs övriga positioner avseende regionala fiskeriorganisationer.  </w:t>
      </w:r>
    </w:p>
    <w:p w:rsidR="007E42EE" w:rsidRPr="00790194" w:rsidRDefault="007E42EE" w:rsidP="00EE0B15">
      <w:pPr>
        <w:pStyle w:val="Heading2"/>
        <w:rPr>
          <w:lang w:val="en-US"/>
        </w:rPr>
      </w:pPr>
      <w:bookmarkStart w:id="65" w:name="_Toc338332592"/>
      <w:r w:rsidRPr="00790194">
        <w:rPr>
          <w:lang w:val="en-US"/>
        </w:rPr>
        <w:t>10. Draft Council conclusions on the Report from the Commission to the Council on the exception clause (Article 10 of Annex XI to the Staff Regulations) = Adoption</w:t>
      </w:r>
      <w:bookmarkEnd w:id="65"/>
    </w:p>
    <w:p w:rsidR="007E42EE" w:rsidRPr="00EE0B15" w:rsidRDefault="007E42EE" w:rsidP="00EE0B15">
      <w:r>
        <w:t>14913/12</w:t>
      </w:r>
    </w:p>
    <w:p w:rsidR="007E42EE" w:rsidRDefault="007E42EE">
      <w:pPr>
        <w:pStyle w:val="RKnormal"/>
        <w:tabs>
          <w:tab w:val="clear" w:pos="1843"/>
          <w:tab w:val="left" w:pos="0"/>
        </w:tabs>
        <w:ind w:left="0"/>
      </w:pPr>
    </w:p>
    <w:p w:rsidR="007E42EE" w:rsidRPr="00EE0B15" w:rsidRDefault="007E42EE" w:rsidP="00EE0B15">
      <w:r>
        <w:t>Ansvarigt departement: Socialdepartementet</w:t>
      </w:r>
    </w:p>
    <w:p w:rsidR="007E42EE" w:rsidRDefault="007E42EE">
      <w:pPr>
        <w:pStyle w:val="RKnormal"/>
        <w:tabs>
          <w:tab w:val="clear" w:pos="1843"/>
          <w:tab w:val="left" w:pos="0"/>
        </w:tabs>
        <w:ind w:left="0"/>
      </w:pPr>
    </w:p>
    <w:p w:rsidR="007E42EE" w:rsidRPr="00EE0B15" w:rsidRDefault="007E42EE" w:rsidP="00EE0B15">
      <w:r>
        <w:t>Ansvarigt statsråd: Stefan Attefall</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Rådet begärde i mars 2012 att kommissionen skulle utvärdera huruvida undantagsklausulen (se beskrivning nedan) är tillämplig för 2012. Kommissionens rapport visade på att kriterierna för att utlösa undantagsklausulen inte uppfylldes under den aktuella mätperioden. I utkastet till rådslutsatser för kommissionens rapport framför rådet bl.a. att rådet beklagar kommissionens slutsatser att inte utlösa undantagsklausulen samt att rådet inte delar kommissionens tolkning av art 10 bilaga XI i tjänsteföreskrifterna eftersom tillämpbarheten måste bedömas i ljuset av alla objektiva data som reflekterar den ekonomiska situationen inom den Europeiska unionen. Vidare begär rådet på nytt att kommissionen, i enlighet med art 10 bilaga XI, ska lägga ett förslag till lönejustering för Europaparlamentet och rådet att ta ställning till före utgången av 2012. Rådet föreslås anta rådslutsatserna. Regeringen avser rösta ja till rådslutsatserna.</w:t>
      </w:r>
    </w:p>
    <w:p w:rsidR="007E42EE" w:rsidRDefault="007E42EE" w:rsidP="00EE0B15"/>
    <w:p w:rsidR="007E42EE" w:rsidRDefault="007E42EE" w:rsidP="00EE0B15">
      <w:r>
        <w:t>Beskrivning av undantagsklausulen och kort bakgrund:</w:t>
      </w:r>
    </w:p>
    <w:p w:rsidR="007E42EE" w:rsidRDefault="007E42EE" w:rsidP="00F17F59">
      <w:r>
        <w:t xml:space="preserve">Artikel 65 i tjänsteföreskrifterna stipulerar att rådet varje år ska göra en översyn av lönerna för institutionernas tjänstemän och i samband med detta ta ställning till om det är lämpligt att anpassa lönerna. I tjänsteföreskrifterna finns även en undantagsklausul (artikel 10 bilaga XI). Undantagsklausulen stipulerar att i händelse av en plötslig och allvarlig försämring av det ekonomiska och sociala läget inom unionen ska kommissionen, baserat på en analys av objektiva data, presentera lämpliga förslag till rådet. År 2011 bedömde kommissionen att undantagsklausulen inte skulle tillämpas för detta år, utan att den föreslagna lönejusteringen skulle gälla. Rådet motsatte sig detta och frågan är för närvarande föremål för behandling i Europeiska unionens domstol. </w:t>
      </w:r>
    </w:p>
    <w:p w:rsidR="007E42EE" w:rsidRPr="00790194" w:rsidRDefault="007E42EE" w:rsidP="00EE0B15">
      <w:pPr>
        <w:pStyle w:val="Heading2"/>
        <w:rPr>
          <w:lang w:val="en-US"/>
        </w:rPr>
      </w:pPr>
      <w:bookmarkStart w:id="66" w:name="_Toc338332593"/>
      <w:r w:rsidRPr="00790194">
        <w:rPr>
          <w:lang w:val="en-US"/>
        </w:rPr>
        <w:t>11. Commission Directive ../…/EU of XXX amending Directive 2006/126/EC of the European Parliament and of the Council on driving licences = Decision not to oppose adoption</w:t>
      </w:r>
      <w:bookmarkEnd w:id="66"/>
      <w:r w:rsidRPr="00790194">
        <w:rPr>
          <w:lang w:val="en-US"/>
        </w:rPr>
        <w:t xml:space="preserve"> </w:t>
      </w:r>
    </w:p>
    <w:p w:rsidR="007E42EE" w:rsidRPr="00EE0B15" w:rsidRDefault="007E42EE" w:rsidP="00EE0B15">
      <w:r>
        <w:t>12921/12, 13775/12</w:t>
      </w:r>
    </w:p>
    <w:p w:rsidR="007E42EE" w:rsidRDefault="007E42EE">
      <w:pPr>
        <w:pStyle w:val="RKnormal"/>
        <w:tabs>
          <w:tab w:val="clear" w:pos="1843"/>
          <w:tab w:val="left" w:pos="0"/>
        </w:tabs>
        <w:ind w:left="0"/>
      </w:pPr>
    </w:p>
    <w:p w:rsidR="007E42EE" w:rsidRPr="00EE0B15" w:rsidRDefault="007E42EE" w:rsidP="00EE0B15">
      <w:r>
        <w:t>Ansvarigt departement: Näringsdepartementet</w:t>
      </w:r>
    </w:p>
    <w:p w:rsidR="007E42EE" w:rsidRDefault="007E42EE">
      <w:pPr>
        <w:pStyle w:val="RKnormal"/>
        <w:tabs>
          <w:tab w:val="clear" w:pos="1843"/>
          <w:tab w:val="left" w:pos="0"/>
        </w:tabs>
        <w:ind w:left="0"/>
      </w:pPr>
    </w:p>
    <w:p w:rsidR="007E42EE" w:rsidRPr="00EE0B15" w:rsidRDefault="007E42EE" w:rsidP="00EE0B15">
      <w:r>
        <w:t>Ansvarigt statsråd: Catharina Elmsäter Svärd</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 xml:space="preserve">Rådet föreslås besluta att inte motsätta sig antagande av förslaget (ordinarie procedur, granskningsförfarande). </w:t>
      </w:r>
    </w:p>
    <w:p w:rsidR="007E42EE" w:rsidRDefault="007E42EE" w:rsidP="00EE0B15"/>
    <w:p w:rsidR="007E42EE" w:rsidRDefault="007E42EE" w:rsidP="00EE0B15">
      <w:r>
        <w:t xml:space="preserve">Hur regeringen ställer sig till den blivande A-punkten: </w:t>
      </w:r>
    </w:p>
    <w:p w:rsidR="007E42EE" w:rsidRDefault="007E42EE" w:rsidP="00EE0B15">
      <w:r>
        <w:t xml:space="preserve">Regeringen avser rösta ja. </w:t>
      </w:r>
    </w:p>
    <w:p w:rsidR="007E42EE" w:rsidRDefault="007E42EE" w:rsidP="00EE0B15"/>
    <w:p w:rsidR="007E42EE" w:rsidRDefault="007E42EE" w:rsidP="00EE0B15">
      <w:r>
        <w:t xml:space="preserve">Bakgrund: </w:t>
      </w:r>
    </w:p>
    <w:p w:rsidR="007E42EE" w:rsidRDefault="007E42EE" w:rsidP="00EE0B15">
      <w:r>
        <w:t xml:space="preserve">Kommissionens förslag om ändringar i Europaparlamentets och rådets direktiv 2006/126/EG om körkort, tredje körkortsdirektivet, har tidigare behandlats genom kommittologiförfarande i Körkortskommittén. Ändringarna gäller framför allt direktivets bilaga I om den harmoniserade körkortsmodellen samt II om minimikrav för förarprov. Huvudsyfte bakom ändringarna är att anpassa direktivets bilagor till de ändringar som införts i körkortsdirektivet. Huvuddelen av reglerna i tredje körkortsdirektivet ska träda i kraft den 19 januari 2013. </w:t>
      </w:r>
    </w:p>
    <w:p w:rsidR="007E42EE" w:rsidRDefault="007E42EE" w:rsidP="00EE0B15"/>
    <w:p w:rsidR="007E42EE" w:rsidRDefault="007E42EE" w:rsidP="00EE0B15">
      <w:r>
        <w:t>Kommissionens förslag har underställts rådets och parlamentets granskning. Inför behandlingen i rådet har vissa andra medlemsländer framfört invändningar mot att ta upp förslaget. De anser att vissa ändringar angående provfordon strider mot innehållet i direktivet eller mot proportionalitetsprincipen. De har också yrkat på en längre genomförandeperiod vad gäller dessa bestämmelser. Kommissionen har påbörjat ett nytt ändringsförfarande för att helt eller delvis tillgodose medlemsländernas önskemål.</w:t>
      </w:r>
    </w:p>
    <w:p w:rsidR="007E42EE" w:rsidRDefault="007E42EE" w:rsidP="00EE0B15"/>
    <w:p w:rsidR="007E42EE" w:rsidRDefault="007E42EE" w:rsidP="00EE0B15">
      <w:r>
        <w:t>Parlamentet har ännu inte behandlat förslaget.</w:t>
      </w:r>
    </w:p>
    <w:p w:rsidR="007E42EE" w:rsidRPr="00790194" w:rsidRDefault="007E42EE" w:rsidP="00EE0B15">
      <w:pPr>
        <w:pStyle w:val="Heading2"/>
        <w:rPr>
          <w:lang w:val="en-US"/>
        </w:rPr>
      </w:pPr>
      <w:bookmarkStart w:id="67" w:name="_Toc338332594"/>
      <w:r w:rsidRPr="00790194">
        <w:rPr>
          <w:lang w:val="en-US"/>
        </w:rPr>
        <w:t>12. ENLARGEMENT = Accession negotiations with Iceland (= Chapter 29: Customs Union)</w:t>
      </w:r>
      <w:bookmarkEnd w:id="67"/>
    </w:p>
    <w:p w:rsidR="007E42EE" w:rsidRPr="00EE0B15" w:rsidRDefault="007E42EE" w:rsidP="00EE0B15">
      <w:r>
        <w:t>14917/12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Carl Bildt</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Avsikten med behandlingen i rådet:</w:t>
      </w:r>
    </w:p>
    <w:p w:rsidR="007E42EE" w:rsidRDefault="007E42EE" w:rsidP="00EE0B15">
      <w:r>
        <w:t xml:space="preserve">Rådet föreslås anta den gemensamma ståndpunkten   </w:t>
      </w:r>
    </w:p>
    <w:p w:rsidR="007E42EE" w:rsidRDefault="007E42EE" w:rsidP="00EE0B15"/>
    <w:p w:rsidR="007E42EE" w:rsidRDefault="007E42EE" w:rsidP="00EE0B15">
      <w:r>
        <w:t>Hur regeringen ställer sig till den blivande a-punkten:</w:t>
      </w:r>
    </w:p>
    <w:p w:rsidR="007E42EE" w:rsidRDefault="007E42EE" w:rsidP="00EE0B15">
      <w:r>
        <w:t xml:space="preserve">Regeringen avser att rösta ja till att rådet antar utkastet till gemensam ståndpunkt kring tullunion (kapitel 29). </w:t>
      </w:r>
    </w:p>
    <w:p w:rsidR="007E42EE" w:rsidRDefault="007E42EE" w:rsidP="00EE0B15"/>
    <w:p w:rsidR="007E42EE" w:rsidRDefault="007E42EE" w:rsidP="00EE0B15">
      <w:r>
        <w:t>Bakgrund:</w:t>
      </w:r>
    </w:p>
    <w:p w:rsidR="007E42EE" w:rsidRDefault="007E42EE" w:rsidP="00EE0B15">
      <w:r>
        <w:t>Dokument 14917/12 ELARG 105 lämnar en redovisning av IS: s nuläge vad gäller anpassning av regelverk och system inom området tullunionen. IS har redan en hög anpassning och har identifierat de områden där ytterligare anpassning ska göras innan datum för medlemskapet.</w:t>
      </w:r>
    </w:p>
    <w:p w:rsidR="007E42EE" w:rsidRDefault="007E42EE" w:rsidP="00EE0B15"/>
    <w:p w:rsidR="007E42EE" w:rsidRDefault="007E42EE" w:rsidP="00EE0B15">
      <w:r>
        <w:t xml:space="preserve">På flera områden anges att anpassningen kommer att finnas med i aktionsplanen för arbetet med anpassning. Återrapportering kommer att lämnas regelbundet till EU för att stämma av att det arbetet fortlöper enligt planering. </w:t>
      </w:r>
      <w:r w:rsidRPr="00790194">
        <w:rPr>
          <w:lang w:val="en-US"/>
        </w:rPr>
        <w:t xml:space="preserve">Sådana områden är främst Customs rules and procedures, tullvärde, ursprungsregler, security aspects on Customs Code, IPR, Cash control. </w:t>
      </w:r>
      <w:r>
        <w:t xml:space="preserve">På vissa områden har IS inte motsvarande bestämmelser som EU, ex för icke-preferentiella ursprungsregler och vissa konventioner, ex. TIR. </w:t>
      </w:r>
    </w:p>
    <w:p w:rsidR="007E42EE" w:rsidRDefault="007E42EE" w:rsidP="00EE0B15"/>
    <w:p w:rsidR="007E42EE" w:rsidRDefault="007E42EE" w:rsidP="00EE0B15">
      <w:r>
        <w:t>När det gäller administrativ anpassning så konstaterar KOM att IS kommer att ha yttre gräns för EU och att information till personal och anpassning till EU:s administrativa procedurer är centralt. På IT-området har IS redan datoriserade system för tulldeklarationer. IS har redan kännedom om andra datoriserade system inom EU, ex. CCN/CSI, NCTS, ECS och ITMS. IS arbetar för att till datum för medlemskapet fullt ut ha anpassat sig till de gällande datoriserade systemet inom EU på tullområdet.</w:t>
      </w:r>
    </w:p>
    <w:p w:rsidR="007E42EE" w:rsidRDefault="007E42EE" w:rsidP="00EE0B15"/>
    <w:p w:rsidR="007E42EE" w:rsidRDefault="007E42EE" w:rsidP="00EE0B15">
      <w:r>
        <w:t>Den redovisning som lämnas i dokument 13656/12 visar att IS redan i hög grad är anpassat till EU: s acquis. Genom att uppföljning planeras fram till medlemskapet så kommer MS att kunna följa framstegen. Inget i redovisningen visar att svårigheter förutses för anpassningen. Förutsättningar att till fullo uppfylla EU: s acquis för kapitel 29 vid medlemskap är därför mycket goda.</w:t>
      </w:r>
    </w:p>
    <w:p w:rsidR="007E42EE" w:rsidRPr="00790194" w:rsidRDefault="007E42EE" w:rsidP="00EE0B15">
      <w:pPr>
        <w:pStyle w:val="Heading2"/>
        <w:rPr>
          <w:lang w:val="en-US"/>
        </w:rPr>
      </w:pPr>
      <w:bookmarkStart w:id="68" w:name="_Toc338332595"/>
      <w:r w:rsidRPr="00790194">
        <w:rPr>
          <w:lang w:val="en-US"/>
        </w:rPr>
        <w:t>13. Follow up to the adoption of a standard setting maximum residue levels (MRLs) on ractopamine by the Codex Alimentarius Commission at its 35th session - Adoption of Council conclusions</w:t>
      </w:r>
      <w:bookmarkEnd w:id="68"/>
    </w:p>
    <w:p w:rsidR="007E42EE" w:rsidRPr="00EE0B15" w:rsidRDefault="007E42EE" w:rsidP="00EE0B15">
      <w:r>
        <w:t>14981/12</w:t>
      </w:r>
    </w:p>
    <w:p w:rsidR="007E42EE" w:rsidRDefault="007E42EE">
      <w:pPr>
        <w:pStyle w:val="RKnormal"/>
        <w:tabs>
          <w:tab w:val="clear" w:pos="1843"/>
          <w:tab w:val="left" w:pos="0"/>
        </w:tabs>
        <w:ind w:left="0"/>
      </w:pPr>
    </w:p>
    <w:p w:rsidR="007E42EE" w:rsidRPr="00EE0B15" w:rsidRDefault="007E42EE" w:rsidP="00EE0B15">
      <w:r>
        <w:t>Ansvarigt departement: Landsbygdsdepartementet</w:t>
      </w:r>
    </w:p>
    <w:p w:rsidR="007E42EE" w:rsidRDefault="007E42EE">
      <w:pPr>
        <w:pStyle w:val="RKnormal"/>
        <w:tabs>
          <w:tab w:val="clear" w:pos="1843"/>
          <w:tab w:val="left" w:pos="0"/>
        </w:tabs>
        <w:ind w:left="0"/>
      </w:pPr>
    </w:p>
    <w:p w:rsidR="007E42EE" w:rsidRPr="00EE0B15" w:rsidRDefault="007E42EE" w:rsidP="00EE0B15">
      <w:r>
        <w:t>Ansvarigt statsråd: Eskil Erlandsson</w:t>
      </w:r>
    </w:p>
    <w:p w:rsidR="007E42EE" w:rsidRDefault="007E42EE">
      <w:pPr>
        <w:pStyle w:val="RKnormal"/>
        <w:tabs>
          <w:tab w:val="clear" w:pos="1843"/>
          <w:tab w:val="left" w:pos="0"/>
        </w:tabs>
        <w:ind w:left="0"/>
      </w:pPr>
    </w:p>
    <w:p w:rsidR="007E42EE" w:rsidRPr="00EE0B15" w:rsidRDefault="007E42EE" w:rsidP="00EE0B15">
      <w:r>
        <w:t>Tidigare behandling i EU -nämnden: 2012-09-21</w:t>
      </w:r>
    </w:p>
    <w:p w:rsidR="007E42EE" w:rsidRDefault="007E42EE">
      <w:pPr>
        <w:pStyle w:val="RKnormal"/>
        <w:tabs>
          <w:tab w:val="clear" w:pos="1843"/>
          <w:tab w:val="left" w:pos="0"/>
        </w:tabs>
        <w:ind w:left="0"/>
      </w:pPr>
    </w:p>
    <w:p w:rsidR="007E42EE" w:rsidRPr="00EE0B15" w:rsidRDefault="007E42EE" w:rsidP="00EE0B15">
      <w:r>
        <w:t>Tidigare behandling vid rådsmöte: Jordbruk- och fiskerådet</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 xml:space="preserve">Codex är FAO/WHO:s organ för att utarbeta standarder för säkra livsmedel vid internationell handel. Vid organisationens beslutande organs, Codexkommissionen (CAC), möte i Rom i början av juli 2012 beslutades vid en sluten omröstning med minsta möjliga marginal (69 röster för, 67 röster emot) att anta ett gränsvärde för det tillväxtbefrämjande preparatet Ractopamin. Ractopamin är en s.k. beta-agonist som tillsätts bl.a. grisfoder för att öka tillväxten. Av rådets direktiv 96/22/EG om förbud mot användning av vissa ämnen med hormonell eller tyreostatisk verkan samt av beta-agonister vid animalieproduktion följer att ractopamin inte är tillåtet inom grisproduktion i EU. EU accepterar inte heller import av livsmedel som behandlats med ractopamin. EU och ett antal andra länder bl.a. Kina och Ryssland har därför starkt motsatt sig att gränsvärden ska antas. EU:s gemensamma syn är att inte acceptera import av kött som behandlats med ractopamin eftersom det finns utestående frågor kring säkerheten. </w:t>
      </w:r>
    </w:p>
    <w:p w:rsidR="007E42EE" w:rsidRDefault="007E42EE" w:rsidP="00EE0B15"/>
    <w:p w:rsidR="007E42EE" w:rsidRDefault="007E42EE" w:rsidP="00EE0B15">
      <w:r>
        <w:t xml:space="preserve">Från EU:s sida är man vidare besviken på att beslutet togs genom omröstning och att man därmed frångick huvudprincipen om att standarder ska beslutas genom konsensus för att få internationell acceptans. </w:t>
      </w:r>
    </w:p>
    <w:p w:rsidR="007E42EE" w:rsidRDefault="007E42EE" w:rsidP="00EE0B15">
      <w:r>
        <w:t>Rådsslutsatser har utarbetats i coreper och innebär i korthet att EU:s medlemsstater beklagar att man inom Codex beslutade om ractopamin och att standarden antogs efter en mycket jämn omröstning och inte antogs genom konsensus som är huvudprincipen inom Codex. EU förklarar att man kommer vidhålla sitt förbud mot beta-agonisten ractopamin eftersom det finns utestående frågor kring säkerheten.</w:t>
      </w:r>
    </w:p>
    <w:p w:rsidR="007E42EE" w:rsidRDefault="007E42EE" w:rsidP="00EE0B15"/>
    <w:p w:rsidR="007E42EE" w:rsidRPr="00790194" w:rsidRDefault="007E42EE" w:rsidP="00F17F59">
      <w:pPr>
        <w:rPr>
          <w:lang w:val="en-US"/>
        </w:rPr>
      </w:pPr>
      <w:r w:rsidRPr="00790194">
        <w:rPr>
          <w:lang w:val="en-US"/>
        </w:rPr>
        <w:t xml:space="preserve">Regeringen stödjer rådsslutsatserna. </w:t>
      </w:r>
    </w:p>
    <w:p w:rsidR="007E42EE" w:rsidRPr="00790194" w:rsidRDefault="007E42EE" w:rsidP="00EE0B15">
      <w:pPr>
        <w:pStyle w:val="Heading2"/>
        <w:rPr>
          <w:lang w:val="en-US"/>
        </w:rPr>
      </w:pPr>
      <w:bookmarkStart w:id="69" w:name="_Toc338332596"/>
      <w:r w:rsidRPr="00790194">
        <w:rPr>
          <w:lang w:val="en-US"/>
        </w:rPr>
        <w:t>14. Enlargement Accession negotiations with Iceland- Outcome of screening on Chapter 3 (Right of Establishment and Freedom to Provide Services)</w:t>
      </w:r>
      <w:bookmarkEnd w:id="69"/>
    </w:p>
    <w:p w:rsidR="007E42EE" w:rsidRPr="00EE0B15" w:rsidRDefault="007E42EE" w:rsidP="00EE0B15">
      <w:r>
        <w:t>15001/12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Carl Bildt</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Avsikten med behandlingen i Coreper:</w:t>
      </w:r>
    </w:p>
    <w:p w:rsidR="007E42EE" w:rsidRDefault="007E42EE" w:rsidP="00EE0B15">
      <w:r>
        <w:t xml:space="preserve">Coreper föreslås anta förslaget till att flytta behandlingen av vissa frågor som tidigare skulle behandlats under kapitel 13 (fiske) till kapitel 3 (etableringsrätt)  </w:t>
      </w:r>
    </w:p>
    <w:p w:rsidR="007E42EE" w:rsidRDefault="007E42EE" w:rsidP="00EE0B15"/>
    <w:p w:rsidR="007E42EE" w:rsidRDefault="007E42EE" w:rsidP="00EE0B15">
      <w:r>
        <w:t>Hur regeringen ställer sig till den blivande a-punkten:</w:t>
      </w:r>
    </w:p>
    <w:p w:rsidR="007E42EE" w:rsidRDefault="007E42EE" w:rsidP="00EE0B15">
      <w:r>
        <w:t xml:space="preserve">Regeringen avser att rösta ja till förslaget att behandla vissa frågor som tidigare skulle behandlats under kapitel 13 till kapitel 3. </w:t>
      </w:r>
    </w:p>
    <w:p w:rsidR="007E42EE" w:rsidRDefault="007E42EE" w:rsidP="00EE0B15"/>
    <w:p w:rsidR="007E42EE" w:rsidRDefault="007E42EE" w:rsidP="00EE0B15">
      <w:r>
        <w:t>Bakgrund:</w:t>
      </w:r>
    </w:p>
    <w:p w:rsidR="007E42EE" w:rsidRDefault="007E42EE" w:rsidP="00EE0B15">
      <w:r>
        <w:t>Ordf. vill föra över behandlingen av vissa frågor beträffande Isländska medlemskapsförhandlingarna från kapitel 13 till kapitel 3. Dessa frågor gäller restriktioner för etablering och tillträde till hamnar för fartyg från länder som Island inte förhandlat fiskeavtal med.</w:t>
      </w:r>
    </w:p>
    <w:p w:rsidR="007E42EE" w:rsidRPr="00EE0B15" w:rsidRDefault="007E42EE" w:rsidP="00EE0B15"/>
    <w:p w:rsidR="007E42EE" w:rsidRDefault="007E42EE">
      <w:pPr>
        <w:pStyle w:val="RKnormal"/>
        <w:tabs>
          <w:tab w:val="clear" w:pos="1843"/>
          <w:tab w:val="left" w:pos="0"/>
        </w:tabs>
        <w:ind w:left="0"/>
      </w:pPr>
      <w:r>
        <w:t xml:space="preserve"> </w:t>
      </w:r>
    </w:p>
    <w:p w:rsidR="007E42EE" w:rsidRPr="00790194" w:rsidRDefault="007E42EE" w:rsidP="00EE0B15">
      <w:pPr>
        <w:pStyle w:val="Heading2"/>
        <w:rPr>
          <w:lang w:val="en-US"/>
        </w:rPr>
      </w:pPr>
      <w:bookmarkStart w:id="70" w:name="_Toc338332597"/>
      <w:r w:rsidRPr="00790194">
        <w:rPr>
          <w:lang w:val="en-US"/>
        </w:rPr>
        <w:t>15. Enlargement Accession negotiations with Iceland- Outcome of screening on Chapter 4 (Free Movement of Capital)</w:t>
      </w:r>
      <w:bookmarkEnd w:id="70"/>
    </w:p>
    <w:p w:rsidR="007E42EE" w:rsidRPr="00EE0B15" w:rsidRDefault="007E42EE" w:rsidP="00EE0B15">
      <w:r>
        <w:t>15006/12</w:t>
      </w:r>
    </w:p>
    <w:p w:rsidR="007E42EE" w:rsidRDefault="007E42EE">
      <w:pPr>
        <w:pStyle w:val="RKnormal"/>
        <w:tabs>
          <w:tab w:val="clear" w:pos="1843"/>
          <w:tab w:val="left" w:pos="0"/>
        </w:tabs>
        <w:ind w:left="0"/>
      </w:pPr>
    </w:p>
    <w:p w:rsidR="007E42EE" w:rsidRPr="00EE0B15" w:rsidRDefault="007E42EE" w:rsidP="00EE0B15">
      <w:r>
        <w:t>Ansvarigt departement: Utrikesdepartementet</w:t>
      </w:r>
    </w:p>
    <w:p w:rsidR="007E42EE" w:rsidRDefault="007E42EE">
      <w:pPr>
        <w:pStyle w:val="RKnormal"/>
        <w:tabs>
          <w:tab w:val="clear" w:pos="1843"/>
          <w:tab w:val="left" w:pos="0"/>
        </w:tabs>
        <w:ind w:left="0"/>
      </w:pPr>
    </w:p>
    <w:p w:rsidR="007E42EE" w:rsidRPr="00EE0B15" w:rsidRDefault="007E42EE" w:rsidP="00EE0B15">
      <w:r>
        <w:t>Ansvarigt statsråd: Carl Bildt</w:t>
      </w:r>
    </w:p>
    <w:p w:rsidR="007E42EE" w:rsidRDefault="007E42EE">
      <w:pPr>
        <w:pStyle w:val="RKnormal"/>
        <w:tabs>
          <w:tab w:val="clear" w:pos="1843"/>
          <w:tab w:val="left" w:pos="0"/>
        </w:tabs>
        <w:ind w:left="0"/>
      </w:pPr>
    </w:p>
    <w:p w:rsidR="007E42EE" w:rsidRPr="00EE0B15" w:rsidRDefault="007E42EE" w:rsidP="00EE0B15">
      <w:r>
        <w:t>Godkänd av Coreper I den 17 oktober 2012</w:t>
      </w:r>
    </w:p>
    <w:p w:rsidR="007E42EE" w:rsidRDefault="007E42EE">
      <w:pPr>
        <w:pStyle w:val="RKnormal"/>
        <w:tabs>
          <w:tab w:val="clear" w:pos="1843"/>
          <w:tab w:val="left" w:pos="0"/>
        </w:tabs>
        <w:ind w:left="0"/>
      </w:pPr>
    </w:p>
    <w:p w:rsidR="007E42EE" w:rsidRDefault="007E42EE" w:rsidP="00EE0B15">
      <w:r>
        <w:t>Avsikten med behandlingen i Coreper:</w:t>
      </w:r>
    </w:p>
    <w:p w:rsidR="007E42EE" w:rsidRDefault="007E42EE" w:rsidP="00EE0B15">
      <w:r>
        <w:t>Coreper föreslås anta förslaget till att flytta behandlingen av vissa frågor som tidigare skulle behandlats under kapitel 13 (fiske) till kapitel 4 (fri rörlighet för kapital).</w:t>
      </w:r>
    </w:p>
    <w:p w:rsidR="007E42EE" w:rsidRDefault="007E42EE" w:rsidP="00EE0B15"/>
    <w:p w:rsidR="007E42EE" w:rsidRDefault="007E42EE" w:rsidP="00EE0B15">
      <w:r>
        <w:t>Hur regeringen ställer sig till den blivande a-punkten:</w:t>
      </w:r>
    </w:p>
    <w:p w:rsidR="007E42EE" w:rsidRDefault="007E42EE" w:rsidP="00EE0B15">
      <w:r>
        <w:t xml:space="preserve">Regeringen avser att rösta ja till förslaget att behandla vissa frågor som tidigare skulle behandlats under kapitel 13 till kapitel 4. </w:t>
      </w:r>
    </w:p>
    <w:p w:rsidR="007E42EE" w:rsidRDefault="007E42EE" w:rsidP="00EE0B15"/>
    <w:p w:rsidR="007E42EE" w:rsidRDefault="007E42EE" w:rsidP="00EE0B15">
      <w:r>
        <w:t>Bakgrund:</w:t>
      </w:r>
    </w:p>
    <w:p w:rsidR="007E42EE" w:rsidRDefault="007E42EE" w:rsidP="00EE0B15">
      <w:r>
        <w:t>Ordf. vill föra över behandlingen av vissa frågor beträffande Isländska medlemskapsförhandlingarna från kapitel 13 till kapitel 4. Dessa frågor gäller restriktioner för utländska investeringar i fiske- och fiskeindustrisektorerna på Island.</w:t>
      </w:r>
    </w:p>
    <w:p w:rsidR="007E42EE" w:rsidRDefault="007E42EE" w:rsidP="00EE0B15"/>
    <w:p w:rsidR="007E42EE" w:rsidRPr="00EE0B15" w:rsidRDefault="007E42EE" w:rsidP="00EE0B15"/>
    <w:p w:rsidR="007E42EE" w:rsidRDefault="007E42EE">
      <w:pPr>
        <w:pStyle w:val="RKnormal"/>
        <w:tabs>
          <w:tab w:val="clear" w:pos="1843"/>
          <w:tab w:val="left" w:pos="0"/>
        </w:tabs>
        <w:ind w:left="0"/>
      </w:pPr>
      <w:r>
        <w:t xml:space="preserve"> </w:t>
      </w:r>
    </w:p>
    <w:p w:rsidR="007E42EE" w:rsidRDefault="007E42EE">
      <w:pPr>
        <w:pStyle w:val="RKnormal"/>
        <w:tabs>
          <w:tab w:val="clear" w:pos="1843"/>
          <w:tab w:val="left" w:pos="0"/>
        </w:tabs>
        <w:ind w:left="0"/>
      </w:pPr>
    </w:p>
    <w:p w:rsidR="007E42EE" w:rsidRDefault="007E42EE">
      <w:pPr>
        <w:pStyle w:val="RKnormal"/>
        <w:tabs>
          <w:tab w:val="clear" w:pos="1843"/>
          <w:tab w:val="left" w:pos="0"/>
        </w:tabs>
        <w:ind w:left="0"/>
      </w:pPr>
    </w:p>
    <w:sectPr w:rsidR="007E42EE" w:rsidSect="001205E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2EE" w:rsidRDefault="007E42EE">
      <w:r>
        <w:separator/>
      </w:r>
    </w:p>
  </w:endnote>
  <w:endnote w:type="continuationSeparator" w:id="0">
    <w:p w:rsidR="007E42EE" w:rsidRDefault="007E42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E" w:rsidRDefault="007E42E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p>
  <w:p w:rsidR="007E42EE" w:rsidRDefault="007E42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E" w:rsidRDefault="007E42E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p>
  <w:p w:rsidR="007E42EE" w:rsidRDefault="007E42E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E" w:rsidRDefault="007E4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2EE" w:rsidRDefault="007E42EE">
      <w:r>
        <w:separator/>
      </w:r>
    </w:p>
  </w:footnote>
  <w:footnote w:type="continuationSeparator" w:id="0">
    <w:p w:rsidR="007E42EE" w:rsidRDefault="007E4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E" w:rsidRDefault="007E42EE">
    <w:pPr>
      <w:pStyle w:val="Header"/>
      <w:framePr w:wrap="around" w:vAnchor="text" w:hAnchor="margin" w:xAlign="right" w:y="1"/>
      <w:rPr>
        <w:rStyle w:val="PageNumber"/>
      </w:rPr>
    </w:pPr>
  </w:p>
  <w:p w:rsidR="007E42EE" w:rsidRDefault="007E42EE">
    <w:pPr>
      <w:pStyle w:val="Header"/>
      <w:ind w:right="360"/>
    </w:pPr>
  </w:p>
  <w:p w:rsidR="007E42EE" w:rsidRDefault="007E42E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E" w:rsidRDefault="007E42E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E42EE" w:rsidRDefault="007E42EE">
    <w:pPr>
      <w:pStyle w:val="Header"/>
    </w:pPr>
  </w:p>
  <w:p w:rsidR="007E42EE" w:rsidRDefault="007E42EE">
    <w:pPr>
      <w:pStyle w:val="Header"/>
      <w:ind w:right="360"/>
    </w:pPr>
  </w:p>
  <w:p w:rsidR="007E42EE" w:rsidRDefault="007E42E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E" w:rsidRDefault="007E42E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E42EE" w:rsidRDefault="007E42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C7E402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E0B15"/>
    <w:rsid w:val="000015D6"/>
    <w:rsid w:val="000C3E50"/>
    <w:rsid w:val="001205E8"/>
    <w:rsid w:val="00190553"/>
    <w:rsid w:val="00211048"/>
    <w:rsid w:val="0027576A"/>
    <w:rsid w:val="00294196"/>
    <w:rsid w:val="00475A64"/>
    <w:rsid w:val="005A23F9"/>
    <w:rsid w:val="005C212F"/>
    <w:rsid w:val="005F1820"/>
    <w:rsid w:val="00682A68"/>
    <w:rsid w:val="00715B4E"/>
    <w:rsid w:val="00790194"/>
    <w:rsid w:val="007B51C2"/>
    <w:rsid w:val="007E42EE"/>
    <w:rsid w:val="00847B54"/>
    <w:rsid w:val="00936272"/>
    <w:rsid w:val="00992E5F"/>
    <w:rsid w:val="00A213E5"/>
    <w:rsid w:val="00A44D7F"/>
    <w:rsid w:val="00A72123"/>
    <w:rsid w:val="00AF0928"/>
    <w:rsid w:val="00B11918"/>
    <w:rsid w:val="00BA6B91"/>
    <w:rsid w:val="00D601ED"/>
    <w:rsid w:val="00D7136D"/>
    <w:rsid w:val="00D95C14"/>
    <w:rsid w:val="00D97CFD"/>
    <w:rsid w:val="00DD58D7"/>
    <w:rsid w:val="00E23D07"/>
    <w:rsid w:val="00EC3C7C"/>
    <w:rsid w:val="00ED5DCC"/>
    <w:rsid w:val="00EE0B15"/>
    <w:rsid w:val="00F056A7"/>
    <w:rsid w:val="00F17F59"/>
    <w:rsid w:val="00F54B46"/>
    <w:rsid w:val="00FC5CC0"/>
    <w:rsid w:val="00FF720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E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205E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205E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205E8"/>
    <w:pPr>
      <w:spacing w:after="120" w:line="240" w:lineRule="atLeast"/>
      <w:outlineLvl w:val="2"/>
    </w:pPr>
    <w:rPr>
      <w:b w:val="0"/>
    </w:rPr>
  </w:style>
  <w:style w:type="paragraph" w:styleId="Heading4">
    <w:name w:val="heading 4"/>
    <w:basedOn w:val="Heading3"/>
    <w:next w:val="RKnormal"/>
    <w:link w:val="Heading4Char"/>
    <w:uiPriority w:val="99"/>
    <w:qFormat/>
    <w:rsid w:val="001205E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205E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1205E8"/>
    <w:pPr>
      <w:tabs>
        <w:tab w:val="left" w:pos="1843"/>
        <w:tab w:val="left" w:pos="2835"/>
      </w:tabs>
      <w:spacing w:line="240" w:lineRule="atLeast"/>
      <w:ind w:left="1843"/>
    </w:pPr>
  </w:style>
  <w:style w:type="paragraph" w:customStyle="1" w:styleId="Avsndare">
    <w:name w:val="Avsändare"/>
    <w:basedOn w:val="Normal"/>
    <w:uiPriority w:val="99"/>
    <w:rsid w:val="001205E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205E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205E8"/>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1205E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205E8"/>
    <w:rPr>
      <w:rFonts w:cs="Times New Roman"/>
    </w:rPr>
  </w:style>
  <w:style w:type="paragraph" w:styleId="BodyText">
    <w:name w:val="Body Text"/>
    <w:basedOn w:val="Normal"/>
    <w:link w:val="BodyTextChar"/>
    <w:uiPriority w:val="99"/>
    <w:rsid w:val="001205E8"/>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1205E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1205E8"/>
    <w:pPr>
      <w:spacing w:line="320" w:lineRule="exact"/>
    </w:pPr>
    <w:rPr>
      <w:rFonts w:ascii="Arial" w:hAnsi="Arial"/>
      <w:b/>
      <w:sz w:val="22"/>
    </w:rPr>
  </w:style>
  <w:style w:type="paragraph" w:styleId="TOC1">
    <w:name w:val="toc 1"/>
    <w:basedOn w:val="Normal"/>
    <w:next w:val="Normal"/>
    <w:autoRedefine/>
    <w:uiPriority w:val="99"/>
    <w:rsid w:val="001205E8"/>
    <w:pPr>
      <w:spacing w:before="360"/>
    </w:pPr>
    <w:rPr>
      <w:rFonts w:ascii="Arial" w:hAnsi="Arial"/>
      <w:b/>
      <w:bCs/>
      <w:caps/>
      <w:szCs w:val="28"/>
    </w:rPr>
  </w:style>
  <w:style w:type="paragraph" w:styleId="TOC2">
    <w:name w:val="toc 2"/>
    <w:basedOn w:val="Normal"/>
    <w:next w:val="Normal"/>
    <w:autoRedefine/>
    <w:uiPriority w:val="99"/>
    <w:rsid w:val="001205E8"/>
    <w:pPr>
      <w:spacing w:before="240"/>
    </w:pPr>
    <w:rPr>
      <w:rFonts w:ascii="Times New Roman" w:hAnsi="Times New Roman"/>
      <w:b/>
      <w:bCs/>
      <w:szCs w:val="24"/>
    </w:rPr>
  </w:style>
  <w:style w:type="paragraph" w:styleId="TOC3">
    <w:name w:val="toc 3"/>
    <w:basedOn w:val="Normal"/>
    <w:next w:val="Normal"/>
    <w:autoRedefine/>
    <w:uiPriority w:val="99"/>
    <w:semiHidden/>
    <w:rsid w:val="001205E8"/>
    <w:pPr>
      <w:ind w:left="240"/>
    </w:pPr>
    <w:rPr>
      <w:rFonts w:ascii="Times New Roman" w:hAnsi="Times New Roman"/>
      <w:szCs w:val="24"/>
    </w:rPr>
  </w:style>
  <w:style w:type="paragraph" w:styleId="TOC4">
    <w:name w:val="toc 4"/>
    <w:basedOn w:val="Normal"/>
    <w:next w:val="Normal"/>
    <w:autoRedefine/>
    <w:uiPriority w:val="99"/>
    <w:semiHidden/>
    <w:rsid w:val="001205E8"/>
    <w:pPr>
      <w:ind w:left="480"/>
    </w:pPr>
    <w:rPr>
      <w:rFonts w:ascii="Times New Roman" w:hAnsi="Times New Roman"/>
      <w:szCs w:val="24"/>
    </w:rPr>
  </w:style>
  <w:style w:type="paragraph" w:styleId="TOC5">
    <w:name w:val="toc 5"/>
    <w:basedOn w:val="Normal"/>
    <w:next w:val="Normal"/>
    <w:autoRedefine/>
    <w:uiPriority w:val="99"/>
    <w:semiHidden/>
    <w:rsid w:val="001205E8"/>
    <w:pPr>
      <w:ind w:left="720"/>
    </w:pPr>
    <w:rPr>
      <w:rFonts w:ascii="Times New Roman" w:hAnsi="Times New Roman"/>
      <w:szCs w:val="24"/>
    </w:rPr>
  </w:style>
  <w:style w:type="paragraph" w:styleId="TOC6">
    <w:name w:val="toc 6"/>
    <w:basedOn w:val="Normal"/>
    <w:next w:val="Normal"/>
    <w:autoRedefine/>
    <w:uiPriority w:val="99"/>
    <w:semiHidden/>
    <w:rsid w:val="001205E8"/>
    <w:pPr>
      <w:ind w:left="960"/>
    </w:pPr>
    <w:rPr>
      <w:rFonts w:ascii="Times New Roman" w:hAnsi="Times New Roman"/>
      <w:szCs w:val="24"/>
    </w:rPr>
  </w:style>
  <w:style w:type="paragraph" w:styleId="TOC7">
    <w:name w:val="toc 7"/>
    <w:basedOn w:val="Normal"/>
    <w:next w:val="Normal"/>
    <w:autoRedefine/>
    <w:uiPriority w:val="99"/>
    <w:semiHidden/>
    <w:rsid w:val="001205E8"/>
    <w:pPr>
      <w:ind w:left="1200"/>
    </w:pPr>
    <w:rPr>
      <w:rFonts w:ascii="Times New Roman" w:hAnsi="Times New Roman"/>
      <w:szCs w:val="24"/>
    </w:rPr>
  </w:style>
  <w:style w:type="paragraph" w:styleId="TOC8">
    <w:name w:val="toc 8"/>
    <w:basedOn w:val="Normal"/>
    <w:next w:val="Normal"/>
    <w:autoRedefine/>
    <w:uiPriority w:val="99"/>
    <w:semiHidden/>
    <w:rsid w:val="001205E8"/>
    <w:pPr>
      <w:ind w:left="1440"/>
    </w:pPr>
    <w:rPr>
      <w:rFonts w:ascii="Times New Roman" w:hAnsi="Times New Roman"/>
      <w:szCs w:val="24"/>
    </w:rPr>
  </w:style>
  <w:style w:type="paragraph" w:styleId="TOC9">
    <w:name w:val="toc 9"/>
    <w:basedOn w:val="Normal"/>
    <w:next w:val="Normal"/>
    <w:autoRedefine/>
    <w:uiPriority w:val="99"/>
    <w:semiHidden/>
    <w:rsid w:val="001205E8"/>
    <w:pPr>
      <w:ind w:left="1680"/>
    </w:pPr>
    <w:rPr>
      <w:rFonts w:ascii="Times New Roman" w:hAnsi="Times New Roman"/>
      <w:szCs w:val="24"/>
    </w:rPr>
  </w:style>
  <w:style w:type="paragraph" w:customStyle="1" w:styleId="Text1">
    <w:name w:val="Text 1"/>
    <w:basedOn w:val="Normal"/>
    <w:uiPriority w:val="99"/>
    <w:rsid w:val="001205E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205E8"/>
    <w:rPr>
      <w:rFonts w:cs="Times New Roman"/>
      <w:vertAlign w:val="superscript"/>
    </w:rPr>
  </w:style>
  <w:style w:type="paragraph" w:styleId="Index1">
    <w:name w:val="index 1"/>
    <w:basedOn w:val="Normal"/>
    <w:next w:val="Normal"/>
    <w:autoRedefine/>
    <w:uiPriority w:val="99"/>
    <w:semiHidden/>
    <w:rsid w:val="001205E8"/>
    <w:pPr>
      <w:ind w:left="240" w:hanging="240"/>
    </w:pPr>
    <w:rPr>
      <w:rFonts w:ascii="Times New Roman" w:hAnsi="Times New Roman"/>
      <w:szCs w:val="24"/>
    </w:rPr>
  </w:style>
  <w:style w:type="paragraph" w:styleId="Index2">
    <w:name w:val="index 2"/>
    <w:basedOn w:val="Normal"/>
    <w:next w:val="Normal"/>
    <w:autoRedefine/>
    <w:uiPriority w:val="99"/>
    <w:semiHidden/>
    <w:rsid w:val="001205E8"/>
    <w:pPr>
      <w:ind w:left="480" w:hanging="240"/>
    </w:pPr>
    <w:rPr>
      <w:rFonts w:ascii="Times New Roman" w:hAnsi="Times New Roman"/>
      <w:szCs w:val="24"/>
    </w:rPr>
  </w:style>
  <w:style w:type="paragraph" w:styleId="Index3">
    <w:name w:val="index 3"/>
    <w:basedOn w:val="Normal"/>
    <w:next w:val="Normal"/>
    <w:autoRedefine/>
    <w:uiPriority w:val="99"/>
    <w:semiHidden/>
    <w:rsid w:val="001205E8"/>
    <w:pPr>
      <w:ind w:left="720" w:hanging="240"/>
    </w:pPr>
    <w:rPr>
      <w:rFonts w:ascii="Times New Roman" w:hAnsi="Times New Roman"/>
      <w:szCs w:val="24"/>
    </w:rPr>
  </w:style>
  <w:style w:type="paragraph" w:styleId="Index4">
    <w:name w:val="index 4"/>
    <w:basedOn w:val="Normal"/>
    <w:next w:val="Normal"/>
    <w:autoRedefine/>
    <w:uiPriority w:val="99"/>
    <w:semiHidden/>
    <w:rsid w:val="001205E8"/>
    <w:pPr>
      <w:ind w:left="960" w:hanging="240"/>
    </w:pPr>
    <w:rPr>
      <w:rFonts w:ascii="Times New Roman" w:hAnsi="Times New Roman"/>
      <w:szCs w:val="24"/>
    </w:rPr>
  </w:style>
  <w:style w:type="paragraph" w:styleId="Index5">
    <w:name w:val="index 5"/>
    <w:basedOn w:val="Normal"/>
    <w:next w:val="Normal"/>
    <w:autoRedefine/>
    <w:uiPriority w:val="99"/>
    <w:semiHidden/>
    <w:rsid w:val="001205E8"/>
    <w:pPr>
      <w:ind w:left="1200" w:hanging="240"/>
    </w:pPr>
    <w:rPr>
      <w:rFonts w:ascii="Times New Roman" w:hAnsi="Times New Roman"/>
      <w:szCs w:val="24"/>
    </w:rPr>
  </w:style>
  <w:style w:type="paragraph" w:styleId="Index6">
    <w:name w:val="index 6"/>
    <w:basedOn w:val="Normal"/>
    <w:next w:val="Normal"/>
    <w:autoRedefine/>
    <w:uiPriority w:val="99"/>
    <w:semiHidden/>
    <w:rsid w:val="001205E8"/>
    <w:pPr>
      <w:ind w:left="1440" w:hanging="240"/>
    </w:pPr>
    <w:rPr>
      <w:rFonts w:ascii="Times New Roman" w:hAnsi="Times New Roman"/>
      <w:szCs w:val="24"/>
    </w:rPr>
  </w:style>
  <w:style w:type="paragraph" w:styleId="Index7">
    <w:name w:val="index 7"/>
    <w:basedOn w:val="Normal"/>
    <w:next w:val="Normal"/>
    <w:autoRedefine/>
    <w:uiPriority w:val="99"/>
    <w:semiHidden/>
    <w:rsid w:val="001205E8"/>
    <w:pPr>
      <w:ind w:left="1680" w:hanging="240"/>
    </w:pPr>
    <w:rPr>
      <w:rFonts w:ascii="Times New Roman" w:hAnsi="Times New Roman"/>
      <w:szCs w:val="24"/>
    </w:rPr>
  </w:style>
  <w:style w:type="paragraph" w:styleId="Index8">
    <w:name w:val="index 8"/>
    <w:basedOn w:val="Normal"/>
    <w:next w:val="Normal"/>
    <w:autoRedefine/>
    <w:uiPriority w:val="99"/>
    <w:semiHidden/>
    <w:rsid w:val="001205E8"/>
    <w:pPr>
      <w:ind w:left="1920" w:hanging="240"/>
    </w:pPr>
    <w:rPr>
      <w:rFonts w:ascii="Times New Roman" w:hAnsi="Times New Roman"/>
      <w:szCs w:val="24"/>
    </w:rPr>
  </w:style>
  <w:style w:type="paragraph" w:styleId="Index9">
    <w:name w:val="index 9"/>
    <w:basedOn w:val="Normal"/>
    <w:next w:val="Normal"/>
    <w:autoRedefine/>
    <w:uiPriority w:val="99"/>
    <w:semiHidden/>
    <w:rsid w:val="001205E8"/>
    <w:pPr>
      <w:ind w:left="2160" w:hanging="240"/>
    </w:pPr>
    <w:rPr>
      <w:rFonts w:ascii="Times New Roman" w:hAnsi="Times New Roman"/>
      <w:szCs w:val="24"/>
    </w:rPr>
  </w:style>
  <w:style w:type="paragraph" w:styleId="IndexHeading">
    <w:name w:val="index heading"/>
    <w:basedOn w:val="Normal"/>
    <w:next w:val="Index1"/>
    <w:uiPriority w:val="99"/>
    <w:semiHidden/>
    <w:rsid w:val="001205E8"/>
    <w:pPr>
      <w:spacing w:before="120" w:after="120"/>
    </w:pPr>
    <w:rPr>
      <w:rFonts w:ascii="Times New Roman" w:hAnsi="Times New Roman"/>
      <w:b/>
      <w:bCs/>
      <w:i/>
      <w:iCs/>
      <w:szCs w:val="24"/>
    </w:rPr>
  </w:style>
  <w:style w:type="paragraph" w:customStyle="1" w:styleId="EntEmet">
    <w:name w:val="EntEmet"/>
    <w:basedOn w:val="Normal"/>
    <w:uiPriority w:val="99"/>
    <w:rsid w:val="001205E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205E8"/>
    <w:pPr>
      <w:spacing w:line="240" w:lineRule="auto"/>
    </w:pPr>
    <w:rPr>
      <w:rFonts w:ascii="Arial" w:hAnsi="Arial"/>
      <w:lang w:val="en-GB"/>
    </w:rPr>
  </w:style>
  <w:style w:type="paragraph" w:customStyle="1" w:styleId="Avsndare0">
    <w:name w:val="Avsndare"/>
    <w:basedOn w:val="Normal"/>
    <w:next w:val="Normal"/>
    <w:uiPriority w:val="99"/>
    <w:rsid w:val="001205E8"/>
    <w:pPr>
      <w:spacing w:line="240" w:lineRule="auto"/>
    </w:pPr>
    <w:rPr>
      <w:rFonts w:ascii="Arial" w:hAnsi="Arial"/>
      <w:i/>
      <w:lang w:val="en-GB"/>
    </w:rPr>
  </w:style>
  <w:style w:type="character" w:styleId="Hyperlink">
    <w:name w:val="Hyperlink"/>
    <w:basedOn w:val="DefaultParagraphFont"/>
    <w:uiPriority w:val="99"/>
    <w:rsid w:val="001205E8"/>
    <w:rPr>
      <w:rFonts w:cs="Times New Roman"/>
      <w:color w:val="0000FF"/>
      <w:u w:val="single"/>
    </w:rPr>
  </w:style>
  <w:style w:type="paragraph" w:styleId="DocumentMap">
    <w:name w:val="Document Map"/>
    <w:basedOn w:val="Normal"/>
    <w:link w:val="DocumentMapChar"/>
    <w:uiPriority w:val="99"/>
    <w:semiHidden/>
    <w:rsid w:val="001205E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1205E8"/>
    <w:rPr>
      <w:rFonts w:cs="Times New Roman"/>
      <w:color w:val="800080"/>
      <w:u w:val="single"/>
    </w:rPr>
  </w:style>
  <w:style w:type="paragraph" w:customStyle="1" w:styleId="Par-number10">
    <w:name w:val="Par-number 1)"/>
    <w:basedOn w:val="Normal"/>
    <w:next w:val="Normal"/>
    <w:uiPriority w:val="99"/>
    <w:rsid w:val="001205E8"/>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1205E8"/>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1205E8"/>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1205E8"/>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1205E8"/>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1205E8"/>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205E8"/>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205E8"/>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205E8"/>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1205E8"/>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1205E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205E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1205E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205E8"/>
    <w:pPr>
      <w:spacing w:line="240" w:lineRule="auto"/>
    </w:pPr>
    <w:rPr>
      <w:rFonts w:ascii="Times New Roman" w:hAnsi="Times New Roman"/>
      <w:lang w:val="en-GB" w:eastAsia="fr-BE"/>
    </w:rPr>
  </w:style>
  <w:style w:type="paragraph" w:customStyle="1" w:styleId="Tiret1">
    <w:name w:val="Tiret 1"/>
    <w:basedOn w:val="Normal"/>
    <w:uiPriority w:val="99"/>
    <w:rsid w:val="001205E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205E8"/>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1205E8"/>
    <w:pPr>
      <w:overflowPunct w:val="0"/>
      <w:autoSpaceDE w:val="0"/>
      <w:autoSpaceDN w:val="0"/>
      <w:adjustRightInd w:val="0"/>
      <w:ind w:left="1843"/>
      <w:textAlignment w:val="baseline"/>
    </w:pPr>
  </w:style>
  <w:style w:type="paragraph" w:customStyle="1" w:styleId="Brdtext0">
    <w:name w:val="Brˆdtext"/>
    <w:basedOn w:val="Normal"/>
    <w:uiPriority w:val="99"/>
    <w:rsid w:val="001205E8"/>
    <w:pPr>
      <w:spacing w:line="320" w:lineRule="exact"/>
    </w:pPr>
    <w:rPr>
      <w:rFonts w:ascii="Times New Roman" w:hAnsi="Times New Roman"/>
    </w:rPr>
  </w:style>
  <w:style w:type="character" w:customStyle="1" w:styleId="term">
    <w:name w:val="term"/>
    <w:basedOn w:val="DefaultParagraphFont"/>
    <w:uiPriority w:val="99"/>
    <w:rsid w:val="001205E8"/>
    <w:rPr>
      <w:rFonts w:cs="Times New Roman"/>
    </w:rPr>
  </w:style>
  <w:style w:type="paragraph" w:customStyle="1" w:styleId="Brdtexthuvud">
    <w:name w:val="Brödtext huvud"/>
    <w:basedOn w:val="Normal"/>
    <w:uiPriority w:val="99"/>
    <w:rsid w:val="001205E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E0B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E0B1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2939</Words>
  <Characters>17931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3</cp:revision>
  <cp:lastPrinted>2006-02-01T08:16:00Z</cp:lastPrinted>
  <dcterms:created xsi:type="dcterms:W3CDTF">2012-10-18T12:32:00Z</dcterms:created>
  <dcterms:modified xsi:type="dcterms:W3CDTF">2012-10-18T12:36:00Z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7184c05e-d9d2-4a2e-966b-e80749c26c27</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JE6N4JFJXNNF-9-51292</vt:lpwstr>
  </property>
  <property fmtid="{D5CDD505-2E9C-101B-9397-08002B2CF9AE}" pid="18" name="_dlc_DocIdUrl">
    <vt:lpwstr>http://rkdhs-sb/enhet/EUKansli/_layouts/DocIdRedir.aspx?ID=JE6N4JFJXNNF-9-51292, JE6N4JFJXNNF-9-51292</vt:lpwstr>
  </property>
</Properties>
</file>