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FC376B" w:rsidRPr="00EE4111">
        <w:tblPrEx>
          <w:tblCellMar>
            <w:top w:w="0" w:type="dxa"/>
            <w:bottom w:w="0" w:type="dxa"/>
          </w:tblCellMar>
        </w:tblPrEx>
        <w:tc>
          <w:tcPr>
            <w:tcW w:w="2268" w:type="dxa"/>
          </w:tcPr>
          <w:p w:rsidR="00FC376B" w:rsidRPr="00EE4111" w:rsidRDefault="00FC376B">
            <w:pPr>
              <w:framePr w:w="4400" w:h="1644" w:wrap="notBeside" w:vAnchor="page" w:hAnchor="page" w:x="6573" w:y="721"/>
              <w:rPr>
                <w:rFonts w:ascii="TradeGothic" w:hAnsi="TradeGothic"/>
                <w:i/>
                <w:sz w:val="18"/>
              </w:rPr>
            </w:pPr>
          </w:p>
        </w:tc>
        <w:tc>
          <w:tcPr>
            <w:tcW w:w="2347" w:type="dxa"/>
            <w:gridSpan w:val="2"/>
          </w:tcPr>
          <w:p w:rsidR="00FC376B" w:rsidRPr="00EE4111" w:rsidRDefault="00FC376B">
            <w:pPr>
              <w:framePr w:w="4400" w:h="1644" w:wrap="notBeside" w:vAnchor="page" w:hAnchor="page" w:x="6573" w:y="721"/>
              <w:rPr>
                <w:rFonts w:ascii="TradeGothic" w:hAnsi="TradeGothic"/>
                <w:i/>
                <w:sz w:val="18"/>
              </w:rPr>
            </w:pPr>
          </w:p>
        </w:tc>
      </w:tr>
      <w:tr w:rsidR="00FC376B" w:rsidRPr="00EE4111">
        <w:tblPrEx>
          <w:tblCellMar>
            <w:top w:w="0" w:type="dxa"/>
            <w:bottom w:w="0" w:type="dxa"/>
          </w:tblCellMar>
        </w:tblPrEx>
        <w:tc>
          <w:tcPr>
            <w:tcW w:w="2268" w:type="dxa"/>
          </w:tcPr>
          <w:p w:rsidR="00FC376B" w:rsidRPr="00EE4111" w:rsidRDefault="00FC376B">
            <w:pPr>
              <w:framePr w:w="4400" w:h="1644" w:wrap="notBeside" w:vAnchor="page" w:hAnchor="page" w:x="6573" w:y="721"/>
              <w:rPr>
                <w:rFonts w:ascii="TradeGothic" w:hAnsi="TradeGothic"/>
                <w:b/>
                <w:sz w:val="22"/>
              </w:rPr>
            </w:pPr>
            <w:r w:rsidRPr="00EE4111">
              <w:rPr>
                <w:rFonts w:ascii="TradeGothic" w:hAnsi="TradeGothic"/>
                <w:b/>
                <w:sz w:val="22"/>
              </w:rPr>
              <w:t xml:space="preserve">PM </w:t>
            </w:r>
            <w:r w:rsidR="00A834AB" w:rsidRPr="00EE4111">
              <w:rPr>
                <w:rFonts w:ascii="TradeGothic" w:hAnsi="TradeGothic"/>
                <w:b/>
                <w:sz w:val="22"/>
              </w:rPr>
              <w:t>till Riksdagen</w:t>
            </w:r>
          </w:p>
        </w:tc>
        <w:tc>
          <w:tcPr>
            <w:tcW w:w="2347" w:type="dxa"/>
            <w:gridSpan w:val="2"/>
          </w:tcPr>
          <w:p w:rsidR="00FC376B" w:rsidRPr="00EE4111" w:rsidRDefault="004664F4">
            <w:pPr>
              <w:framePr w:w="4400" w:h="1644" w:wrap="notBeside" w:vAnchor="page" w:hAnchor="page" w:x="6573" w:y="721"/>
              <w:rPr>
                <w:rFonts w:ascii="TradeGothic" w:hAnsi="TradeGothic"/>
                <w:iCs/>
                <w:sz w:val="22"/>
              </w:rPr>
            </w:pPr>
            <w:r w:rsidRPr="00EE4111">
              <w:rPr>
                <w:rFonts w:ascii="TradeGothic" w:hAnsi="TradeGothic"/>
                <w:iCs/>
                <w:sz w:val="22"/>
              </w:rPr>
              <w:t>Fi200</w:t>
            </w:r>
            <w:r w:rsidR="00F46101" w:rsidRPr="00EE4111">
              <w:rPr>
                <w:rFonts w:ascii="TradeGothic" w:hAnsi="TradeGothic"/>
                <w:iCs/>
                <w:sz w:val="22"/>
              </w:rPr>
              <w:t>9</w:t>
            </w:r>
            <w:r w:rsidRPr="00EE4111">
              <w:rPr>
                <w:rFonts w:ascii="TradeGothic" w:hAnsi="TradeGothic"/>
                <w:iCs/>
                <w:sz w:val="22"/>
              </w:rPr>
              <w:t>/</w:t>
            </w:r>
            <w:r w:rsidR="00F46101" w:rsidRPr="00EE4111">
              <w:rPr>
                <w:rFonts w:ascii="TradeGothic" w:hAnsi="TradeGothic"/>
                <w:iCs/>
                <w:sz w:val="22"/>
              </w:rPr>
              <w:t>4229</w:t>
            </w:r>
          </w:p>
        </w:tc>
      </w:tr>
      <w:tr w:rsidR="00FC376B" w:rsidRPr="00EE4111">
        <w:tblPrEx>
          <w:tblCellMar>
            <w:top w:w="0" w:type="dxa"/>
            <w:bottom w:w="0" w:type="dxa"/>
          </w:tblCellMar>
        </w:tblPrEx>
        <w:tc>
          <w:tcPr>
            <w:tcW w:w="3402" w:type="dxa"/>
            <w:gridSpan w:val="2"/>
          </w:tcPr>
          <w:p w:rsidR="00FC376B" w:rsidRPr="00EE4111" w:rsidRDefault="00FC376B">
            <w:pPr>
              <w:framePr w:w="4400" w:h="1644" w:wrap="notBeside" w:vAnchor="page" w:hAnchor="page" w:x="6573" w:y="721"/>
            </w:pPr>
          </w:p>
        </w:tc>
        <w:tc>
          <w:tcPr>
            <w:tcW w:w="1213" w:type="dxa"/>
          </w:tcPr>
          <w:p w:rsidR="00FC376B" w:rsidRPr="00EE4111" w:rsidRDefault="00FC376B">
            <w:pPr>
              <w:framePr w:w="4400" w:h="1644" w:wrap="notBeside" w:vAnchor="page" w:hAnchor="page" w:x="6573" w:y="721"/>
            </w:pPr>
          </w:p>
        </w:tc>
      </w:tr>
      <w:tr w:rsidR="00FC376B" w:rsidRPr="00EE4111">
        <w:tblPrEx>
          <w:tblCellMar>
            <w:top w:w="0" w:type="dxa"/>
            <w:bottom w:w="0" w:type="dxa"/>
          </w:tblCellMar>
        </w:tblPrEx>
        <w:tc>
          <w:tcPr>
            <w:tcW w:w="2268" w:type="dxa"/>
          </w:tcPr>
          <w:p w:rsidR="00FC376B" w:rsidRPr="00EE4111" w:rsidRDefault="00FC376B">
            <w:pPr>
              <w:framePr w:w="4400" w:h="1644" w:wrap="notBeside" w:vAnchor="page" w:hAnchor="page" w:x="6573" w:y="721"/>
            </w:pPr>
            <w:r w:rsidRPr="00EE4111">
              <w:t>200</w:t>
            </w:r>
            <w:r w:rsidR="00F46101" w:rsidRPr="00EE4111">
              <w:t>9</w:t>
            </w:r>
            <w:r w:rsidRPr="00EE4111">
              <w:t>-0</w:t>
            </w:r>
            <w:r w:rsidR="006B051B" w:rsidRPr="00EE4111">
              <w:t>7</w:t>
            </w:r>
            <w:r w:rsidRPr="00EE4111">
              <w:t>-</w:t>
            </w:r>
            <w:r w:rsidR="00F46101" w:rsidRPr="00EE4111">
              <w:t>26</w:t>
            </w:r>
          </w:p>
        </w:tc>
        <w:tc>
          <w:tcPr>
            <w:tcW w:w="2347" w:type="dxa"/>
            <w:gridSpan w:val="2"/>
          </w:tcPr>
          <w:p w:rsidR="00FC376B" w:rsidRPr="00EE4111" w:rsidRDefault="00FC376B">
            <w:pPr>
              <w:framePr w:w="4400" w:h="1644" w:wrap="notBeside" w:vAnchor="page" w:hAnchor="page" w:x="6573" w:y="721"/>
            </w:pPr>
          </w:p>
        </w:tc>
      </w:tr>
      <w:tr w:rsidR="00FC376B" w:rsidRPr="00EE4111">
        <w:tblPrEx>
          <w:tblCellMar>
            <w:top w:w="0" w:type="dxa"/>
            <w:bottom w:w="0" w:type="dxa"/>
          </w:tblCellMar>
        </w:tblPrEx>
        <w:tc>
          <w:tcPr>
            <w:tcW w:w="2268" w:type="dxa"/>
          </w:tcPr>
          <w:p w:rsidR="00FC376B" w:rsidRPr="00EE4111" w:rsidRDefault="00FC376B">
            <w:pPr>
              <w:framePr w:w="4400" w:h="1644" w:wrap="notBeside" w:vAnchor="page" w:hAnchor="page" w:x="6573" w:y="721"/>
            </w:pPr>
          </w:p>
        </w:tc>
        <w:tc>
          <w:tcPr>
            <w:tcW w:w="2347" w:type="dxa"/>
            <w:gridSpan w:val="2"/>
          </w:tcPr>
          <w:p w:rsidR="00FC376B" w:rsidRPr="00EE4111" w:rsidRDefault="00FC376B">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FC376B" w:rsidRPr="00EE4111">
        <w:tblPrEx>
          <w:tblCellMar>
            <w:top w:w="0" w:type="dxa"/>
            <w:bottom w:w="0" w:type="dxa"/>
          </w:tblCellMar>
        </w:tblPrEx>
        <w:trPr>
          <w:trHeight w:val="284"/>
        </w:trPr>
        <w:tc>
          <w:tcPr>
            <w:tcW w:w="4911" w:type="dxa"/>
          </w:tcPr>
          <w:p w:rsidR="00FC376B" w:rsidRPr="00EE4111" w:rsidRDefault="00FC376B">
            <w:pPr>
              <w:pStyle w:val="Avsndare"/>
              <w:framePr w:h="2483" w:wrap="notBeside" w:x="1504"/>
              <w:rPr>
                <w:b/>
                <w:i w:val="0"/>
                <w:sz w:val="22"/>
              </w:rPr>
            </w:pPr>
            <w:r w:rsidRPr="00EE4111">
              <w:rPr>
                <w:b/>
                <w:i w:val="0"/>
                <w:sz w:val="22"/>
              </w:rPr>
              <w:t>Finansdepartementet</w:t>
            </w:r>
          </w:p>
        </w:tc>
      </w:tr>
      <w:tr w:rsidR="00FC376B" w:rsidRPr="00EE4111">
        <w:tblPrEx>
          <w:tblCellMar>
            <w:top w:w="0" w:type="dxa"/>
            <w:bottom w:w="0" w:type="dxa"/>
          </w:tblCellMar>
        </w:tblPrEx>
        <w:trPr>
          <w:trHeight w:val="284"/>
        </w:trPr>
        <w:tc>
          <w:tcPr>
            <w:tcW w:w="4911" w:type="dxa"/>
          </w:tcPr>
          <w:p w:rsidR="00FC376B" w:rsidRPr="00EE4111" w:rsidRDefault="00FC376B">
            <w:pPr>
              <w:pStyle w:val="Avsndare"/>
              <w:framePr w:h="2483" w:wrap="notBeside" w:x="1504"/>
              <w:rPr>
                <w:bCs/>
                <w:iCs/>
              </w:rPr>
            </w:pPr>
          </w:p>
        </w:tc>
      </w:tr>
      <w:tr w:rsidR="00FC376B" w:rsidRPr="00EE4111">
        <w:tblPrEx>
          <w:tblCellMar>
            <w:top w:w="0" w:type="dxa"/>
            <w:bottom w:w="0" w:type="dxa"/>
          </w:tblCellMar>
        </w:tblPrEx>
        <w:trPr>
          <w:trHeight w:val="284"/>
        </w:trPr>
        <w:tc>
          <w:tcPr>
            <w:tcW w:w="4911" w:type="dxa"/>
          </w:tcPr>
          <w:p w:rsidR="00FC376B" w:rsidRPr="00EE4111" w:rsidRDefault="00FC376B">
            <w:pPr>
              <w:pStyle w:val="Avsndare"/>
              <w:framePr w:h="2483" w:wrap="notBeside" w:x="1504"/>
              <w:rPr>
                <w:bCs/>
                <w:iCs/>
              </w:rPr>
            </w:pPr>
            <w:r w:rsidRPr="00EE4111">
              <w:rPr>
                <w:bCs/>
                <w:iCs/>
              </w:rPr>
              <w:t>Budgetavdelningen</w:t>
            </w:r>
          </w:p>
        </w:tc>
      </w:tr>
      <w:tr w:rsidR="00FC376B" w:rsidRPr="00EE4111">
        <w:tblPrEx>
          <w:tblCellMar>
            <w:top w:w="0" w:type="dxa"/>
            <w:bottom w:w="0" w:type="dxa"/>
          </w:tblCellMar>
        </w:tblPrEx>
        <w:trPr>
          <w:trHeight w:val="284"/>
        </w:trPr>
        <w:tc>
          <w:tcPr>
            <w:tcW w:w="4911" w:type="dxa"/>
          </w:tcPr>
          <w:p w:rsidR="00FC376B" w:rsidRPr="00EE4111" w:rsidRDefault="00FC376B">
            <w:pPr>
              <w:pStyle w:val="Avsndare"/>
              <w:framePr w:h="2483" w:wrap="notBeside" w:x="1504"/>
              <w:rPr>
                <w:bCs/>
                <w:iCs/>
              </w:rPr>
            </w:pPr>
            <w:r w:rsidRPr="00EE4111">
              <w:rPr>
                <w:bCs/>
                <w:iCs/>
              </w:rPr>
              <w:t>EU-budgetenheten</w:t>
            </w:r>
          </w:p>
        </w:tc>
      </w:tr>
      <w:tr w:rsidR="00FC376B" w:rsidRPr="00EE4111">
        <w:tblPrEx>
          <w:tblCellMar>
            <w:top w:w="0" w:type="dxa"/>
            <w:bottom w:w="0" w:type="dxa"/>
          </w:tblCellMar>
        </w:tblPrEx>
        <w:trPr>
          <w:trHeight w:val="284"/>
        </w:trPr>
        <w:tc>
          <w:tcPr>
            <w:tcW w:w="4911" w:type="dxa"/>
          </w:tcPr>
          <w:p w:rsidR="00FC376B" w:rsidRPr="00EE4111" w:rsidRDefault="00FC376B">
            <w:pPr>
              <w:pStyle w:val="Avsndare"/>
              <w:framePr w:h="2483" w:wrap="notBeside" w:x="1504"/>
              <w:rPr>
                <w:bCs/>
                <w:iCs/>
              </w:rPr>
            </w:pPr>
          </w:p>
        </w:tc>
      </w:tr>
      <w:tr w:rsidR="00FC376B" w:rsidRPr="00EE4111">
        <w:tblPrEx>
          <w:tblCellMar>
            <w:top w:w="0" w:type="dxa"/>
            <w:bottom w:w="0" w:type="dxa"/>
          </w:tblCellMar>
        </w:tblPrEx>
        <w:trPr>
          <w:trHeight w:val="284"/>
        </w:trPr>
        <w:tc>
          <w:tcPr>
            <w:tcW w:w="4911" w:type="dxa"/>
          </w:tcPr>
          <w:p w:rsidR="00FC376B" w:rsidRPr="00EE4111" w:rsidRDefault="00FC376B">
            <w:pPr>
              <w:pStyle w:val="Avsndare"/>
              <w:framePr w:h="2483" w:wrap="notBeside" w:x="1504"/>
              <w:rPr>
                <w:bCs/>
                <w:iCs/>
              </w:rPr>
            </w:pPr>
          </w:p>
        </w:tc>
      </w:tr>
      <w:tr w:rsidR="00FC376B" w:rsidRPr="00EE4111">
        <w:tblPrEx>
          <w:tblCellMar>
            <w:top w:w="0" w:type="dxa"/>
            <w:bottom w:w="0" w:type="dxa"/>
          </w:tblCellMar>
        </w:tblPrEx>
        <w:trPr>
          <w:trHeight w:val="284"/>
        </w:trPr>
        <w:tc>
          <w:tcPr>
            <w:tcW w:w="4911" w:type="dxa"/>
          </w:tcPr>
          <w:p w:rsidR="00FC376B" w:rsidRPr="00EE4111" w:rsidRDefault="00FC376B">
            <w:pPr>
              <w:pStyle w:val="Avsndare"/>
              <w:framePr w:h="2483" w:wrap="notBeside" w:x="1504"/>
              <w:rPr>
                <w:bCs/>
                <w:iCs/>
              </w:rPr>
            </w:pPr>
          </w:p>
        </w:tc>
      </w:tr>
      <w:tr w:rsidR="00FC376B" w:rsidRPr="00EE4111">
        <w:tblPrEx>
          <w:tblCellMar>
            <w:top w:w="0" w:type="dxa"/>
            <w:bottom w:w="0" w:type="dxa"/>
          </w:tblCellMar>
        </w:tblPrEx>
        <w:trPr>
          <w:trHeight w:val="284"/>
        </w:trPr>
        <w:tc>
          <w:tcPr>
            <w:tcW w:w="4911" w:type="dxa"/>
          </w:tcPr>
          <w:p w:rsidR="00FC376B" w:rsidRPr="00EE4111" w:rsidRDefault="00FC376B">
            <w:pPr>
              <w:pStyle w:val="Avsndare"/>
              <w:framePr w:h="2483" w:wrap="notBeside" w:x="1504"/>
              <w:rPr>
                <w:bCs/>
                <w:iCs/>
              </w:rPr>
            </w:pPr>
          </w:p>
        </w:tc>
      </w:tr>
      <w:tr w:rsidR="00FC376B" w:rsidRPr="00EE4111">
        <w:tblPrEx>
          <w:tblCellMar>
            <w:top w:w="0" w:type="dxa"/>
            <w:bottom w:w="0" w:type="dxa"/>
          </w:tblCellMar>
        </w:tblPrEx>
        <w:trPr>
          <w:trHeight w:val="284"/>
        </w:trPr>
        <w:tc>
          <w:tcPr>
            <w:tcW w:w="4911" w:type="dxa"/>
          </w:tcPr>
          <w:p w:rsidR="00FC376B" w:rsidRPr="00EE4111" w:rsidRDefault="00FC376B">
            <w:pPr>
              <w:pStyle w:val="Avsndare"/>
              <w:framePr w:h="2483" w:wrap="notBeside" w:x="1504"/>
              <w:rPr>
                <w:bCs/>
                <w:iCs/>
              </w:rPr>
            </w:pPr>
          </w:p>
        </w:tc>
      </w:tr>
      <w:tr w:rsidR="00FC376B" w:rsidRPr="00EE4111">
        <w:tblPrEx>
          <w:tblCellMar>
            <w:top w:w="0" w:type="dxa"/>
            <w:bottom w:w="0" w:type="dxa"/>
          </w:tblCellMar>
        </w:tblPrEx>
        <w:trPr>
          <w:trHeight w:val="284"/>
        </w:trPr>
        <w:tc>
          <w:tcPr>
            <w:tcW w:w="4911" w:type="dxa"/>
          </w:tcPr>
          <w:p w:rsidR="00FC376B" w:rsidRPr="00EE4111" w:rsidRDefault="00FC376B">
            <w:pPr>
              <w:pStyle w:val="Avsndare"/>
              <w:framePr w:h="2483" w:wrap="notBeside" w:x="1504"/>
              <w:rPr>
                <w:bCs/>
                <w:iCs/>
              </w:rPr>
            </w:pPr>
          </w:p>
        </w:tc>
      </w:tr>
    </w:tbl>
    <w:p w:rsidR="00FC376B" w:rsidRPr="00EE4111" w:rsidRDefault="00FC376B">
      <w:pPr>
        <w:framePr w:w="4400" w:h="2523" w:wrap="notBeside" w:vAnchor="page" w:hAnchor="page" w:x="6453" w:y="2445"/>
        <w:ind w:left="142"/>
      </w:pPr>
      <w:r w:rsidRPr="00EE4111">
        <w:t>EU-nämnden</w:t>
      </w:r>
    </w:p>
    <w:p w:rsidR="00FC376B" w:rsidRPr="00EE4111" w:rsidRDefault="00FC376B">
      <w:pPr>
        <w:framePr w:w="4400" w:h="2523" w:wrap="notBeside" w:vAnchor="page" w:hAnchor="page" w:x="6453" w:y="2445"/>
        <w:ind w:left="142"/>
      </w:pPr>
    </w:p>
    <w:p w:rsidR="00FC376B" w:rsidRPr="00EE4111" w:rsidRDefault="00FC376B">
      <w:pPr>
        <w:framePr w:w="4400" w:h="2523" w:wrap="notBeside" w:vAnchor="page" w:hAnchor="page" w:x="6453" w:y="2445"/>
        <w:ind w:left="142"/>
      </w:pPr>
      <w:r w:rsidRPr="00EE4111">
        <w:t>Inför Ekofinrådet den 1</w:t>
      </w:r>
      <w:r w:rsidR="00F46101" w:rsidRPr="00EE4111">
        <w:t>0</w:t>
      </w:r>
      <w:r w:rsidRPr="00EE4111">
        <w:t xml:space="preserve"> juli 200</w:t>
      </w:r>
      <w:r w:rsidR="00F46101" w:rsidRPr="00EE4111">
        <w:t>9</w:t>
      </w:r>
    </w:p>
    <w:p w:rsidR="00FC376B" w:rsidRPr="00EE4111" w:rsidRDefault="00FC376B">
      <w:pPr>
        <w:pStyle w:val="RKrubrik"/>
        <w:pBdr>
          <w:bottom w:val="single" w:sz="4" w:space="1" w:color="000000"/>
        </w:pBdr>
        <w:spacing w:before="0" w:after="0"/>
      </w:pPr>
      <w:r w:rsidRPr="00EE4111">
        <w:t>Rådets första</w:t>
      </w:r>
      <w:r w:rsidR="006B051B" w:rsidRPr="00EE4111">
        <w:t xml:space="preserve"> läsning av EU:s budget för 20</w:t>
      </w:r>
      <w:r w:rsidR="00F46101" w:rsidRPr="00EE4111">
        <w:t>10</w:t>
      </w:r>
    </w:p>
    <w:p w:rsidR="00FC376B" w:rsidRPr="00EE4111" w:rsidRDefault="00FC376B">
      <w:pPr>
        <w:pStyle w:val="RKrubrik"/>
      </w:pPr>
      <w:r w:rsidRPr="00EE4111">
        <w:t>EU:s budgetprocess</w:t>
      </w:r>
    </w:p>
    <w:p w:rsidR="00FC376B" w:rsidRPr="00EE4111" w:rsidRDefault="00FC376B">
      <w:pPr>
        <w:pStyle w:val="RKnormal"/>
        <w:numPr>
          <w:ilvl w:val="0"/>
          <w:numId w:val="1"/>
        </w:numPr>
      </w:pPr>
      <w:r w:rsidRPr="00EE4111">
        <w:t>Kommissionen (KOM) fattade beslu</w:t>
      </w:r>
      <w:r w:rsidR="006B051B" w:rsidRPr="00EE4111">
        <w:t>t om sitt budgetförslag för 20</w:t>
      </w:r>
      <w:r w:rsidR="00F46101" w:rsidRPr="00EE4111">
        <w:t>10</w:t>
      </w:r>
      <w:r w:rsidR="006B051B" w:rsidRPr="00EE4111">
        <w:t xml:space="preserve"> </w:t>
      </w:r>
      <w:r w:rsidRPr="00EE4111">
        <w:t xml:space="preserve">den </w:t>
      </w:r>
      <w:r w:rsidR="00F46101" w:rsidRPr="00EE4111">
        <w:t>29</w:t>
      </w:r>
      <w:r w:rsidRPr="00EE4111">
        <w:t xml:space="preserve"> </w:t>
      </w:r>
      <w:r w:rsidR="00F46101" w:rsidRPr="00EE4111">
        <w:t>april</w:t>
      </w:r>
      <w:r w:rsidRPr="00EE4111">
        <w:t xml:space="preserve"> i år.</w:t>
      </w:r>
    </w:p>
    <w:p w:rsidR="00FC376B" w:rsidRPr="00EE4111" w:rsidRDefault="00FC376B">
      <w:pPr>
        <w:pStyle w:val="RKnormal"/>
        <w:numPr>
          <w:ilvl w:val="0"/>
          <w:numId w:val="1"/>
        </w:numPr>
      </w:pPr>
      <w:r w:rsidRPr="00EE4111">
        <w:t xml:space="preserve">Förslaget har behandlats av </w:t>
      </w:r>
      <w:r w:rsidR="009E0B39" w:rsidRPr="00EE4111">
        <w:t xml:space="preserve">rådets </w:t>
      </w:r>
      <w:r w:rsidRPr="00EE4111">
        <w:t xml:space="preserve">budgetkommitté som har nått en uppgörelse </w:t>
      </w:r>
      <w:r w:rsidR="00C60607" w:rsidRPr="00EE4111">
        <w:t>med enhällighet</w:t>
      </w:r>
      <w:r w:rsidRPr="00EE4111">
        <w:t xml:space="preserve">. Uppgörelsen </w:t>
      </w:r>
      <w:r w:rsidR="0037183D" w:rsidRPr="00EE4111">
        <w:t xml:space="preserve">behandlas av Coreper den </w:t>
      </w:r>
      <w:r w:rsidR="00F46101" w:rsidRPr="00EE4111">
        <w:t>2</w:t>
      </w:r>
      <w:r w:rsidRPr="00EE4111">
        <w:t xml:space="preserve"> juli.</w:t>
      </w:r>
    </w:p>
    <w:p w:rsidR="00FC376B" w:rsidRPr="00EE4111" w:rsidRDefault="004352D0">
      <w:pPr>
        <w:pStyle w:val="RKnormal"/>
        <w:numPr>
          <w:ilvl w:val="0"/>
          <w:numId w:val="1"/>
        </w:numPr>
      </w:pPr>
      <w:r w:rsidRPr="00EE4111">
        <w:t>Ekofin genomför sin första läsning av kommiss</w:t>
      </w:r>
      <w:r w:rsidR="00F108D2" w:rsidRPr="00EE4111">
        <w:t xml:space="preserve">ionens budgetförslag </w:t>
      </w:r>
      <w:r w:rsidR="00F46101" w:rsidRPr="00EE4111">
        <w:t>den 10</w:t>
      </w:r>
      <w:r w:rsidRPr="00EE4111">
        <w:t xml:space="preserve"> juli.</w:t>
      </w:r>
      <w:r w:rsidR="00FC376B" w:rsidRPr="00EE4111">
        <w:t xml:space="preserve"> I samband med Ekofinmötet sker ett förlikningsmöte med Europaparlamentet.</w:t>
      </w:r>
    </w:p>
    <w:p w:rsidR="00FC376B" w:rsidRPr="00EE4111" w:rsidRDefault="00F46101">
      <w:pPr>
        <w:pStyle w:val="RKnormal"/>
        <w:numPr>
          <w:ilvl w:val="0"/>
          <w:numId w:val="1"/>
        </w:numPr>
      </w:pPr>
      <w:r w:rsidRPr="00EE4111">
        <w:t>Den 22</w:t>
      </w:r>
      <w:r w:rsidR="00FC376B" w:rsidRPr="00EE4111">
        <w:t xml:space="preserve"> oktober genomför Europaparlamentet (EP) sin första läsning av rådets förslag. </w:t>
      </w:r>
    </w:p>
    <w:p w:rsidR="004352D0" w:rsidRPr="00EE4111" w:rsidRDefault="00C60607" w:rsidP="004352D0">
      <w:pPr>
        <w:pStyle w:val="RKnormal"/>
        <w:numPr>
          <w:ilvl w:val="0"/>
          <w:numId w:val="1"/>
        </w:numPr>
      </w:pPr>
      <w:r w:rsidRPr="00EE4111">
        <w:t>Ekofin</w:t>
      </w:r>
      <w:r w:rsidR="004352D0" w:rsidRPr="00EE4111">
        <w:t>rådet genomför sin andra l</w:t>
      </w:r>
      <w:r w:rsidR="00F46101" w:rsidRPr="00EE4111">
        <w:t>äsning av budgetförslaget den 19</w:t>
      </w:r>
      <w:r w:rsidR="004352D0" w:rsidRPr="00EE4111">
        <w:t xml:space="preserve"> november</w:t>
      </w:r>
    </w:p>
    <w:p w:rsidR="00FC376B" w:rsidRPr="00EE4111" w:rsidRDefault="00FC376B">
      <w:pPr>
        <w:pStyle w:val="RKnormal"/>
        <w:numPr>
          <w:ilvl w:val="0"/>
          <w:numId w:val="1"/>
        </w:numPr>
      </w:pPr>
      <w:r w:rsidRPr="00EE4111">
        <w:t xml:space="preserve">EP genomför sin </w:t>
      </w:r>
      <w:r w:rsidR="00F46101" w:rsidRPr="00EE4111">
        <w:t>andra läsning av budgeten den 17</w:t>
      </w:r>
      <w:r w:rsidRPr="00EE4111">
        <w:t xml:space="preserve"> december och fastställer därmed budgeten för 20</w:t>
      </w:r>
      <w:r w:rsidR="00F46101" w:rsidRPr="00EE4111">
        <w:t>10</w:t>
      </w:r>
      <w:r w:rsidRPr="00EE4111">
        <w:t xml:space="preserve">. </w:t>
      </w:r>
    </w:p>
    <w:p w:rsidR="00FC376B" w:rsidRPr="00EE4111" w:rsidRDefault="00FC376B">
      <w:pPr>
        <w:pStyle w:val="RKrubrik"/>
      </w:pPr>
      <w:r w:rsidRPr="00EE4111">
        <w:t>KOM:s p</w:t>
      </w:r>
      <w:r w:rsidR="004352D0" w:rsidRPr="00EE4111">
        <w:t>reliminära budgetutkast för 20</w:t>
      </w:r>
      <w:r w:rsidR="00F46101" w:rsidRPr="00EE4111">
        <w:t>10</w:t>
      </w:r>
    </w:p>
    <w:p w:rsidR="00F46101" w:rsidRPr="00EE4111" w:rsidRDefault="00F46101" w:rsidP="00F46101">
      <w:pPr>
        <w:pStyle w:val="RKnormal"/>
      </w:pPr>
      <w:r w:rsidRPr="00EE4111">
        <w:t xml:space="preserve">Kommissionen (KOM) beslutade den 29 april om sitt preliminära förslag till budget (PDB) för 2010. Utkastet presenterades vid Ekofinrådet den 5 maj. Enligt KOM inriktas 2010 års budget framför allt på att </w:t>
      </w:r>
      <w:r w:rsidR="009E0B39" w:rsidRPr="00EE4111">
        <w:t xml:space="preserve">bidra till att </w:t>
      </w:r>
      <w:r w:rsidRPr="00EE4111">
        <w:t>åstadkomma en ekonomisk återhämtning. Budgetmedlen ska huvudsakligen användas för åtgärder som främjar tillväxt och sysselsättning.</w:t>
      </w:r>
    </w:p>
    <w:p w:rsidR="00F46101" w:rsidRPr="00EE4111" w:rsidRDefault="00F46101" w:rsidP="00F46101">
      <w:pPr>
        <w:pStyle w:val="RKnormal"/>
      </w:pPr>
    </w:p>
    <w:p w:rsidR="00F46101" w:rsidRPr="00EE4111" w:rsidRDefault="00F46101" w:rsidP="00F46101">
      <w:pPr>
        <w:pStyle w:val="RKnormal"/>
      </w:pPr>
      <w:r w:rsidRPr="00EE4111">
        <w:t>KOM:s förslag innebär en ökning av åtagandeanslagen med totalt 2 106 miljoner euro till 138 564 miljoner euro, vilket motsvarar en ökning på 1,5% jämfört med budgeten för 2009. Åtagandenivån motsvarar 1,18% av medlemsstaternas samlade BNI, vilket är oförändrat jämfört med budgeten för 2009. Betalningsanslagen föreslås öka med 5,3% till totalt 122 322 miljoner jämfört med budgeten för 2009. Betalningsnivån motsvarar 1,04% av medlemsstaternas samlade BNI, vilket kan jämföras med 1,00% för budgeten 2009.</w:t>
      </w:r>
    </w:p>
    <w:p w:rsidR="00F46101" w:rsidRPr="00EE4111" w:rsidRDefault="00F46101" w:rsidP="00F46101">
      <w:pPr>
        <w:pStyle w:val="RKnormal"/>
      </w:pPr>
    </w:p>
    <w:p w:rsidR="004E0DA9" w:rsidRPr="00EE4111" w:rsidRDefault="004E0DA9" w:rsidP="00F46101">
      <w:pPr>
        <w:pStyle w:val="RKnormal"/>
      </w:pPr>
      <w:r w:rsidRPr="00EE4111">
        <w:t xml:space="preserve">KOM:s budgetförslag ligger inom de utgiftsramar som rådet, EP och KOM </w:t>
      </w:r>
      <w:r w:rsidR="009E0B39" w:rsidRPr="00EE4111">
        <w:t>fastställt</w:t>
      </w:r>
      <w:r w:rsidRPr="00EE4111">
        <w:t xml:space="preserve"> i den fleråriga budgetramen</w:t>
      </w:r>
      <w:r w:rsidR="009E0B39" w:rsidRPr="00EE4111">
        <w:t xml:space="preserve"> för 2007-2013</w:t>
      </w:r>
      <w:r w:rsidRPr="00EE4111">
        <w:t>. Taket för åtaganden i budgetramen för 2010 uppgår till 1,19% av medlemsstaternas BNI och betalningarna uppgår till 1,14% av medlemsstaternas BNI.</w:t>
      </w:r>
    </w:p>
    <w:p w:rsidR="004E0DA9" w:rsidRPr="00EE4111" w:rsidRDefault="004E0DA9" w:rsidP="00F46101">
      <w:pPr>
        <w:pStyle w:val="RKnormal"/>
      </w:pPr>
    </w:p>
    <w:p w:rsidR="00F46101" w:rsidRPr="00EE4111" w:rsidRDefault="00F46101" w:rsidP="00F46101">
      <w:pPr>
        <w:pStyle w:val="RKnormal"/>
      </w:pPr>
      <w:r w:rsidRPr="00EE4111">
        <w:t xml:space="preserve">De huvudsakliga orsakerna till ökningen av såväl åtaganden som betalningar kan hänföras till ökade utgifter för den gemensamma jordbrukspolitiken och sammanhållningspolitiken. Den främsta förklaringen till ökningarna inom jordbruksområdet är att marknadsåtgärderna och direktstöden ökar på grund av att de nya medlemsstaterna (EU12) stegvis fasas in i direktstödssystemet samt att lägre priser på jordbruksprodukter innebär högre kostnader för offentlig lagring och exportsubventioner. Dessutom minskar de s.k. öronmärkta inkomsterna, vilket kompenseras med ökade anslagsmedel 2010. </w:t>
      </w:r>
    </w:p>
    <w:p w:rsidR="00F46101" w:rsidRPr="00EE4111" w:rsidRDefault="00F46101" w:rsidP="00F46101">
      <w:pPr>
        <w:pStyle w:val="RKnormal"/>
      </w:pPr>
    </w:p>
    <w:p w:rsidR="00F46101" w:rsidRPr="00EE4111" w:rsidRDefault="00F46101" w:rsidP="00F46101">
      <w:pPr>
        <w:pStyle w:val="RKnormal"/>
      </w:pPr>
      <w:r w:rsidRPr="00EE4111">
        <w:t>Sammanhållningspolitiken ökar i enlighet med den profil på åtagandenivån som beslutats i den fleråriga budgetramen 2007-2013. Medlemsstaterna befinner sig nu mitt i programperioden och strukturfonderna har kommit igång på allvar vilket ökar betalningarna.</w:t>
      </w:r>
    </w:p>
    <w:p w:rsidR="00F46101" w:rsidRPr="00EE4111" w:rsidRDefault="00F46101" w:rsidP="00F46101">
      <w:pPr>
        <w:pStyle w:val="RKnormal"/>
      </w:pPr>
    </w:p>
    <w:p w:rsidR="00F46101" w:rsidRPr="00EE4111" w:rsidRDefault="00F46101" w:rsidP="00F46101">
      <w:pPr>
        <w:pStyle w:val="RKnormal"/>
      </w:pPr>
      <w:r w:rsidRPr="00EE4111">
        <w:t>Budgeten ska, i enlighet med överenskommelsen mellan rådet, EP och KOM den 2 april 2009, ökas med ytterligare 2 miljarder euro 2010 för att finansiera resterande del av den ekonomiska återhämtningsplanen. Dessa medel är ännu inte inlagda i budgetförslaget utan finansieringen av dessa ökningar avses beslutas i samband med 2010 års budgetförfarande.</w:t>
      </w:r>
    </w:p>
    <w:p w:rsidR="00FC376B" w:rsidRPr="00EE4111" w:rsidRDefault="00FC376B">
      <w:pPr>
        <w:pStyle w:val="RKrubrik"/>
      </w:pPr>
      <w:r w:rsidRPr="00EE4111">
        <w:t>Rådets kompromiss</w:t>
      </w:r>
      <w:r w:rsidR="00F46101" w:rsidRPr="00EE4111">
        <w:t xml:space="preserve"> i Budgetkommittén</w:t>
      </w:r>
    </w:p>
    <w:p w:rsidR="00EC219E" w:rsidRPr="00EE4111" w:rsidRDefault="00FC376B" w:rsidP="00EC219E">
      <w:pPr>
        <w:pStyle w:val="RKnormal"/>
      </w:pPr>
      <w:r w:rsidRPr="00EE4111">
        <w:t>Kompromissförslaget</w:t>
      </w:r>
      <w:r w:rsidR="00F46101" w:rsidRPr="00EE4111">
        <w:t xml:space="preserve"> som utarbetats i rådets budgetkommitté, och som ska behandlas i Coreper II den 2 juli,</w:t>
      </w:r>
      <w:r w:rsidRPr="00EE4111">
        <w:t xml:space="preserve"> innebär en minskning gentemot KOM</w:t>
      </w:r>
      <w:r w:rsidR="00147198" w:rsidRPr="00EE4111">
        <w:t>:</w:t>
      </w:r>
      <w:r w:rsidRPr="00EE4111">
        <w:t xml:space="preserve">s förslag med </w:t>
      </w:r>
      <w:r w:rsidR="00C60607" w:rsidRPr="00EE4111">
        <w:t>613</w:t>
      </w:r>
      <w:r w:rsidR="00136172" w:rsidRPr="00EE4111">
        <w:t xml:space="preserve"> miljoner eur</w:t>
      </w:r>
      <w:r w:rsidRPr="00EE4111">
        <w:t xml:space="preserve">o för åtaganden och </w:t>
      </w:r>
      <w:r w:rsidR="00C60607" w:rsidRPr="00EE4111">
        <w:t>1</w:t>
      </w:r>
      <w:r w:rsidR="00136172" w:rsidRPr="00EE4111">
        <w:t> </w:t>
      </w:r>
      <w:r w:rsidR="00C60607" w:rsidRPr="00EE4111">
        <w:t>795</w:t>
      </w:r>
      <w:r w:rsidR="00136172" w:rsidRPr="00EE4111">
        <w:t xml:space="preserve"> </w:t>
      </w:r>
      <w:r w:rsidRPr="00EE4111">
        <w:t xml:space="preserve">miljoner euro för betalningarna. </w:t>
      </w:r>
    </w:p>
    <w:p w:rsidR="00EC219E" w:rsidRPr="00EE4111" w:rsidRDefault="00EC219E">
      <w:pPr>
        <w:pStyle w:val="RKnormal"/>
      </w:pPr>
    </w:p>
    <w:p w:rsidR="00FC376B" w:rsidRPr="00EE4111" w:rsidRDefault="00FC376B">
      <w:pPr>
        <w:pStyle w:val="RKnormal"/>
      </w:pPr>
      <w:r w:rsidRPr="00EE4111">
        <w:t>Förändringarna i relation ti</w:t>
      </w:r>
      <w:r w:rsidR="00DB2211" w:rsidRPr="00EE4111">
        <w:t>ll KOM:s förslag ser översiktligt</w:t>
      </w:r>
      <w:r w:rsidRPr="00EE4111">
        <w:t xml:space="preserve"> ut på följande sätt:</w:t>
      </w:r>
    </w:p>
    <w:p w:rsidR="004E0DA9" w:rsidRPr="00EE4111" w:rsidRDefault="004E0DA9">
      <w:pPr>
        <w:pStyle w:val="RKnormal"/>
      </w:pPr>
    </w:p>
    <w:p w:rsidR="0019768C" w:rsidRPr="00EE4111" w:rsidRDefault="0019768C" w:rsidP="0019768C">
      <w:pPr>
        <w:pStyle w:val="RKnormal"/>
        <w:numPr>
          <w:ilvl w:val="0"/>
          <w:numId w:val="4"/>
        </w:numPr>
      </w:pPr>
      <w:r w:rsidRPr="00EE4111">
        <w:rPr>
          <w:i/>
          <w:iCs/>
        </w:rPr>
        <w:t>Rubrik 1a</w:t>
      </w:r>
      <w:r w:rsidR="008161E5" w:rsidRPr="00EE4111">
        <w:t xml:space="preserve">: Åtagandena dras ned med </w:t>
      </w:r>
      <w:r w:rsidR="00C60607" w:rsidRPr="00EE4111">
        <w:t>100</w:t>
      </w:r>
      <w:r w:rsidRPr="00EE4111">
        <w:rPr>
          <w:color w:val="FF0000"/>
        </w:rPr>
        <w:t xml:space="preserve"> </w:t>
      </w:r>
      <w:r w:rsidRPr="00EE4111">
        <w:t>m</w:t>
      </w:r>
      <w:r w:rsidR="00AC6F64" w:rsidRPr="00EE4111">
        <w:t xml:space="preserve">iljoner </w:t>
      </w:r>
      <w:r w:rsidRPr="00EE4111">
        <w:t xml:space="preserve">euro och betalningarna med </w:t>
      </w:r>
      <w:r w:rsidR="00C60607" w:rsidRPr="00EE4111">
        <w:t>408</w:t>
      </w:r>
      <w:r w:rsidRPr="00EE4111">
        <w:t xml:space="preserve"> </w:t>
      </w:r>
      <w:r w:rsidR="00AC6F64" w:rsidRPr="00EE4111">
        <w:t xml:space="preserve">miljoner </w:t>
      </w:r>
      <w:r w:rsidR="00C60607" w:rsidRPr="00EE4111">
        <w:t>euro. Åtagandena minskas</w:t>
      </w:r>
      <w:r w:rsidRPr="00EE4111">
        <w:t xml:space="preserve"> </w:t>
      </w:r>
      <w:r w:rsidR="005079B9" w:rsidRPr="00EE4111">
        <w:t xml:space="preserve">i huvudsak </w:t>
      </w:r>
      <w:r w:rsidR="004573C5" w:rsidRPr="00EE4111">
        <w:t xml:space="preserve">på administrativa </w:t>
      </w:r>
      <w:r w:rsidR="00C60607" w:rsidRPr="00EE4111">
        <w:t>anslag inom de operativa programmen</w:t>
      </w:r>
      <w:r w:rsidR="004573C5" w:rsidRPr="00EE4111">
        <w:t>.</w:t>
      </w:r>
      <w:r w:rsidR="00C60607" w:rsidRPr="00EE4111">
        <w:t xml:space="preserve"> Betalningarna dras ner på ett stort antal anslagsposter inom flertalet politikområden och program.</w:t>
      </w:r>
    </w:p>
    <w:p w:rsidR="0019768C" w:rsidRPr="00EE4111" w:rsidRDefault="0019768C" w:rsidP="0019768C">
      <w:pPr>
        <w:pStyle w:val="RKnormal"/>
      </w:pPr>
    </w:p>
    <w:p w:rsidR="0019768C" w:rsidRPr="00EE4111" w:rsidRDefault="0019768C" w:rsidP="0019768C">
      <w:pPr>
        <w:pStyle w:val="RKnormal"/>
        <w:numPr>
          <w:ilvl w:val="0"/>
          <w:numId w:val="4"/>
        </w:numPr>
      </w:pPr>
      <w:r w:rsidRPr="00EE4111">
        <w:rPr>
          <w:i/>
          <w:iCs/>
        </w:rPr>
        <w:t>Rubrik 1b</w:t>
      </w:r>
      <w:r w:rsidRPr="00EE4111">
        <w:t xml:space="preserve">: Betalningarna dras ned med </w:t>
      </w:r>
      <w:r w:rsidR="008161E5" w:rsidRPr="00EE4111">
        <w:t xml:space="preserve">293 </w:t>
      </w:r>
      <w:r w:rsidR="00AC6F64" w:rsidRPr="00EE4111">
        <w:t xml:space="preserve">miljoner </w:t>
      </w:r>
      <w:r w:rsidRPr="00EE4111">
        <w:t xml:space="preserve">euro </w:t>
      </w:r>
      <w:r w:rsidR="008161E5" w:rsidRPr="00EE4111">
        <w:t>på</w:t>
      </w:r>
      <w:r w:rsidRPr="00EE4111">
        <w:t xml:space="preserve"> social- och regionalfond</w:t>
      </w:r>
      <w:r w:rsidR="004573C5" w:rsidRPr="00EE4111">
        <w:t>en</w:t>
      </w:r>
      <w:r w:rsidRPr="00EE4111">
        <w:t xml:space="preserve">. </w:t>
      </w:r>
    </w:p>
    <w:p w:rsidR="0019768C" w:rsidRPr="00EE4111" w:rsidRDefault="0019768C" w:rsidP="0019768C">
      <w:pPr>
        <w:pStyle w:val="RKnormal"/>
      </w:pPr>
    </w:p>
    <w:p w:rsidR="0019768C" w:rsidRPr="00EE4111" w:rsidRDefault="0019768C" w:rsidP="0019768C">
      <w:pPr>
        <w:pStyle w:val="RKnormal"/>
        <w:numPr>
          <w:ilvl w:val="0"/>
          <w:numId w:val="4"/>
        </w:numPr>
        <w:rPr>
          <w:color w:val="000000"/>
          <w:szCs w:val="24"/>
        </w:rPr>
      </w:pPr>
      <w:r w:rsidRPr="00EE4111">
        <w:rPr>
          <w:i/>
          <w:iCs/>
        </w:rPr>
        <w:t>Rubrik 2</w:t>
      </w:r>
      <w:r w:rsidRPr="00EE4111">
        <w:t xml:space="preserve">: Åtagandena </w:t>
      </w:r>
      <w:r w:rsidR="0049373D" w:rsidRPr="00EE4111">
        <w:t xml:space="preserve">dras ned med </w:t>
      </w:r>
      <w:r w:rsidR="008161E5" w:rsidRPr="00EE4111">
        <w:t>363</w:t>
      </w:r>
      <w:r w:rsidR="0049373D" w:rsidRPr="00EE4111">
        <w:t xml:space="preserve"> </w:t>
      </w:r>
      <w:r w:rsidR="00AC6F64" w:rsidRPr="00EE4111">
        <w:t xml:space="preserve">miljoner </w:t>
      </w:r>
      <w:r w:rsidR="0049373D" w:rsidRPr="00EE4111">
        <w:t>euro och betalningarna</w:t>
      </w:r>
      <w:r w:rsidRPr="00EE4111">
        <w:t xml:space="preserve"> med </w:t>
      </w:r>
      <w:r w:rsidR="008161E5" w:rsidRPr="00EE4111">
        <w:t>491</w:t>
      </w:r>
      <w:r w:rsidRPr="00EE4111">
        <w:t xml:space="preserve"> </w:t>
      </w:r>
      <w:r w:rsidR="00AC6F64" w:rsidRPr="00EE4111">
        <w:t xml:space="preserve">miljoner </w:t>
      </w:r>
      <w:r w:rsidRPr="00EE4111">
        <w:t>euro.</w:t>
      </w:r>
      <w:r w:rsidRPr="00EE4111">
        <w:rPr>
          <w:color w:val="000000"/>
          <w:szCs w:val="24"/>
        </w:rPr>
        <w:t xml:space="preserve"> </w:t>
      </w:r>
      <w:r w:rsidR="0049373D" w:rsidRPr="00EE4111">
        <w:rPr>
          <w:color w:val="000000"/>
          <w:szCs w:val="24"/>
        </w:rPr>
        <w:t xml:space="preserve">Neddragningar har i huvudsak gjorts inom </w:t>
      </w:r>
      <w:r w:rsidR="0049373D" w:rsidRPr="00EE4111">
        <w:rPr>
          <w:szCs w:val="24"/>
        </w:rPr>
        <w:t>marknadsstödet samt</w:t>
      </w:r>
      <w:r w:rsidR="00E80416" w:rsidRPr="00EE4111">
        <w:rPr>
          <w:szCs w:val="24"/>
        </w:rPr>
        <w:t xml:space="preserve"> </w:t>
      </w:r>
      <w:r w:rsidR="008161E5" w:rsidRPr="00EE4111">
        <w:rPr>
          <w:szCs w:val="24"/>
        </w:rPr>
        <w:t xml:space="preserve">anslaget för </w:t>
      </w:r>
      <w:r w:rsidR="00E80416" w:rsidRPr="00EE4111">
        <w:rPr>
          <w:szCs w:val="24"/>
        </w:rPr>
        <w:t>godkänna</w:t>
      </w:r>
      <w:r w:rsidR="004573C5" w:rsidRPr="00EE4111">
        <w:rPr>
          <w:szCs w:val="24"/>
        </w:rPr>
        <w:t>n</w:t>
      </w:r>
      <w:r w:rsidR="00E80416" w:rsidRPr="00EE4111">
        <w:rPr>
          <w:szCs w:val="24"/>
        </w:rPr>
        <w:t>de av tidigare års räkenskaper.</w:t>
      </w:r>
      <w:r w:rsidRPr="00EE4111">
        <w:rPr>
          <w:color w:val="000000"/>
          <w:szCs w:val="24"/>
        </w:rPr>
        <w:t xml:space="preserve"> </w:t>
      </w:r>
    </w:p>
    <w:p w:rsidR="0019768C" w:rsidRPr="00EE4111" w:rsidRDefault="0019768C" w:rsidP="0019768C">
      <w:pPr>
        <w:pStyle w:val="RKnormal"/>
        <w:ind w:left="360"/>
      </w:pPr>
    </w:p>
    <w:p w:rsidR="00010D9A" w:rsidRPr="00EE4111" w:rsidRDefault="0019768C" w:rsidP="0019768C">
      <w:pPr>
        <w:pStyle w:val="RKnormal"/>
        <w:numPr>
          <w:ilvl w:val="0"/>
          <w:numId w:val="4"/>
        </w:numPr>
      </w:pPr>
      <w:r w:rsidRPr="00EE4111">
        <w:rPr>
          <w:i/>
          <w:iCs/>
        </w:rPr>
        <w:t>Rubrik 3a</w:t>
      </w:r>
      <w:r w:rsidR="00010D9A" w:rsidRPr="00EE4111">
        <w:rPr>
          <w:i/>
          <w:iCs/>
        </w:rPr>
        <w:t xml:space="preserve">: </w:t>
      </w:r>
      <w:r w:rsidR="00010D9A" w:rsidRPr="00EE4111">
        <w:rPr>
          <w:iCs/>
        </w:rPr>
        <w:t xml:space="preserve">Åtaganden minskar med </w:t>
      </w:r>
      <w:r w:rsidR="008161E5" w:rsidRPr="00EE4111">
        <w:rPr>
          <w:iCs/>
        </w:rPr>
        <w:t>6</w:t>
      </w:r>
      <w:r w:rsidR="00010D9A" w:rsidRPr="00EE4111">
        <w:rPr>
          <w:iCs/>
        </w:rPr>
        <w:t xml:space="preserve"> </w:t>
      </w:r>
      <w:r w:rsidR="00AC6F64" w:rsidRPr="00EE4111">
        <w:t>miljoner</w:t>
      </w:r>
      <w:r w:rsidR="00AC6F64" w:rsidRPr="00EE4111">
        <w:rPr>
          <w:iCs/>
        </w:rPr>
        <w:t xml:space="preserve"> </w:t>
      </w:r>
      <w:r w:rsidR="00F46101" w:rsidRPr="00EE4111">
        <w:rPr>
          <w:iCs/>
        </w:rPr>
        <w:t xml:space="preserve">euro och betalningarna med </w:t>
      </w:r>
      <w:r w:rsidR="008161E5" w:rsidRPr="00EE4111">
        <w:rPr>
          <w:iCs/>
        </w:rPr>
        <w:t>28</w:t>
      </w:r>
      <w:r w:rsidR="00010D9A" w:rsidRPr="00EE4111">
        <w:rPr>
          <w:iCs/>
        </w:rPr>
        <w:t xml:space="preserve"> </w:t>
      </w:r>
      <w:r w:rsidR="00AC6F64" w:rsidRPr="00EE4111">
        <w:t>miljoner</w:t>
      </w:r>
      <w:r w:rsidR="00AC6F64" w:rsidRPr="00EE4111">
        <w:rPr>
          <w:iCs/>
        </w:rPr>
        <w:t xml:space="preserve"> </w:t>
      </w:r>
      <w:r w:rsidR="00010D9A" w:rsidRPr="00EE4111">
        <w:rPr>
          <w:iCs/>
        </w:rPr>
        <w:t>eu</w:t>
      </w:r>
      <w:r w:rsidR="008161E5" w:rsidRPr="00EE4111">
        <w:rPr>
          <w:iCs/>
        </w:rPr>
        <w:t>ro</w:t>
      </w:r>
      <w:r w:rsidR="00010D9A" w:rsidRPr="00EE4111">
        <w:rPr>
          <w:iCs/>
        </w:rPr>
        <w:t>.</w:t>
      </w:r>
    </w:p>
    <w:p w:rsidR="00010D9A" w:rsidRPr="00EE4111" w:rsidRDefault="00010D9A" w:rsidP="00010D9A">
      <w:pPr>
        <w:pStyle w:val="RKnormal"/>
        <w:ind w:left="142"/>
      </w:pPr>
    </w:p>
    <w:p w:rsidR="0019768C" w:rsidRPr="00EE4111" w:rsidRDefault="00010D9A" w:rsidP="0019768C">
      <w:pPr>
        <w:pStyle w:val="RKnormal"/>
        <w:numPr>
          <w:ilvl w:val="0"/>
          <w:numId w:val="4"/>
        </w:numPr>
      </w:pPr>
      <w:r w:rsidRPr="00EE4111">
        <w:rPr>
          <w:i/>
          <w:iCs/>
        </w:rPr>
        <w:t>Rubrik</w:t>
      </w:r>
      <w:r w:rsidR="0019768C" w:rsidRPr="00EE4111">
        <w:rPr>
          <w:i/>
          <w:iCs/>
        </w:rPr>
        <w:t xml:space="preserve"> 3b</w:t>
      </w:r>
      <w:r w:rsidR="008161E5" w:rsidRPr="00EE4111">
        <w:t>: Åtagandena minskar med 15</w:t>
      </w:r>
      <w:r w:rsidR="0019768C" w:rsidRPr="00EE4111">
        <w:t xml:space="preserve"> </w:t>
      </w:r>
      <w:r w:rsidR="00AC6F64" w:rsidRPr="00EE4111">
        <w:t xml:space="preserve">miljoner </w:t>
      </w:r>
      <w:r w:rsidR="0019768C" w:rsidRPr="00EE4111">
        <w:t xml:space="preserve">euro och betalningarna </w:t>
      </w:r>
      <w:r w:rsidR="008161E5" w:rsidRPr="00EE4111">
        <w:t>26</w:t>
      </w:r>
      <w:r w:rsidR="0019768C" w:rsidRPr="00EE4111">
        <w:t xml:space="preserve"> </w:t>
      </w:r>
      <w:r w:rsidR="00AC6F64" w:rsidRPr="00EE4111">
        <w:t xml:space="preserve">miljoner </w:t>
      </w:r>
      <w:r w:rsidR="0019768C" w:rsidRPr="00EE4111">
        <w:t xml:space="preserve">euro. </w:t>
      </w:r>
    </w:p>
    <w:p w:rsidR="0019768C" w:rsidRPr="00EE4111" w:rsidRDefault="0019768C" w:rsidP="0019768C">
      <w:pPr>
        <w:pStyle w:val="RKnormal"/>
        <w:ind w:left="360"/>
      </w:pPr>
    </w:p>
    <w:p w:rsidR="0019768C" w:rsidRPr="00EE4111" w:rsidRDefault="0019768C" w:rsidP="0019768C">
      <w:pPr>
        <w:pStyle w:val="RKnormal"/>
        <w:numPr>
          <w:ilvl w:val="0"/>
          <w:numId w:val="4"/>
        </w:numPr>
      </w:pPr>
      <w:r w:rsidRPr="00EE4111">
        <w:rPr>
          <w:i/>
          <w:iCs/>
        </w:rPr>
        <w:t>Rubrik 4</w:t>
      </w:r>
      <w:r w:rsidRPr="00EE4111">
        <w:t xml:space="preserve">: Åtagandena </w:t>
      </w:r>
      <w:r w:rsidR="00F46101" w:rsidRPr="00EE4111">
        <w:t>minskar</w:t>
      </w:r>
      <w:r w:rsidRPr="00EE4111">
        <w:t xml:space="preserve"> med </w:t>
      </w:r>
      <w:r w:rsidR="008161E5" w:rsidRPr="00EE4111">
        <w:t xml:space="preserve">89 </w:t>
      </w:r>
      <w:r w:rsidR="00AC6F64" w:rsidRPr="00EE4111">
        <w:t xml:space="preserve">miljoner </w:t>
      </w:r>
      <w:r w:rsidR="003948DC" w:rsidRPr="00EE4111">
        <w:t xml:space="preserve">euro. Betalningarna minskar med </w:t>
      </w:r>
      <w:r w:rsidR="008161E5" w:rsidRPr="00EE4111">
        <w:t xml:space="preserve">508 </w:t>
      </w:r>
      <w:r w:rsidR="00AC6F64" w:rsidRPr="00EE4111">
        <w:t xml:space="preserve">miljoner </w:t>
      </w:r>
      <w:r w:rsidRPr="00EE4111">
        <w:t>euro.</w:t>
      </w:r>
      <w:r w:rsidR="003948DC" w:rsidRPr="00EE4111">
        <w:t xml:space="preserve"> </w:t>
      </w:r>
    </w:p>
    <w:p w:rsidR="0019768C" w:rsidRPr="00EE4111" w:rsidRDefault="0019768C" w:rsidP="0019768C">
      <w:pPr>
        <w:pStyle w:val="RKnormal"/>
        <w:ind w:left="360"/>
      </w:pPr>
    </w:p>
    <w:p w:rsidR="004573C5" w:rsidRPr="00EE4111" w:rsidRDefault="0019768C" w:rsidP="0019768C">
      <w:pPr>
        <w:pStyle w:val="RKnormal"/>
        <w:numPr>
          <w:ilvl w:val="0"/>
          <w:numId w:val="4"/>
        </w:numPr>
      </w:pPr>
      <w:r w:rsidRPr="00EE4111">
        <w:rPr>
          <w:i/>
          <w:iCs/>
        </w:rPr>
        <w:t>Rubrik 5</w:t>
      </w:r>
      <w:r w:rsidRPr="00EE4111">
        <w:t>: Åt</w:t>
      </w:r>
      <w:r w:rsidR="004A3743" w:rsidRPr="00EE4111">
        <w:t>agandena och betalningarna dras ned</w:t>
      </w:r>
      <w:r w:rsidRPr="00EE4111">
        <w:t xml:space="preserve"> med </w:t>
      </w:r>
      <w:r w:rsidR="008161E5" w:rsidRPr="00EE4111">
        <w:t>40</w:t>
      </w:r>
      <w:r w:rsidRPr="00EE4111">
        <w:t xml:space="preserve"> </w:t>
      </w:r>
      <w:r w:rsidR="00AC6F64" w:rsidRPr="00EE4111">
        <w:t xml:space="preserve">miljoner </w:t>
      </w:r>
      <w:r w:rsidRPr="00EE4111">
        <w:t>euro</w:t>
      </w:r>
      <w:r w:rsidR="004A3743" w:rsidRPr="00EE4111">
        <w:t xml:space="preserve"> i</w:t>
      </w:r>
      <w:r w:rsidR="004573C5" w:rsidRPr="00EE4111">
        <w:t xml:space="preserve"> </w:t>
      </w:r>
      <w:r w:rsidR="004A3743" w:rsidRPr="00EE4111">
        <w:t xml:space="preserve">huvudsak </w:t>
      </w:r>
      <w:r w:rsidR="004573C5" w:rsidRPr="00EE4111">
        <w:t>för att rådet anser att det finns potential att effektivisera institutionernas verksamhet samt att</w:t>
      </w:r>
      <w:r w:rsidR="004A3743" w:rsidRPr="00EE4111">
        <w:t xml:space="preserve"> </w:t>
      </w:r>
      <w:r w:rsidR="003948DC" w:rsidRPr="00EE4111">
        <w:t>den nominella ökningstakten bör vara i nivå med den förväntade inflationstakten.</w:t>
      </w:r>
      <w:r w:rsidRPr="00EE4111">
        <w:t xml:space="preserve"> </w:t>
      </w:r>
    </w:p>
    <w:p w:rsidR="004573C5" w:rsidRPr="00EE4111" w:rsidRDefault="004573C5" w:rsidP="004573C5">
      <w:pPr>
        <w:pStyle w:val="RKnormal"/>
        <w:ind w:left="142"/>
      </w:pPr>
    </w:p>
    <w:p w:rsidR="004573C5" w:rsidRPr="00EE4111" w:rsidRDefault="004573C5" w:rsidP="0034772B">
      <w:pPr>
        <w:pStyle w:val="RKnormal"/>
        <w:ind w:left="142"/>
      </w:pPr>
    </w:p>
    <w:tbl>
      <w:tblPr>
        <w:tblW w:w="9781" w:type="dxa"/>
        <w:tblInd w:w="-1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992"/>
        <w:gridCol w:w="1134"/>
        <w:gridCol w:w="993"/>
        <w:gridCol w:w="992"/>
        <w:gridCol w:w="1417"/>
        <w:gridCol w:w="1276"/>
      </w:tblGrid>
      <w:tr w:rsidR="000203F4" w:rsidRPr="00EE4111" w:rsidTr="007F0EC2">
        <w:tblPrEx>
          <w:tblCellMar>
            <w:top w:w="0" w:type="dxa"/>
            <w:bottom w:w="0" w:type="dxa"/>
          </w:tblCellMar>
        </w:tblPrEx>
        <w:trPr>
          <w:cantSplit/>
          <w:trHeight w:val="485"/>
        </w:trPr>
        <w:tc>
          <w:tcPr>
            <w:tcW w:w="2977" w:type="dxa"/>
          </w:tcPr>
          <w:p w:rsidR="000203F4" w:rsidRPr="00EE4111" w:rsidRDefault="000203F4" w:rsidP="00FC376B">
            <w:pPr>
              <w:pStyle w:val="Normaltindrag"/>
              <w:ind w:firstLine="0"/>
              <w:rPr>
                <w:b/>
              </w:rPr>
            </w:pPr>
          </w:p>
        </w:tc>
        <w:tc>
          <w:tcPr>
            <w:tcW w:w="4111" w:type="dxa"/>
            <w:gridSpan w:val="4"/>
          </w:tcPr>
          <w:p w:rsidR="000203F4" w:rsidRPr="00EE4111" w:rsidRDefault="003948DC" w:rsidP="00FC376B">
            <w:pPr>
              <w:pStyle w:val="Normaltindrag"/>
              <w:ind w:firstLine="0"/>
              <w:rPr>
                <w:b/>
                <w:i/>
                <w:iCs/>
              </w:rPr>
            </w:pPr>
            <w:r w:rsidRPr="00EE4111">
              <w:rPr>
                <w:b/>
                <w:i/>
                <w:iCs/>
              </w:rPr>
              <w:t>Kommissionens förslag 2</w:t>
            </w:r>
            <w:r w:rsidR="00EE4454" w:rsidRPr="00EE4111">
              <w:rPr>
                <w:b/>
                <w:i/>
                <w:iCs/>
              </w:rPr>
              <w:t>0</w:t>
            </w:r>
            <w:r w:rsidRPr="00EE4111">
              <w:rPr>
                <w:b/>
                <w:i/>
                <w:iCs/>
              </w:rPr>
              <w:t>10</w:t>
            </w:r>
          </w:p>
        </w:tc>
        <w:tc>
          <w:tcPr>
            <w:tcW w:w="2693" w:type="dxa"/>
            <w:gridSpan w:val="2"/>
          </w:tcPr>
          <w:p w:rsidR="000203F4" w:rsidRPr="00EE4111" w:rsidRDefault="004E0DA9" w:rsidP="00FC376B">
            <w:pPr>
              <w:pStyle w:val="Normaltindrag"/>
              <w:ind w:firstLine="0"/>
              <w:rPr>
                <w:b/>
                <w:i/>
                <w:iCs/>
              </w:rPr>
            </w:pPr>
            <w:r w:rsidRPr="00EE4111">
              <w:rPr>
                <w:b/>
                <w:i/>
                <w:iCs/>
              </w:rPr>
              <w:t>Minskningar</w:t>
            </w:r>
            <w:r w:rsidR="000203F4" w:rsidRPr="00EE4111">
              <w:rPr>
                <w:b/>
                <w:i/>
                <w:iCs/>
              </w:rPr>
              <w:t xml:space="preserve"> i rådets kompromissf</w:t>
            </w:r>
            <w:r w:rsidRPr="00EE4111">
              <w:rPr>
                <w:b/>
                <w:i/>
                <w:iCs/>
              </w:rPr>
              <w:t>örslag jämfört med KOM förslag</w:t>
            </w:r>
          </w:p>
        </w:tc>
      </w:tr>
      <w:tr w:rsidR="00EE4454" w:rsidRPr="00EE4111" w:rsidTr="007F0EC2">
        <w:tblPrEx>
          <w:tblCellMar>
            <w:top w:w="0" w:type="dxa"/>
            <w:bottom w:w="0" w:type="dxa"/>
          </w:tblCellMar>
        </w:tblPrEx>
        <w:trPr>
          <w:trHeight w:val="485"/>
        </w:trPr>
        <w:tc>
          <w:tcPr>
            <w:tcW w:w="2977" w:type="dxa"/>
          </w:tcPr>
          <w:p w:rsidR="00EE4454" w:rsidRPr="00EE4111" w:rsidRDefault="00EE4454" w:rsidP="004847DE">
            <w:pPr>
              <w:pStyle w:val="Normaltindrag"/>
              <w:ind w:firstLine="0"/>
              <w:rPr>
                <w:b/>
              </w:rPr>
            </w:pPr>
            <w:r w:rsidRPr="00EE4111">
              <w:rPr>
                <w:b/>
              </w:rPr>
              <w:t>Rubrik</w:t>
            </w:r>
          </w:p>
          <w:p w:rsidR="00EE4454" w:rsidRPr="00EE4111" w:rsidRDefault="00EE4454" w:rsidP="004847DE">
            <w:pPr>
              <w:pStyle w:val="Normaltindrag"/>
              <w:ind w:firstLine="0"/>
              <w:rPr>
                <w:bCs/>
                <w:i/>
                <w:iCs/>
              </w:rPr>
            </w:pPr>
            <w:r w:rsidRPr="00EE4111">
              <w:rPr>
                <w:bCs/>
                <w:i/>
                <w:iCs/>
              </w:rPr>
              <w:t>(miljoner euro)</w:t>
            </w:r>
          </w:p>
        </w:tc>
        <w:tc>
          <w:tcPr>
            <w:tcW w:w="992" w:type="dxa"/>
          </w:tcPr>
          <w:p w:rsidR="00EE4454" w:rsidRPr="00EE4111" w:rsidRDefault="00EE4454" w:rsidP="004847DE">
            <w:pPr>
              <w:pStyle w:val="Normaltindrag"/>
              <w:ind w:firstLine="0"/>
              <w:rPr>
                <w:b/>
              </w:rPr>
            </w:pPr>
            <w:r w:rsidRPr="00EE4111">
              <w:rPr>
                <w:b/>
              </w:rPr>
              <w:t xml:space="preserve">Åtaganden </w:t>
            </w:r>
          </w:p>
        </w:tc>
        <w:tc>
          <w:tcPr>
            <w:tcW w:w="1134" w:type="dxa"/>
          </w:tcPr>
          <w:p w:rsidR="00EE4454" w:rsidRPr="00EE4111" w:rsidRDefault="007E40B5" w:rsidP="004847DE">
            <w:pPr>
              <w:pStyle w:val="Normaltindrag"/>
              <w:ind w:firstLine="0"/>
              <w:jc w:val="center"/>
              <w:rPr>
                <w:b/>
              </w:rPr>
            </w:pPr>
            <w:r w:rsidRPr="00EE4111">
              <w:rPr>
                <w:b/>
              </w:rPr>
              <w:t>% jfr 09</w:t>
            </w:r>
          </w:p>
        </w:tc>
        <w:tc>
          <w:tcPr>
            <w:tcW w:w="993" w:type="dxa"/>
          </w:tcPr>
          <w:p w:rsidR="00EE4454" w:rsidRPr="00EE4111" w:rsidRDefault="00EE4454" w:rsidP="00FC376B">
            <w:pPr>
              <w:pStyle w:val="Normaltindrag"/>
              <w:ind w:firstLine="0"/>
              <w:rPr>
                <w:b/>
              </w:rPr>
            </w:pPr>
            <w:r w:rsidRPr="00EE4111">
              <w:rPr>
                <w:b/>
              </w:rPr>
              <w:t>Betalningar</w:t>
            </w:r>
          </w:p>
        </w:tc>
        <w:tc>
          <w:tcPr>
            <w:tcW w:w="992" w:type="dxa"/>
          </w:tcPr>
          <w:p w:rsidR="00EE4454" w:rsidRPr="00EE4111" w:rsidRDefault="007E40B5" w:rsidP="004847DE">
            <w:pPr>
              <w:pStyle w:val="Normaltindrag"/>
              <w:ind w:firstLine="0"/>
              <w:jc w:val="center"/>
              <w:rPr>
                <w:b/>
              </w:rPr>
            </w:pPr>
            <w:r w:rsidRPr="00EE4111">
              <w:rPr>
                <w:b/>
              </w:rPr>
              <w:t>% jfr 09</w:t>
            </w:r>
          </w:p>
        </w:tc>
        <w:tc>
          <w:tcPr>
            <w:tcW w:w="1417" w:type="dxa"/>
          </w:tcPr>
          <w:p w:rsidR="00EE4454" w:rsidRPr="00EE4111" w:rsidRDefault="00EE4454" w:rsidP="00FC376B">
            <w:pPr>
              <w:pStyle w:val="Normaltindrag"/>
              <w:ind w:firstLine="0"/>
              <w:rPr>
                <w:b/>
              </w:rPr>
            </w:pPr>
            <w:r w:rsidRPr="00EE4111">
              <w:rPr>
                <w:b/>
              </w:rPr>
              <w:t>Åtagande</w:t>
            </w:r>
          </w:p>
        </w:tc>
        <w:tc>
          <w:tcPr>
            <w:tcW w:w="1276" w:type="dxa"/>
          </w:tcPr>
          <w:p w:rsidR="00EE4454" w:rsidRPr="00EE4111" w:rsidRDefault="00EE4454" w:rsidP="00FC376B">
            <w:pPr>
              <w:pStyle w:val="Normaltindrag"/>
              <w:ind w:firstLine="0"/>
              <w:rPr>
                <w:b/>
              </w:rPr>
            </w:pPr>
            <w:r w:rsidRPr="00EE4111">
              <w:rPr>
                <w:b/>
              </w:rPr>
              <w:t>Betalningar</w:t>
            </w:r>
          </w:p>
        </w:tc>
      </w:tr>
      <w:tr w:rsidR="00EE4454" w:rsidRPr="00EE4111" w:rsidTr="007F0EC2">
        <w:tblPrEx>
          <w:tblCellMar>
            <w:top w:w="0" w:type="dxa"/>
            <w:bottom w:w="0" w:type="dxa"/>
          </w:tblCellMar>
        </w:tblPrEx>
        <w:trPr>
          <w:trHeight w:val="500"/>
        </w:trPr>
        <w:tc>
          <w:tcPr>
            <w:tcW w:w="2977" w:type="dxa"/>
          </w:tcPr>
          <w:p w:rsidR="00EE4454" w:rsidRPr="00EE4111" w:rsidRDefault="00EE4454" w:rsidP="004847DE">
            <w:pPr>
              <w:pStyle w:val="Normaltindrag"/>
              <w:ind w:firstLine="0"/>
            </w:pPr>
            <w:r w:rsidRPr="00EE4111">
              <w:t>1a. Konkurrenskraft för tillväx</w:t>
            </w:r>
            <w:r w:rsidR="004E0DA9" w:rsidRPr="00EE4111">
              <w:t xml:space="preserve">t och sysselsättning </w:t>
            </w:r>
          </w:p>
        </w:tc>
        <w:tc>
          <w:tcPr>
            <w:tcW w:w="992" w:type="dxa"/>
          </w:tcPr>
          <w:p w:rsidR="00EE4454" w:rsidRPr="00EE4111" w:rsidRDefault="003948DC" w:rsidP="004847DE">
            <w:pPr>
              <w:pStyle w:val="Normaltindrag"/>
              <w:ind w:firstLine="0"/>
              <w:jc w:val="right"/>
            </w:pPr>
            <w:r w:rsidRPr="00EE4111">
              <w:t>12 769</w:t>
            </w:r>
          </w:p>
          <w:p w:rsidR="00EE4454" w:rsidRPr="00EE4111" w:rsidRDefault="00EE4454" w:rsidP="004847DE">
            <w:pPr>
              <w:pStyle w:val="Normaltindrag"/>
              <w:ind w:firstLine="0"/>
              <w:jc w:val="right"/>
            </w:pPr>
          </w:p>
        </w:tc>
        <w:tc>
          <w:tcPr>
            <w:tcW w:w="1134" w:type="dxa"/>
          </w:tcPr>
          <w:p w:rsidR="00EE4454" w:rsidRPr="00EE4111" w:rsidRDefault="007E40B5" w:rsidP="004847DE">
            <w:pPr>
              <w:pStyle w:val="Normaltindrag"/>
              <w:ind w:firstLine="0"/>
              <w:jc w:val="right"/>
            </w:pPr>
            <w:r w:rsidRPr="00EE4111">
              <w:t>-7,3</w:t>
            </w:r>
            <w:r w:rsidR="00EE4454" w:rsidRPr="00EE4111">
              <w:t>%</w:t>
            </w:r>
          </w:p>
          <w:p w:rsidR="00EE4454" w:rsidRPr="00EE4111" w:rsidRDefault="00EE4454" w:rsidP="004847DE">
            <w:pPr>
              <w:pStyle w:val="Normaltindrag"/>
              <w:ind w:firstLine="0"/>
              <w:jc w:val="right"/>
            </w:pPr>
          </w:p>
        </w:tc>
        <w:tc>
          <w:tcPr>
            <w:tcW w:w="993" w:type="dxa"/>
          </w:tcPr>
          <w:p w:rsidR="00EE4454" w:rsidRPr="00EE4111" w:rsidRDefault="007E40B5" w:rsidP="004847DE">
            <w:pPr>
              <w:pStyle w:val="Normaltindrag"/>
              <w:ind w:firstLine="0"/>
              <w:jc w:val="right"/>
            </w:pPr>
            <w:r w:rsidRPr="00EE4111">
              <w:t>10 982</w:t>
            </w:r>
          </w:p>
          <w:p w:rsidR="00EE4454" w:rsidRPr="00EE4111" w:rsidRDefault="00EE4454" w:rsidP="004847DE">
            <w:pPr>
              <w:pStyle w:val="Normaltindrag"/>
              <w:ind w:firstLine="0"/>
              <w:jc w:val="right"/>
            </w:pPr>
          </w:p>
        </w:tc>
        <w:tc>
          <w:tcPr>
            <w:tcW w:w="992" w:type="dxa"/>
          </w:tcPr>
          <w:p w:rsidR="00EE4454" w:rsidRPr="00EE4111" w:rsidRDefault="007E40B5" w:rsidP="004847DE">
            <w:pPr>
              <w:pStyle w:val="Normaltindrag"/>
              <w:ind w:firstLine="0"/>
              <w:jc w:val="right"/>
            </w:pPr>
            <w:r w:rsidRPr="00EE4111">
              <w:t>-1,1</w:t>
            </w:r>
            <w:r w:rsidR="00EE4454" w:rsidRPr="00EE4111">
              <w:t>%</w:t>
            </w:r>
          </w:p>
          <w:p w:rsidR="00EE4454" w:rsidRPr="00EE4111" w:rsidRDefault="00EE4454" w:rsidP="004847DE">
            <w:pPr>
              <w:pStyle w:val="Normaltindrag"/>
              <w:ind w:firstLine="0"/>
              <w:jc w:val="right"/>
            </w:pPr>
          </w:p>
        </w:tc>
        <w:tc>
          <w:tcPr>
            <w:tcW w:w="1417" w:type="dxa"/>
          </w:tcPr>
          <w:p w:rsidR="00EE4454" w:rsidRPr="00EE4111" w:rsidRDefault="00EE4454" w:rsidP="00FC376B">
            <w:pPr>
              <w:pStyle w:val="Normaltindrag"/>
              <w:ind w:firstLine="0"/>
              <w:jc w:val="right"/>
            </w:pPr>
            <w:r w:rsidRPr="00EE4111">
              <w:t>-</w:t>
            </w:r>
            <w:r w:rsidR="008161E5" w:rsidRPr="00EE4111">
              <w:t>100</w:t>
            </w:r>
          </w:p>
        </w:tc>
        <w:tc>
          <w:tcPr>
            <w:tcW w:w="1276" w:type="dxa"/>
          </w:tcPr>
          <w:p w:rsidR="00EE4454" w:rsidRPr="00EE4111" w:rsidRDefault="00EE4454" w:rsidP="00FC376B">
            <w:pPr>
              <w:pStyle w:val="Normaltindrag"/>
              <w:ind w:firstLine="0"/>
              <w:jc w:val="right"/>
            </w:pPr>
            <w:r w:rsidRPr="00EE4111">
              <w:t>-</w:t>
            </w:r>
            <w:r w:rsidR="008161E5" w:rsidRPr="00EE4111">
              <w:t>408</w:t>
            </w:r>
          </w:p>
        </w:tc>
      </w:tr>
      <w:tr w:rsidR="00EE4454" w:rsidRPr="00EE4111" w:rsidTr="007F0EC2">
        <w:tblPrEx>
          <w:tblCellMar>
            <w:top w:w="0" w:type="dxa"/>
            <w:bottom w:w="0" w:type="dxa"/>
          </w:tblCellMar>
        </w:tblPrEx>
        <w:trPr>
          <w:trHeight w:val="242"/>
        </w:trPr>
        <w:tc>
          <w:tcPr>
            <w:tcW w:w="2977" w:type="dxa"/>
          </w:tcPr>
          <w:p w:rsidR="00EE4454" w:rsidRPr="00EE4111" w:rsidRDefault="004E0DA9" w:rsidP="004847DE">
            <w:pPr>
              <w:pStyle w:val="Normaltindrag"/>
              <w:ind w:firstLine="0"/>
            </w:pPr>
            <w:r w:rsidRPr="00EE4111">
              <w:t>1b. S</w:t>
            </w:r>
            <w:r w:rsidR="00EE4454" w:rsidRPr="00EE4111">
              <w:t xml:space="preserve">ammanhållning för tillväxt och </w:t>
            </w:r>
            <w:r w:rsidRPr="00EE4111">
              <w:t xml:space="preserve">sysselsättning </w:t>
            </w:r>
          </w:p>
        </w:tc>
        <w:tc>
          <w:tcPr>
            <w:tcW w:w="992" w:type="dxa"/>
          </w:tcPr>
          <w:p w:rsidR="00EE4454" w:rsidRPr="00EE4111" w:rsidRDefault="003948DC" w:rsidP="004847DE">
            <w:pPr>
              <w:pStyle w:val="Normaltindrag"/>
              <w:ind w:firstLine="0"/>
              <w:jc w:val="right"/>
            </w:pPr>
            <w:r w:rsidRPr="00EE4111">
              <w:t>49 382</w:t>
            </w:r>
          </w:p>
          <w:p w:rsidR="00EE4454" w:rsidRPr="00EE4111" w:rsidRDefault="00EE4454" w:rsidP="004847DE">
            <w:pPr>
              <w:pStyle w:val="Normaltindrag"/>
              <w:ind w:firstLine="0"/>
              <w:jc w:val="right"/>
            </w:pPr>
          </w:p>
        </w:tc>
        <w:tc>
          <w:tcPr>
            <w:tcW w:w="1134" w:type="dxa"/>
          </w:tcPr>
          <w:p w:rsidR="00EE4454" w:rsidRPr="00EE4111" w:rsidRDefault="007E40B5" w:rsidP="004847DE">
            <w:pPr>
              <w:pStyle w:val="Normaltindrag"/>
              <w:ind w:firstLine="0"/>
              <w:jc w:val="right"/>
            </w:pPr>
            <w:r w:rsidRPr="00EE4111">
              <w:t>+2,0</w:t>
            </w:r>
            <w:r w:rsidR="00EE4454" w:rsidRPr="00EE4111">
              <w:t>%</w:t>
            </w:r>
          </w:p>
        </w:tc>
        <w:tc>
          <w:tcPr>
            <w:tcW w:w="993" w:type="dxa"/>
          </w:tcPr>
          <w:p w:rsidR="00EE4454" w:rsidRPr="00EE4111" w:rsidRDefault="007E40B5" w:rsidP="004847DE">
            <w:pPr>
              <w:pStyle w:val="Normaltindrag"/>
              <w:ind w:firstLine="0"/>
              <w:jc w:val="right"/>
            </w:pPr>
            <w:r w:rsidRPr="00EE4111">
              <w:t>36 382</w:t>
            </w:r>
          </w:p>
          <w:p w:rsidR="00EE4454" w:rsidRPr="00EE4111" w:rsidRDefault="00EE4454" w:rsidP="004847DE">
            <w:pPr>
              <w:pStyle w:val="Normaltindrag"/>
              <w:ind w:firstLine="0"/>
              <w:jc w:val="right"/>
            </w:pPr>
          </w:p>
        </w:tc>
        <w:tc>
          <w:tcPr>
            <w:tcW w:w="992" w:type="dxa"/>
          </w:tcPr>
          <w:p w:rsidR="00EE4454" w:rsidRPr="00EE4111" w:rsidRDefault="007E40B5" w:rsidP="004847DE">
            <w:pPr>
              <w:pStyle w:val="Normaltindrag"/>
              <w:ind w:firstLine="0"/>
              <w:jc w:val="right"/>
            </w:pPr>
            <w:r w:rsidRPr="00EE4111">
              <w:t>-4,1</w:t>
            </w:r>
            <w:r w:rsidR="00EE4454" w:rsidRPr="00EE4111">
              <w:t>%</w:t>
            </w:r>
          </w:p>
        </w:tc>
        <w:tc>
          <w:tcPr>
            <w:tcW w:w="1417" w:type="dxa"/>
          </w:tcPr>
          <w:p w:rsidR="00EE4454" w:rsidRPr="00EE4111" w:rsidRDefault="00EE4454" w:rsidP="00FC376B">
            <w:pPr>
              <w:pStyle w:val="Normaltindrag"/>
              <w:ind w:firstLine="0"/>
              <w:jc w:val="right"/>
            </w:pPr>
          </w:p>
        </w:tc>
        <w:tc>
          <w:tcPr>
            <w:tcW w:w="1276" w:type="dxa"/>
          </w:tcPr>
          <w:p w:rsidR="00EE4454" w:rsidRPr="00EE4111" w:rsidRDefault="00EE4454" w:rsidP="00FC376B">
            <w:pPr>
              <w:pStyle w:val="Normaltindrag"/>
              <w:ind w:firstLine="0"/>
              <w:jc w:val="right"/>
            </w:pPr>
            <w:r w:rsidRPr="00EE4111">
              <w:t>-</w:t>
            </w:r>
            <w:r w:rsidR="008161E5" w:rsidRPr="00EE4111">
              <w:t>293</w:t>
            </w:r>
          </w:p>
        </w:tc>
      </w:tr>
      <w:tr w:rsidR="00EE4454" w:rsidRPr="00EE4111" w:rsidTr="007F0EC2">
        <w:tblPrEx>
          <w:tblCellMar>
            <w:top w:w="0" w:type="dxa"/>
            <w:bottom w:w="0" w:type="dxa"/>
          </w:tblCellMar>
        </w:tblPrEx>
        <w:trPr>
          <w:trHeight w:val="242"/>
        </w:trPr>
        <w:tc>
          <w:tcPr>
            <w:tcW w:w="2977" w:type="dxa"/>
          </w:tcPr>
          <w:p w:rsidR="00EE4454" w:rsidRPr="00EE4111" w:rsidRDefault="00EE4454" w:rsidP="004847DE">
            <w:pPr>
              <w:pStyle w:val="Normaltindrag"/>
              <w:ind w:firstLine="0"/>
              <w:jc w:val="left"/>
            </w:pPr>
            <w:r w:rsidRPr="00EE4111">
              <w:t>2. Bevarande och förvaltning av naturresurs</w:t>
            </w:r>
            <w:r w:rsidR="004E0DA9" w:rsidRPr="00EE4111">
              <w:t xml:space="preserve">er </w:t>
            </w:r>
          </w:p>
        </w:tc>
        <w:tc>
          <w:tcPr>
            <w:tcW w:w="992" w:type="dxa"/>
          </w:tcPr>
          <w:p w:rsidR="00EE4454" w:rsidRPr="00EE4111" w:rsidRDefault="00EE4454" w:rsidP="004847DE">
            <w:pPr>
              <w:pStyle w:val="Normaltindrag"/>
              <w:ind w:firstLine="0"/>
            </w:pPr>
          </w:p>
          <w:p w:rsidR="00EE4454" w:rsidRPr="00EE4111" w:rsidRDefault="003948DC" w:rsidP="004847DE">
            <w:pPr>
              <w:pStyle w:val="Normaltindrag"/>
              <w:ind w:firstLine="0"/>
              <w:jc w:val="right"/>
            </w:pPr>
            <w:r w:rsidRPr="00EE4111">
              <w:t>59 004</w:t>
            </w:r>
          </w:p>
        </w:tc>
        <w:tc>
          <w:tcPr>
            <w:tcW w:w="1134" w:type="dxa"/>
          </w:tcPr>
          <w:p w:rsidR="00EE4454" w:rsidRPr="00EE4111" w:rsidRDefault="00EE4454" w:rsidP="004847DE">
            <w:pPr>
              <w:pStyle w:val="Normaltindrag"/>
              <w:ind w:firstLine="0"/>
            </w:pPr>
          </w:p>
          <w:p w:rsidR="00EE4454" w:rsidRPr="00EE4111" w:rsidRDefault="007E40B5" w:rsidP="004847DE">
            <w:pPr>
              <w:pStyle w:val="Normaltindrag"/>
              <w:ind w:firstLine="0"/>
              <w:jc w:val="right"/>
            </w:pPr>
            <w:r w:rsidRPr="00EE4111">
              <w:t>+4,0</w:t>
            </w:r>
            <w:r w:rsidR="00EE4454" w:rsidRPr="00EE4111">
              <w:t>%</w:t>
            </w:r>
          </w:p>
        </w:tc>
        <w:tc>
          <w:tcPr>
            <w:tcW w:w="993" w:type="dxa"/>
          </w:tcPr>
          <w:p w:rsidR="00EE4454" w:rsidRPr="00EE4111" w:rsidRDefault="00EE4454" w:rsidP="004847DE">
            <w:pPr>
              <w:pStyle w:val="Normaltindrag"/>
              <w:ind w:firstLine="0"/>
            </w:pPr>
          </w:p>
          <w:p w:rsidR="00EE4454" w:rsidRPr="00EE4111" w:rsidRDefault="007E40B5" w:rsidP="004847DE">
            <w:pPr>
              <w:pStyle w:val="Normaltindrag"/>
              <w:ind w:firstLine="0"/>
              <w:jc w:val="right"/>
            </w:pPr>
            <w:r w:rsidRPr="00EE4111">
              <w:t>58 075</w:t>
            </w:r>
          </w:p>
        </w:tc>
        <w:tc>
          <w:tcPr>
            <w:tcW w:w="992" w:type="dxa"/>
          </w:tcPr>
          <w:p w:rsidR="00EE4454" w:rsidRPr="00EE4111" w:rsidRDefault="00EE4454" w:rsidP="004847DE">
            <w:pPr>
              <w:pStyle w:val="Normaltindrag"/>
              <w:ind w:firstLine="0"/>
            </w:pPr>
          </w:p>
          <w:p w:rsidR="00EE4454" w:rsidRPr="00EE4111" w:rsidRDefault="007E40B5" w:rsidP="004847DE">
            <w:pPr>
              <w:pStyle w:val="Normaltindrag"/>
              <w:ind w:firstLine="0"/>
              <w:jc w:val="right"/>
            </w:pPr>
            <w:r w:rsidRPr="00EE4111">
              <w:t>+6,2</w:t>
            </w:r>
            <w:r w:rsidR="00EE4454" w:rsidRPr="00EE4111">
              <w:t>%</w:t>
            </w:r>
          </w:p>
        </w:tc>
        <w:tc>
          <w:tcPr>
            <w:tcW w:w="1417" w:type="dxa"/>
          </w:tcPr>
          <w:p w:rsidR="00EE4454" w:rsidRPr="00EE4111" w:rsidRDefault="0096324C" w:rsidP="00FC376B">
            <w:pPr>
              <w:pStyle w:val="Normaltindrag"/>
              <w:ind w:firstLine="0"/>
              <w:jc w:val="right"/>
            </w:pPr>
            <w:r w:rsidRPr="00EE4111">
              <w:t>-</w:t>
            </w:r>
            <w:r w:rsidR="008161E5" w:rsidRPr="00EE4111">
              <w:t>363</w:t>
            </w:r>
          </w:p>
        </w:tc>
        <w:tc>
          <w:tcPr>
            <w:tcW w:w="1276" w:type="dxa"/>
          </w:tcPr>
          <w:p w:rsidR="00EE4454" w:rsidRPr="00EE4111" w:rsidRDefault="0096324C" w:rsidP="00FC376B">
            <w:pPr>
              <w:pStyle w:val="Normaltindrag"/>
              <w:ind w:firstLine="0"/>
              <w:jc w:val="right"/>
            </w:pPr>
            <w:r w:rsidRPr="00EE4111">
              <w:t>-</w:t>
            </w:r>
            <w:r w:rsidR="008161E5" w:rsidRPr="00EE4111">
              <w:t>491</w:t>
            </w:r>
          </w:p>
        </w:tc>
      </w:tr>
      <w:tr w:rsidR="00EE4454" w:rsidRPr="00EE4111" w:rsidTr="007F0EC2">
        <w:tblPrEx>
          <w:tblCellMar>
            <w:top w:w="0" w:type="dxa"/>
            <w:bottom w:w="0" w:type="dxa"/>
          </w:tblCellMar>
        </w:tblPrEx>
        <w:trPr>
          <w:trHeight w:val="242"/>
        </w:trPr>
        <w:tc>
          <w:tcPr>
            <w:tcW w:w="2977" w:type="dxa"/>
          </w:tcPr>
          <w:p w:rsidR="00EE4454" w:rsidRPr="00EE4111" w:rsidRDefault="00EE4454" w:rsidP="004847DE">
            <w:pPr>
              <w:pStyle w:val="Normaltindrag"/>
              <w:ind w:firstLine="0"/>
              <w:jc w:val="left"/>
            </w:pPr>
            <w:r w:rsidRPr="00EE4111">
              <w:t>3a. Frihet, säkerhet och rättvi</w:t>
            </w:r>
            <w:r w:rsidR="004E0DA9" w:rsidRPr="00EE4111">
              <w:t xml:space="preserve">sa </w:t>
            </w:r>
          </w:p>
        </w:tc>
        <w:tc>
          <w:tcPr>
            <w:tcW w:w="992" w:type="dxa"/>
          </w:tcPr>
          <w:p w:rsidR="00EE4454" w:rsidRPr="00EE4111" w:rsidRDefault="003948DC" w:rsidP="004847DE">
            <w:pPr>
              <w:pStyle w:val="Normaltindrag"/>
              <w:ind w:firstLine="0"/>
              <w:jc w:val="right"/>
            </w:pPr>
            <w:r w:rsidRPr="00EE4111">
              <w:t>980</w:t>
            </w:r>
          </w:p>
          <w:p w:rsidR="00EE4454" w:rsidRPr="00EE4111" w:rsidRDefault="00EE4454" w:rsidP="004847DE">
            <w:pPr>
              <w:pStyle w:val="Normaltindrag"/>
              <w:ind w:firstLine="0"/>
              <w:jc w:val="right"/>
            </w:pPr>
          </w:p>
        </w:tc>
        <w:tc>
          <w:tcPr>
            <w:tcW w:w="1134" w:type="dxa"/>
          </w:tcPr>
          <w:p w:rsidR="00EE4454" w:rsidRPr="00EE4111" w:rsidRDefault="007E40B5" w:rsidP="004847DE">
            <w:pPr>
              <w:pStyle w:val="Normaltindrag"/>
              <w:ind w:firstLine="0"/>
              <w:jc w:val="right"/>
            </w:pPr>
            <w:r w:rsidRPr="00EE4111">
              <w:t>+13,5</w:t>
            </w:r>
            <w:r w:rsidR="00EE4454" w:rsidRPr="00EE4111">
              <w:t>%</w:t>
            </w:r>
          </w:p>
        </w:tc>
        <w:tc>
          <w:tcPr>
            <w:tcW w:w="993" w:type="dxa"/>
          </w:tcPr>
          <w:p w:rsidR="00EE4454" w:rsidRPr="00EE4111" w:rsidRDefault="007E40B5" w:rsidP="004847DE">
            <w:pPr>
              <w:pStyle w:val="Normaltindrag"/>
              <w:ind w:firstLine="0"/>
              <w:jc w:val="right"/>
            </w:pPr>
            <w:r w:rsidRPr="00EE4111">
              <w:t>720</w:t>
            </w:r>
          </w:p>
          <w:p w:rsidR="00EE4454" w:rsidRPr="00EE4111" w:rsidRDefault="00EE4454" w:rsidP="004847DE">
            <w:pPr>
              <w:pStyle w:val="Normaltindrag"/>
              <w:ind w:firstLine="0"/>
              <w:jc w:val="right"/>
            </w:pPr>
          </w:p>
        </w:tc>
        <w:tc>
          <w:tcPr>
            <w:tcW w:w="992" w:type="dxa"/>
          </w:tcPr>
          <w:p w:rsidR="00EE4454" w:rsidRPr="00EE4111" w:rsidRDefault="007E40B5" w:rsidP="004847DE">
            <w:pPr>
              <w:pStyle w:val="Normaltindrag"/>
              <w:ind w:firstLine="0"/>
              <w:jc w:val="right"/>
            </w:pPr>
            <w:r w:rsidRPr="00EE4111">
              <w:t>+16,6</w:t>
            </w:r>
            <w:r w:rsidR="00EE4454" w:rsidRPr="00EE4111">
              <w:t>%</w:t>
            </w:r>
          </w:p>
        </w:tc>
        <w:tc>
          <w:tcPr>
            <w:tcW w:w="1417" w:type="dxa"/>
          </w:tcPr>
          <w:p w:rsidR="00EE4454" w:rsidRPr="00EE4111" w:rsidRDefault="0096324C" w:rsidP="00FC376B">
            <w:pPr>
              <w:pStyle w:val="Normaltindrag"/>
              <w:ind w:firstLine="0"/>
              <w:jc w:val="right"/>
            </w:pPr>
            <w:r w:rsidRPr="00EE4111">
              <w:t>-</w:t>
            </w:r>
            <w:r w:rsidR="008161E5" w:rsidRPr="00EE4111">
              <w:t>6</w:t>
            </w:r>
          </w:p>
        </w:tc>
        <w:tc>
          <w:tcPr>
            <w:tcW w:w="1276" w:type="dxa"/>
          </w:tcPr>
          <w:p w:rsidR="00EE4454" w:rsidRPr="00EE4111" w:rsidRDefault="0096324C" w:rsidP="00FC376B">
            <w:pPr>
              <w:pStyle w:val="Normaltindrag"/>
              <w:ind w:firstLine="0"/>
              <w:jc w:val="right"/>
            </w:pPr>
            <w:r w:rsidRPr="00EE4111">
              <w:t>-</w:t>
            </w:r>
            <w:r w:rsidR="008161E5" w:rsidRPr="00EE4111">
              <w:t>28</w:t>
            </w:r>
          </w:p>
        </w:tc>
      </w:tr>
      <w:tr w:rsidR="00EE4454" w:rsidRPr="00EE4111" w:rsidTr="007F0EC2">
        <w:tblPrEx>
          <w:tblCellMar>
            <w:top w:w="0" w:type="dxa"/>
            <w:bottom w:w="0" w:type="dxa"/>
          </w:tblCellMar>
        </w:tblPrEx>
        <w:trPr>
          <w:trHeight w:val="242"/>
        </w:trPr>
        <w:tc>
          <w:tcPr>
            <w:tcW w:w="2977" w:type="dxa"/>
          </w:tcPr>
          <w:p w:rsidR="00EE4454" w:rsidRPr="00EE4111" w:rsidRDefault="00EE4454" w:rsidP="004847DE">
            <w:pPr>
              <w:pStyle w:val="Normaltindrag"/>
              <w:ind w:firstLine="0"/>
            </w:pPr>
            <w:r w:rsidRPr="00EE4111">
              <w:t>3b.</w:t>
            </w:r>
            <w:r w:rsidR="004E0DA9" w:rsidRPr="00EE4111">
              <w:t xml:space="preserve"> Medborgarskap</w:t>
            </w:r>
          </w:p>
        </w:tc>
        <w:tc>
          <w:tcPr>
            <w:tcW w:w="992" w:type="dxa"/>
          </w:tcPr>
          <w:p w:rsidR="00EE4454" w:rsidRPr="00EE4111" w:rsidRDefault="003948DC" w:rsidP="004847DE">
            <w:pPr>
              <w:pStyle w:val="Normaltindrag"/>
              <w:ind w:firstLine="0"/>
              <w:jc w:val="right"/>
            </w:pPr>
            <w:r w:rsidRPr="00EE4111">
              <w:t>649</w:t>
            </w:r>
          </w:p>
        </w:tc>
        <w:tc>
          <w:tcPr>
            <w:tcW w:w="1134" w:type="dxa"/>
          </w:tcPr>
          <w:p w:rsidR="00EE4454" w:rsidRPr="00EE4111" w:rsidRDefault="007E40B5" w:rsidP="004847DE">
            <w:pPr>
              <w:pStyle w:val="Normaltindrag"/>
              <w:ind w:firstLine="0"/>
              <w:jc w:val="right"/>
            </w:pPr>
            <w:r w:rsidRPr="00EE4111">
              <w:t>-2,0%</w:t>
            </w:r>
          </w:p>
        </w:tc>
        <w:tc>
          <w:tcPr>
            <w:tcW w:w="993" w:type="dxa"/>
          </w:tcPr>
          <w:p w:rsidR="00EE4454" w:rsidRPr="00EE4111" w:rsidRDefault="007E40B5" w:rsidP="004847DE">
            <w:pPr>
              <w:pStyle w:val="Normaltindrag"/>
              <w:ind w:firstLine="0"/>
              <w:jc w:val="right"/>
            </w:pPr>
            <w:r w:rsidRPr="00EE4111">
              <w:t>640</w:t>
            </w:r>
          </w:p>
        </w:tc>
        <w:tc>
          <w:tcPr>
            <w:tcW w:w="992" w:type="dxa"/>
          </w:tcPr>
          <w:p w:rsidR="00EE4454" w:rsidRPr="00EE4111" w:rsidRDefault="007E40B5" w:rsidP="004847DE">
            <w:pPr>
              <w:pStyle w:val="Normaltindrag"/>
              <w:ind w:firstLine="0"/>
              <w:jc w:val="right"/>
            </w:pPr>
            <w:r w:rsidRPr="00EE4111">
              <w:t>-7,4</w:t>
            </w:r>
            <w:r w:rsidR="00EE4454" w:rsidRPr="00EE4111">
              <w:t>%</w:t>
            </w:r>
          </w:p>
          <w:p w:rsidR="00EE4454" w:rsidRPr="00EE4111" w:rsidRDefault="00EE4454" w:rsidP="004847DE">
            <w:pPr>
              <w:pStyle w:val="Normaltindrag"/>
              <w:ind w:firstLine="0"/>
              <w:jc w:val="right"/>
            </w:pPr>
          </w:p>
        </w:tc>
        <w:tc>
          <w:tcPr>
            <w:tcW w:w="1417" w:type="dxa"/>
          </w:tcPr>
          <w:p w:rsidR="00EE4454" w:rsidRPr="00EE4111" w:rsidRDefault="0096324C" w:rsidP="00FC376B">
            <w:pPr>
              <w:pStyle w:val="Normaltindrag"/>
              <w:ind w:firstLine="0"/>
              <w:jc w:val="right"/>
            </w:pPr>
            <w:r w:rsidRPr="00EE4111">
              <w:t>-</w:t>
            </w:r>
            <w:r w:rsidR="008161E5" w:rsidRPr="00EE4111">
              <w:t>15</w:t>
            </w:r>
          </w:p>
        </w:tc>
        <w:tc>
          <w:tcPr>
            <w:tcW w:w="1276" w:type="dxa"/>
          </w:tcPr>
          <w:p w:rsidR="00EE4454" w:rsidRPr="00EE4111" w:rsidRDefault="0096324C" w:rsidP="00FC376B">
            <w:pPr>
              <w:pStyle w:val="Normaltindrag"/>
              <w:ind w:firstLine="0"/>
              <w:jc w:val="right"/>
            </w:pPr>
            <w:r w:rsidRPr="00EE4111">
              <w:t>-</w:t>
            </w:r>
            <w:r w:rsidR="008161E5" w:rsidRPr="00EE4111">
              <w:t>26</w:t>
            </w:r>
          </w:p>
        </w:tc>
      </w:tr>
      <w:tr w:rsidR="00EE4454" w:rsidRPr="00EE4111" w:rsidTr="007F0EC2">
        <w:tblPrEx>
          <w:tblCellMar>
            <w:top w:w="0" w:type="dxa"/>
            <w:bottom w:w="0" w:type="dxa"/>
          </w:tblCellMar>
        </w:tblPrEx>
        <w:trPr>
          <w:trHeight w:val="242"/>
        </w:trPr>
        <w:tc>
          <w:tcPr>
            <w:tcW w:w="2977" w:type="dxa"/>
          </w:tcPr>
          <w:p w:rsidR="00EE4454" w:rsidRPr="00EE4111" w:rsidRDefault="00EE4454" w:rsidP="004847DE">
            <w:pPr>
              <w:pStyle w:val="Normaltindrag"/>
              <w:ind w:firstLine="0"/>
            </w:pPr>
            <w:r w:rsidRPr="00EE4111">
              <w:t>4. EU som global partner</w:t>
            </w:r>
          </w:p>
        </w:tc>
        <w:tc>
          <w:tcPr>
            <w:tcW w:w="992" w:type="dxa"/>
          </w:tcPr>
          <w:p w:rsidR="00EE4454" w:rsidRPr="00EE4111" w:rsidRDefault="00EE4454" w:rsidP="004847DE">
            <w:pPr>
              <w:pStyle w:val="Normaltindrag"/>
              <w:ind w:firstLine="0"/>
              <w:jc w:val="right"/>
            </w:pPr>
            <w:r w:rsidRPr="00EE4111">
              <w:t xml:space="preserve">7 </w:t>
            </w:r>
            <w:r w:rsidR="003948DC" w:rsidRPr="00EE4111">
              <w:t>921</w:t>
            </w:r>
          </w:p>
        </w:tc>
        <w:tc>
          <w:tcPr>
            <w:tcW w:w="1134" w:type="dxa"/>
          </w:tcPr>
          <w:p w:rsidR="00EE4454" w:rsidRPr="00EE4111" w:rsidRDefault="007E40B5" w:rsidP="004847DE">
            <w:pPr>
              <w:pStyle w:val="Normaltindrag"/>
              <w:ind w:firstLine="0"/>
              <w:jc w:val="right"/>
            </w:pPr>
            <w:r w:rsidRPr="00EE4111">
              <w:t>-2,3</w:t>
            </w:r>
            <w:r w:rsidR="00EE4454" w:rsidRPr="00EE4111">
              <w:t>%</w:t>
            </w:r>
          </w:p>
        </w:tc>
        <w:tc>
          <w:tcPr>
            <w:tcW w:w="993" w:type="dxa"/>
          </w:tcPr>
          <w:p w:rsidR="00EE4454" w:rsidRPr="00EE4111" w:rsidRDefault="007E40B5" w:rsidP="004847DE">
            <w:pPr>
              <w:pStyle w:val="Normaltindrag"/>
              <w:ind w:firstLine="0"/>
              <w:jc w:val="right"/>
            </w:pPr>
            <w:r w:rsidRPr="00EE4111">
              <w:t>7 665</w:t>
            </w:r>
          </w:p>
        </w:tc>
        <w:tc>
          <w:tcPr>
            <w:tcW w:w="992" w:type="dxa"/>
          </w:tcPr>
          <w:p w:rsidR="00EE4454" w:rsidRPr="00EE4111" w:rsidRDefault="007E40B5" w:rsidP="004847DE">
            <w:pPr>
              <w:pStyle w:val="Normaltindrag"/>
              <w:ind w:firstLine="0"/>
              <w:jc w:val="right"/>
            </w:pPr>
            <w:r w:rsidRPr="00EE4111">
              <w:t>-7,9</w:t>
            </w:r>
            <w:r w:rsidR="00EE4454" w:rsidRPr="00EE4111">
              <w:t>%</w:t>
            </w:r>
          </w:p>
        </w:tc>
        <w:tc>
          <w:tcPr>
            <w:tcW w:w="1417" w:type="dxa"/>
          </w:tcPr>
          <w:p w:rsidR="00EE4454" w:rsidRPr="00EE4111" w:rsidRDefault="008161E5" w:rsidP="00FC376B">
            <w:pPr>
              <w:pStyle w:val="Normaltindrag"/>
              <w:ind w:firstLine="0"/>
              <w:jc w:val="right"/>
            </w:pPr>
            <w:r w:rsidRPr="00EE4111">
              <w:t>-89</w:t>
            </w:r>
          </w:p>
        </w:tc>
        <w:tc>
          <w:tcPr>
            <w:tcW w:w="1276" w:type="dxa"/>
          </w:tcPr>
          <w:p w:rsidR="00EE4454" w:rsidRPr="00EE4111" w:rsidRDefault="007E40B5" w:rsidP="00FC376B">
            <w:pPr>
              <w:pStyle w:val="Normaltindrag"/>
              <w:ind w:firstLine="0"/>
              <w:jc w:val="right"/>
            </w:pPr>
            <w:r w:rsidRPr="00EE4111">
              <w:t>-</w:t>
            </w:r>
            <w:r w:rsidR="008161E5" w:rsidRPr="00EE4111">
              <w:t>508</w:t>
            </w:r>
          </w:p>
        </w:tc>
      </w:tr>
      <w:tr w:rsidR="00EE4454" w:rsidRPr="00EE4111" w:rsidTr="007F0EC2">
        <w:tblPrEx>
          <w:tblCellMar>
            <w:top w:w="0" w:type="dxa"/>
            <w:bottom w:w="0" w:type="dxa"/>
          </w:tblCellMar>
        </w:tblPrEx>
        <w:trPr>
          <w:trHeight w:val="242"/>
        </w:trPr>
        <w:tc>
          <w:tcPr>
            <w:tcW w:w="2977" w:type="dxa"/>
          </w:tcPr>
          <w:p w:rsidR="00EE4454" w:rsidRPr="00EE4111" w:rsidRDefault="00EE4454" w:rsidP="004847DE">
            <w:pPr>
              <w:pStyle w:val="Normaltindrag"/>
              <w:ind w:firstLine="0"/>
            </w:pPr>
            <w:r w:rsidRPr="00EE4111">
              <w:t>5. Administration</w:t>
            </w:r>
          </w:p>
        </w:tc>
        <w:tc>
          <w:tcPr>
            <w:tcW w:w="992" w:type="dxa"/>
          </w:tcPr>
          <w:p w:rsidR="00EE4454" w:rsidRPr="00EE4111" w:rsidRDefault="003948DC" w:rsidP="004847DE">
            <w:pPr>
              <w:pStyle w:val="Normaltindrag"/>
              <w:ind w:firstLine="0"/>
              <w:jc w:val="right"/>
            </w:pPr>
            <w:r w:rsidRPr="00EE4111">
              <w:t>7 852</w:t>
            </w:r>
          </w:p>
        </w:tc>
        <w:tc>
          <w:tcPr>
            <w:tcW w:w="1134" w:type="dxa"/>
          </w:tcPr>
          <w:p w:rsidR="00EE4454" w:rsidRPr="00EE4111" w:rsidRDefault="007E40B5" w:rsidP="004847DE">
            <w:pPr>
              <w:pStyle w:val="Normaltindrag"/>
              <w:ind w:firstLine="0"/>
              <w:jc w:val="right"/>
            </w:pPr>
            <w:r w:rsidRPr="00EE4111">
              <w:t>+2,1</w:t>
            </w:r>
            <w:r w:rsidR="00EE4454" w:rsidRPr="00EE4111">
              <w:t>%</w:t>
            </w:r>
          </w:p>
        </w:tc>
        <w:tc>
          <w:tcPr>
            <w:tcW w:w="993" w:type="dxa"/>
          </w:tcPr>
          <w:p w:rsidR="00EE4454" w:rsidRPr="00EE4111" w:rsidRDefault="007E40B5" w:rsidP="004847DE">
            <w:pPr>
              <w:pStyle w:val="Normaltindrag"/>
              <w:ind w:firstLine="0"/>
              <w:jc w:val="right"/>
            </w:pPr>
            <w:r w:rsidRPr="00EE4111">
              <w:t>7 858</w:t>
            </w:r>
          </w:p>
        </w:tc>
        <w:tc>
          <w:tcPr>
            <w:tcW w:w="992" w:type="dxa"/>
          </w:tcPr>
          <w:p w:rsidR="00EE4454" w:rsidRPr="00EE4111" w:rsidRDefault="007E40B5" w:rsidP="004847DE">
            <w:pPr>
              <w:pStyle w:val="Normaltindrag"/>
              <w:ind w:firstLine="0"/>
              <w:jc w:val="right"/>
            </w:pPr>
            <w:r w:rsidRPr="00EE4111">
              <w:t>+2,1</w:t>
            </w:r>
            <w:r w:rsidR="00EE4454" w:rsidRPr="00EE4111">
              <w:t>%</w:t>
            </w:r>
          </w:p>
        </w:tc>
        <w:tc>
          <w:tcPr>
            <w:tcW w:w="1417" w:type="dxa"/>
          </w:tcPr>
          <w:p w:rsidR="00EE4454" w:rsidRPr="00EE4111" w:rsidRDefault="007E40B5" w:rsidP="00FC376B">
            <w:pPr>
              <w:pStyle w:val="Normaltindrag"/>
              <w:ind w:firstLine="0"/>
              <w:jc w:val="right"/>
            </w:pPr>
            <w:r w:rsidRPr="00EE4111">
              <w:t>-</w:t>
            </w:r>
            <w:r w:rsidR="008161E5" w:rsidRPr="00EE4111">
              <w:t>40</w:t>
            </w:r>
          </w:p>
        </w:tc>
        <w:tc>
          <w:tcPr>
            <w:tcW w:w="1276" w:type="dxa"/>
          </w:tcPr>
          <w:p w:rsidR="00EE4454" w:rsidRPr="00EE4111" w:rsidRDefault="0096324C" w:rsidP="00FC376B">
            <w:pPr>
              <w:pStyle w:val="Normaltindrag"/>
              <w:ind w:firstLine="0"/>
              <w:jc w:val="right"/>
            </w:pPr>
            <w:r w:rsidRPr="00EE4111">
              <w:t>-</w:t>
            </w:r>
            <w:r w:rsidR="008161E5" w:rsidRPr="00EE4111">
              <w:t>40</w:t>
            </w:r>
          </w:p>
        </w:tc>
      </w:tr>
      <w:tr w:rsidR="00EE4454" w:rsidRPr="00EE4111" w:rsidTr="007F0EC2">
        <w:tblPrEx>
          <w:tblCellMar>
            <w:top w:w="0" w:type="dxa"/>
            <w:bottom w:w="0" w:type="dxa"/>
          </w:tblCellMar>
        </w:tblPrEx>
        <w:trPr>
          <w:trHeight w:val="242"/>
        </w:trPr>
        <w:tc>
          <w:tcPr>
            <w:tcW w:w="2977" w:type="dxa"/>
          </w:tcPr>
          <w:p w:rsidR="00EE4454" w:rsidRPr="00EE4111" w:rsidRDefault="00EE4454" w:rsidP="004847DE">
            <w:pPr>
              <w:pStyle w:val="Normaltindrag"/>
              <w:ind w:firstLine="0"/>
            </w:pPr>
            <w:r w:rsidRPr="00EE4111">
              <w:t>6. Kompensationer</w:t>
            </w:r>
          </w:p>
        </w:tc>
        <w:tc>
          <w:tcPr>
            <w:tcW w:w="992" w:type="dxa"/>
          </w:tcPr>
          <w:p w:rsidR="00EE4454" w:rsidRPr="00EE4111" w:rsidRDefault="003948DC" w:rsidP="004847DE">
            <w:pPr>
              <w:pStyle w:val="Normaltindrag"/>
              <w:ind w:firstLine="0"/>
              <w:jc w:val="right"/>
            </w:pPr>
            <w:r w:rsidRPr="00EE4111">
              <w:t>0</w:t>
            </w:r>
          </w:p>
        </w:tc>
        <w:tc>
          <w:tcPr>
            <w:tcW w:w="1134" w:type="dxa"/>
          </w:tcPr>
          <w:p w:rsidR="00EE4454" w:rsidRPr="00EE4111" w:rsidRDefault="007E40B5" w:rsidP="004847DE">
            <w:pPr>
              <w:pStyle w:val="Normaltindrag"/>
              <w:ind w:firstLine="0"/>
              <w:jc w:val="right"/>
            </w:pPr>
            <w:r w:rsidRPr="00EE4111">
              <w:t>-100</w:t>
            </w:r>
            <w:r w:rsidR="00EE4454" w:rsidRPr="00EE4111">
              <w:t>%</w:t>
            </w:r>
          </w:p>
        </w:tc>
        <w:tc>
          <w:tcPr>
            <w:tcW w:w="993" w:type="dxa"/>
          </w:tcPr>
          <w:p w:rsidR="00EE4454" w:rsidRPr="00EE4111" w:rsidRDefault="007E40B5" w:rsidP="004847DE">
            <w:pPr>
              <w:pStyle w:val="Normaltindrag"/>
              <w:ind w:firstLine="0"/>
              <w:jc w:val="right"/>
            </w:pPr>
            <w:r w:rsidRPr="00EE4111">
              <w:t>0</w:t>
            </w:r>
          </w:p>
        </w:tc>
        <w:tc>
          <w:tcPr>
            <w:tcW w:w="992" w:type="dxa"/>
          </w:tcPr>
          <w:p w:rsidR="00EE4454" w:rsidRPr="00EE4111" w:rsidRDefault="007E40B5" w:rsidP="004847DE">
            <w:pPr>
              <w:pStyle w:val="Normaltindrag"/>
              <w:ind w:firstLine="0"/>
              <w:jc w:val="right"/>
            </w:pPr>
            <w:r w:rsidRPr="00EE4111">
              <w:t>-100</w:t>
            </w:r>
            <w:r w:rsidR="00EE4454" w:rsidRPr="00EE4111">
              <w:t>%</w:t>
            </w:r>
          </w:p>
        </w:tc>
        <w:tc>
          <w:tcPr>
            <w:tcW w:w="1417" w:type="dxa"/>
          </w:tcPr>
          <w:p w:rsidR="00EE4454" w:rsidRPr="00EE4111" w:rsidRDefault="00EE4454" w:rsidP="00FC376B">
            <w:pPr>
              <w:pStyle w:val="Normaltindrag"/>
              <w:ind w:firstLine="0"/>
              <w:jc w:val="right"/>
            </w:pPr>
          </w:p>
        </w:tc>
        <w:tc>
          <w:tcPr>
            <w:tcW w:w="1276" w:type="dxa"/>
          </w:tcPr>
          <w:p w:rsidR="00EE4454" w:rsidRPr="00EE4111" w:rsidRDefault="00EE4454" w:rsidP="00FC376B">
            <w:pPr>
              <w:pStyle w:val="Normaltindrag"/>
              <w:ind w:firstLine="0"/>
              <w:jc w:val="right"/>
            </w:pPr>
          </w:p>
        </w:tc>
      </w:tr>
      <w:tr w:rsidR="00EE4454" w:rsidRPr="00EE4111" w:rsidTr="007F0EC2">
        <w:tblPrEx>
          <w:tblCellMar>
            <w:top w:w="0" w:type="dxa"/>
            <w:bottom w:w="0" w:type="dxa"/>
          </w:tblCellMar>
        </w:tblPrEx>
        <w:trPr>
          <w:trHeight w:val="242"/>
        </w:trPr>
        <w:tc>
          <w:tcPr>
            <w:tcW w:w="2977" w:type="dxa"/>
          </w:tcPr>
          <w:p w:rsidR="00EE4454" w:rsidRPr="00EE4111" w:rsidRDefault="00EE4454" w:rsidP="004847DE">
            <w:pPr>
              <w:pStyle w:val="Normaltindrag"/>
              <w:ind w:firstLine="0"/>
              <w:rPr>
                <w:b/>
                <w:bCs/>
              </w:rPr>
            </w:pPr>
            <w:r w:rsidRPr="00EE4111">
              <w:rPr>
                <w:b/>
                <w:bCs/>
              </w:rPr>
              <w:t>Totalt</w:t>
            </w:r>
          </w:p>
        </w:tc>
        <w:tc>
          <w:tcPr>
            <w:tcW w:w="992" w:type="dxa"/>
          </w:tcPr>
          <w:p w:rsidR="00EE4454" w:rsidRPr="00EE4111" w:rsidRDefault="003948DC" w:rsidP="004847DE">
            <w:pPr>
              <w:pStyle w:val="Normaltindrag"/>
              <w:ind w:firstLine="0"/>
              <w:jc w:val="right"/>
              <w:rPr>
                <w:b/>
                <w:bCs/>
              </w:rPr>
            </w:pPr>
            <w:r w:rsidRPr="00EE4111">
              <w:t>138</w:t>
            </w:r>
            <w:r w:rsidR="00EE4454" w:rsidRPr="00EE4111">
              <w:t xml:space="preserve"> </w:t>
            </w:r>
            <w:r w:rsidRPr="00EE4111">
              <w:t>664</w:t>
            </w:r>
          </w:p>
        </w:tc>
        <w:tc>
          <w:tcPr>
            <w:tcW w:w="1134" w:type="dxa"/>
          </w:tcPr>
          <w:p w:rsidR="00EE4454" w:rsidRPr="00EE4111" w:rsidRDefault="007E40B5" w:rsidP="004847DE">
            <w:pPr>
              <w:pStyle w:val="Normaltindrag"/>
              <w:ind w:firstLine="0"/>
              <w:jc w:val="right"/>
              <w:rPr>
                <w:b/>
                <w:bCs/>
              </w:rPr>
            </w:pPr>
            <w:r w:rsidRPr="00EE4111">
              <w:t>+1,5</w:t>
            </w:r>
            <w:r w:rsidR="00EE4454" w:rsidRPr="00EE4111">
              <w:t>%</w:t>
            </w:r>
          </w:p>
        </w:tc>
        <w:tc>
          <w:tcPr>
            <w:tcW w:w="993" w:type="dxa"/>
          </w:tcPr>
          <w:p w:rsidR="00EE4454" w:rsidRPr="00EE4111" w:rsidRDefault="00EE4454" w:rsidP="004847DE">
            <w:pPr>
              <w:pStyle w:val="Normaltindrag"/>
              <w:ind w:firstLine="0"/>
              <w:jc w:val="right"/>
              <w:rPr>
                <w:b/>
                <w:bCs/>
              </w:rPr>
            </w:pPr>
            <w:r w:rsidRPr="00EE4111">
              <w:t>1</w:t>
            </w:r>
            <w:r w:rsidR="007E40B5" w:rsidRPr="00EE4111">
              <w:t>22 322</w:t>
            </w:r>
          </w:p>
        </w:tc>
        <w:tc>
          <w:tcPr>
            <w:tcW w:w="992" w:type="dxa"/>
          </w:tcPr>
          <w:p w:rsidR="00EE4454" w:rsidRPr="00EE4111" w:rsidRDefault="007E40B5" w:rsidP="004847DE">
            <w:pPr>
              <w:pStyle w:val="Normaltindrag"/>
              <w:ind w:firstLine="0"/>
              <w:jc w:val="right"/>
              <w:rPr>
                <w:b/>
                <w:bCs/>
              </w:rPr>
            </w:pPr>
            <w:r w:rsidRPr="00EE4111">
              <w:t>+5</w:t>
            </w:r>
            <w:r w:rsidR="00EE4454" w:rsidRPr="00EE4111">
              <w:t>,3%</w:t>
            </w:r>
          </w:p>
        </w:tc>
        <w:tc>
          <w:tcPr>
            <w:tcW w:w="1417" w:type="dxa"/>
          </w:tcPr>
          <w:p w:rsidR="00EE4454" w:rsidRPr="00EE4111" w:rsidRDefault="008161E5" w:rsidP="000203F4">
            <w:pPr>
              <w:pStyle w:val="Normaltindrag"/>
              <w:jc w:val="right"/>
              <w:rPr>
                <w:b/>
                <w:bCs/>
              </w:rPr>
            </w:pPr>
            <w:r w:rsidRPr="00EE4111">
              <w:rPr>
                <w:b/>
                <w:bCs/>
              </w:rPr>
              <w:t>-613</w:t>
            </w:r>
          </w:p>
          <w:p w:rsidR="00EE4454" w:rsidRPr="00EE4111" w:rsidRDefault="00EE4454" w:rsidP="00FC376B">
            <w:pPr>
              <w:pStyle w:val="Normaltindrag"/>
              <w:jc w:val="right"/>
              <w:rPr>
                <w:b/>
                <w:bCs/>
              </w:rPr>
            </w:pPr>
          </w:p>
        </w:tc>
        <w:tc>
          <w:tcPr>
            <w:tcW w:w="1276" w:type="dxa"/>
          </w:tcPr>
          <w:p w:rsidR="00EE4454" w:rsidRPr="00EE4111" w:rsidRDefault="0096324C" w:rsidP="000203F4">
            <w:pPr>
              <w:pStyle w:val="Normaltindrag"/>
              <w:jc w:val="right"/>
              <w:rPr>
                <w:b/>
                <w:bCs/>
              </w:rPr>
            </w:pPr>
            <w:r w:rsidRPr="00EE4111">
              <w:rPr>
                <w:b/>
                <w:bCs/>
              </w:rPr>
              <w:t>-</w:t>
            </w:r>
            <w:r w:rsidR="008161E5" w:rsidRPr="00EE4111">
              <w:rPr>
                <w:b/>
                <w:bCs/>
              </w:rPr>
              <w:t>1 795</w:t>
            </w:r>
          </w:p>
        </w:tc>
      </w:tr>
      <w:tr w:rsidR="00EE4454" w:rsidRPr="00EE4111" w:rsidTr="007F0EC2">
        <w:tblPrEx>
          <w:tblCellMar>
            <w:top w:w="0" w:type="dxa"/>
            <w:bottom w:w="0" w:type="dxa"/>
          </w:tblCellMar>
        </w:tblPrEx>
        <w:trPr>
          <w:trHeight w:val="242"/>
        </w:trPr>
        <w:tc>
          <w:tcPr>
            <w:tcW w:w="2977" w:type="dxa"/>
          </w:tcPr>
          <w:p w:rsidR="00EE4454" w:rsidRPr="00EE4111" w:rsidRDefault="00EE4454" w:rsidP="00FC376B">
            <w:pPr>
              <w:pStyle w:val="Normaltindrag"/>
              <w:ind w:firstLine="0"/>
              <w:rPr>
                <w:b/>
                <w:bCs/>
                <w:i/>
              </w:rPr>
            </w:pPr>
            <w:r w:rsidRPr="00EE4111">
              <w:rPr>
                <w:b/>
                <w:bCs/>
                <w:i/>
              </w:rPr>
              <w:t>Budgetramen</w:t>
            </w:r>
          </w:p>
        </w:tc>
        <w:tc>
          <w:tcPr>
            <w:tcW w:w="992" w:type="dxa"/>
          </w:tcPr>
          <w:p w:rsidR="00EE4454" w:rsidRPr="00EE4111" w:rsidRDefault="00EE4454" w:rsidP="004847DE">
            <w:pPr>
              <w:pStyle w:val="Normaltindrag"/>
              <w:ind w:firstLine="0"/>
              <w:jc w:val="right"/>
              <w:rPr>
                <w:b/>
                <w:bCs/>
              </w:rPr>
            </w:pPr>
            <w:r w:rsidRPr="00EE4111">
              <w:t>13</w:t>
            </w:r>
            <w:r w:rsidR="007E40B5" w:rsidRPr="00EE4111">
              <w:t>9 489</w:t>
            </w:r>
          </w:p>
        </w:tc>
        <w:tc>
          <w:tcPr>
            <w:tcW w:w="1134" w:type="dxa"/>
          </w:tcPr>
          <w:p w:rsidR="00EE4454" w:rsidRPr="00EE4111" w:rsidRDefault="00EE4454" w:rsidP="004847DE">
            <w:pPr>
              <w:pStyle w:val="Normaltindrag"/>
              <w:ind w:firstLine="0"/>
              <w:jc w:val="right"/>
              <w:rPr>
                <w:b/>
                <w:bCs/>
              </w:rPr>
            </w:pPr>
          </w:p>
        </w:tc>
        <w:tc>
          <w:tcPr>
            <w:tcW w:w="993" w:type="dxa"/>
          </w:tcPr>
          <w:p w:rsidR="00EE4454" w:rsidRPr="00EE4111" w:rsidRDefault="007E40B5" w:rsidP="00FC376B">
            <w:pPr>
              <w:pStyle w:val="Normaltindrag"/>
              <w:ind w:firstLine="0"/>
              <w:jc w:val="right"/>
              <w:rPr>
                <w:b/>
                <w:bCs/>
              </w:rPr>
            </w:pPr>
            <w:r w:rsidRPr="00EE4111">
              <w:t>134 155</w:t>
            </w:r>
          </w:p>
        </w:tc>
        <w:tc>
          <w:tcPr>
            <w:tcW w:w="992" w:type="dxa"/>
          </w:tcPr>
          <w:p w:rsidR="00EE4454" w:rsidRPr="00EE4111" w:rsidRDefault="00EE4454" w:rsidP="00FC376B">
            <w:pPr>
              <w:pStyle w:val="Normaltindrag"/>
              <w:ind w:firstLine="0"/>
              <w:jc w:val="right"/>
              <w:rPr>
                <w:b/>
                <w:bCs/>
              </w:rPr>
            </w:pPr>
          </w:p>
        </w:tc>
        <w:tc>
          <w:tcPr>
            <w:tcW w:w="1417" w:type="dxa"/>
          </w:tcPr>
          <w:p w:rsidR="00EE4454" w:rsidRPr="00EE4111" w:rsidRDefault="00EE4454" w:rsidP="00FC376B">
            <w:pPr>
              <w:pStyle w:val="Normaltindrag"/>
              <w:ind w:firstLine="0"/>
              <w:jc w:val="right"/>
              <w:rPr>
                <w:b/>
                <w:bCs/>
              </w:rPr>
            </w:pPr>
          </w:p>
        </w:tc>
        <w:tc>
          <w:tcPr>
            <w:tcW w:w="1276" w:type="dxa"/>
          </w:tcPr>
          <w:p w:rsidR="00EE4454" w:rsidRPr="00EE4111" w:rsidRDefault="00EE4454" w:rsidP="00FC376B">
            <w:pPr>
              <w:pStyle w:val="Normaltindrag"/>
              <w:ind w:firstLine="0"/>
              <w:jc w:val="right"/>
              <w:rPr>
                <w:b/>
                <w:bCs/>
              </w:rPr>
            </w:pPr>
          </w:p>
        </w:tc>
      </w:tr>
    </w:tbl>
    <w:p w:rsidR="000203F4" w:rsidRPr="00EE4111" w:rsidRDefault="000203F4" w:rsidP="00BA3DF2">
      <w:pPr>
        <w:pStyle w:val="RKnormal"/>
      </w:pPr>
    </w:p>
    <w:sectPr w:rsidR="000203F4" w:rsidRPr="00EE4111">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401F" w:rsidRPr="00EE4111" w:rsidRDefault="0024401F">
      <w:r w:rsidRPr="00EE4111">
        <w:separator/>
      </w:r>
    </w:p>
  </w:endnote>
  <w:endnote w:type="continuationSeparator" w:id="0">
    <w:p w:rsidR="0024401F" w:rsidRPr="00EE4111" w:rsidRDefault="0024401F">
      <w:r w:rsidRPr="00EE41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401F" w:rsidRPr="00EE4111" w:rsidRDefault="0024401F">
      <w:r w:rsidRPr="00EE4111">
        <w:separator/>
      </w:r>
    </w:p>
  </w:footnote>
  <w:footnote w:type="continuationSeparator" w:id="0">
    <w:p w:rsidR="0024401F" w:rsidRPr="00EE4111" w:rsidRDefault="0024401F">
      <w:r w:rsidRPr="00EE41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3416" w:rsidRPr="00EE4111" w:rsidRDefault="00C83416">
    <w:pPr>
      <w:pStyle w:val="Sidhuvud"/>
      <w:framePr w:wrap="around" w:vAnchor="text" w:hAnchor="margin" w:xAlign="right" w:y="1"/>
      <w:rPr>
        <w:rStyle w:val="Sidnummer"/>
      </w:rPr>
    </w:pPr>
    <w:r w:rsidRPr="00EE4111">
      <w:rPr>
        <w:rStyle w:val="Sidnummer"/>
      </w:rPr>
      <w:fldChar w:fldCharType="begin" w:fldLock="1"/>
    </w:r>
    <w:r w:rsidRPr="00EE4111">
      <w:rPr>
        <w:rStyle w:val="Sidnummer"/>
      </w:rPr>
      <w:instrText xml:space="preserve">PAGE  </w:instrText>
    </w:r>
    <w:r w:rsidRPr="00EE4111">
      <w:rPr>
        <w:rStyle w:val="Sidnummer"/>
      </w:rPr>
      <w:fldChar w:fldCharType="separate"/>
    </w:r>
    <w:r w:rsidR="00AA009E" w:rsidRPr="00EE4111">
      <w:rPr>
        <w:rStyle w:val="Sidnummer"/>
      </w:rPr>
      <w:t>2</w:t>
    </w:r>
    <w:r w:rsidRPr="00EE411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C83416" w:rsidRPr="00EE4111">
      <w:tblPrEx>
        <w:tblCellMar>
          <w:top w:w="0" w:type="dxa"/>
          <w:bottom w:w="0" w:type="dxa"/>
        </w:tblCellMar>
      </w:tblPrEx>
      <w:trPr>
        <w:cantSplit/>
      </w:trPr>
      <w:tc>
        <w:tcPr>
          <w:tcW w:w="3119" w:type="dxa"/>
        </w:tcPr>
        <w:p w:rsidR="00C83416" w:rsidRPr="00EE4111" w:rsidRDefault="00C83416">
          <w:pPr>
            <w:pStyle w:val="Sidhuvud"/>
            <w:spacing w:line="200" w:lineRule="atLeast"/>
            <w:ind w:right="357"/>
            <w:rPr>
              <w:rFonts w:ascii="TradeGothic" w:hAnsi="TradeGothic"/>
              <w:b/>
              <w:bCs/>
              <w:sz w:val="16"/>
            </w:rPr>
          </w:pPr>
        </w:p>
      </w:tc>
      <w:tc>
        <w:tcPr>
          <w:tcW w:w="4111" w:type="dxa"/>
          <w:tcMar>
            <w:left w:w="567" w:type="dxa"/>
          </w:tcMar>
        </w:tcPr>
        <w:p w:rsidR="00C83416" w:rsidRPr="00EE4111" w:rsidRDefault="00C83416">
          <w:pPr>
            <w:pStyle w:val="Sidhuvud"/>
            <w:ind w:right="360"/>
          </w:pPr>
        </w:p>
      </w:tc>
      <w:tc>
        <w:tcPr>
          <w:tcW w:w="1525" w:type="dxa"/>
        </w:tcPr>
        <w:p w:rsidR="00C83416" w:rsidRPr="00EE4111" w:rsidRDefault="00C83416">
          <w:pPr>
            <w:pStyle w:val="Sidhuvud"/>
            <w:ind w:right="360"/>
          </w:pPr>
        </w:p>
      </w:tc>
    </w:tr>
  </w:tbl>
  <w:p w:rsidR="00C83416" w:rsidRPr="00EE4111" w:rsidRDefault="00C8341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3416" w:rsidRPr="00EE4111" w:rsidRDefault="00C83416">
    <w:pPr>
      <w:pStyle w:val="Sidhuvud"/>
      <w:framePr w:wrap="around" w:vAnchor="text" w:hAnchor="margin" w:xAlign="right" w:y="1"/>
      <w:rPr>
        <w:rStyle w:val="Sidnummer"/>
      </w:rPr>
    </w:pPr>
    <w:r w:rsidRPr="00EE4111">
      <w:rPr>
        <w:rStyle w:val="Sidnummer"/>
      </w:rPr>
      <w:fldChar w:fldCharType="begin" w:fldLock="1"/>
    </w:r>
    <w:r w:rsidRPr="00EE4111">
      <w:rPr>
        <w:rStyle w:val="Sidnummer"/>
      </w:rPr>
      <w:instrText xml:space="preserve">PAGE  </w:instrText>
    </w:r>
    <w:r w:rsidRPr="00EE4111">
      <w:rPr>
        <w:rStyle w:val="Sidnummer"/>
      </w:rPr>
      <w:fldChar w:fldCharType="separate"/>
    </w:r>
    <w:r w:rsidR="007E3BE2" w:rsidRPr="00EE4111">
      <w:rPr>
        <w:rStyle w:val="Sidnummer"/>
      </w:rPr>
      <w:t>3</w:t>
    </w:r>
    <w:r w:rsidRPr="00EE411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C83416" w:rsidRPr="00EE4111">
      <w:tblPrEx>
        <w:tblCellMar>
          <w:top w:w="0" w:type="dxa"/>
          <w:bottom w:w="0" w:type="dxa"/>
        </w:tblCellMar>
      </w:tblPrEx>
      <w:trPr>
        <w:cantSplit/>
      </w:trPr>
      <w:tc>
        <w:tcPr>
          <w:tcW w:w="3119" w:type="dxa"/>
        </w:tcPr>
        <w:p w:rsidR="00C83416" w:rsidRPr="00EE4111" w:rsidRDefault="00C83416">
          <w:pPr>
            <w:pStyle w:val="Sidhuvud"/>
            <w:spacing w:line="200" w:lineRule="atLeast"/>
            <w:ind w:right="357"/>
            <w:rPr>
              <w:rFonts w:ascii="TradeGothic" w:hAnsi="TradeGothic"/>
              <w:b/>
              <w:bCs/>
              <w:sz w:val="16"/>
            </w:rPr>
          </w:pPr>
        </w:p>
      </w:tc>
      <w:tc>
        <w:tcPr>
          <w:tcW w:w="4111" w:type="dxa"/>
          <w:tcMar>
            <w:left w:w="567" w:type="dxa"/>
          </w:tcMar>
        </w:tcPr>
        <w:p w:rsidR="00C83416" w:rsidRPr="00EE4111" w:rsidRDefault="00C83416">
          <w:pPr>
            <w:pStyle w:val="Sidhuvud"/>
            <w:ind w:right="360"/>
          </w:pPr>
        </w:p>
      </w:tc>
      <w:tc>
        <w:tcPr>
          <w:tcW w:w="1525" w:type="dxa"/>
        </w:tcPr>
        <w:p w:rsidR="00C83416" w:rsidRPr="00EE4111" w:rsidRDefault="00C83416">
          <w:pPr>
            <w:pStyle w:val="Sidhuvud"/>
            <w:ind w:right="360"/>
          </w:pPr>
        </w:p>
      </w:tc>
    </w:tr>
  </w:tbl>
  <w:p w:rsidR="00C83416" w:rsidRPr="00EE4111" w:rsidRDefault="00C8341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3416" w:rsidRPr="00EE4111" w:rsidRDefault="00EE4111">
    <w:pPr>
      <w:framePr w:w="2948" w:h="1321" w:hRule="exact" w:wrap="notBeside" w:vAnchor="page" w:hAnchor="page" w:x="1362" w:y="653"/>
    </w:pPr>
    <w:r w:rsidRPr="00EE4111">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C83416" w:rsidRPr="00EE4111" w:rsidRDefault="00C83416">
    <w:pPr>
      <w:pStyle w:val="RKrubrik"/>
      <w:keepNext w:val="0"/>
      <w:tabs>
        <w:tab w:val="clear" w:pos="1134"/>
        <w:tab w:val="clear" w:pos="2835"/>
      </w:tabs>
      <w:spacing w:before="0" w:after="0" w:line="320" w:lineRule="atLeast"/>
      <w:rPr>
        <w:bCs/>
      </w:rPr>
    </w:pPr>
  </w:p>
  <w:p w:rsidR="00C83416" w:rsidRPr="00EE4111" w:rsidRDefault="00C83416">
    <w:pPr>
      <w:rPr>
        <w:rFonts w:ascii="TradeGothic" w:hAnsi="TradeGothic"/>
        <w:b/>
        <w:bCs/>
        <w:spacing w:val="12"/>
        <w:sz w:val="22"/>
      </w:rPr>
    </w:pPr>
  </w:p>
  <w:p w:rsidR="00C83416" w:rsidRPr="00EE4111" w:rsidRDefault="00C83416">
    <w:pPr>
      <w:pStyle w:val="RKrubrik"/>
      <w:keepNext w:val="0"/>
      <w:tabs>
        <w:tab w:val="clear" w:pos="1134"/>
        <w:tab w:val="clear" w:pos="2835"/>
      </w:tabs>
      <w:spacing w:before="0" w:after="0" w:line="320" w:lineRule="atLeast"/>
      <w:rPr>
        <w:bCs/>
      </w:rPr>
    </w:pPr>
  </w:p>
  <w:p w:rsidR="00C83416" w:rsidRPr="00EE4111" w:rsidRDefault="00C83416">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C480E9C"/>
    <w:lvl w:ilvl="0">
      <w:numFmt w:val="decimal"/>
      <w:lvlText w:val="*"/>
      <w:lvlJc w:val="left"/>
    </w:lvl>
  </w:abstractNum>
  <w:abstractNum w:abstractNumId="1" w15:restartNumberingAfterBreak="0">
    <w:nsid w:val="012E0026"/>
    <w:multiLevelType w:val="hybridMultilevel"/>
    <w:tmpl w:val="57D4EE7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6918E8"/>
    <w:multiLevelType w:val="hybridMultilevel"/>
    <w:tmpl w:val="89F2A7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EE5605B"/>
    <w:multiLevelType w:val="hybridMultilevel"/>
    <w:tmpl w:val="F06E5D74"/>
    <w:lvl w:ilvl="0" w:tplc="041D0001">
      <w:start w:val="1"/>
      <w:numFmt w:val="bullet"/>
      <w:lvlText w:val=""/>
      <w:lvlJc w:val="left"/>
      <w:pPr>
        <w:tabs>
          <w:tab w:val="num" w:pos="502"/>
        </w:tabs>
        <w:ind w:left="502" w:hanging="360"/>
      </w:pPr>
      <w:rPr>
        <w:rFonts w:ascii="Symbol" w:hAnsi="Symbol" w:hint="default"/>
      </w:rPr>
    </w:lvl>
    <w:lvl w:ilvl="1" w:tplc="041D0003" w:tentative="1">
      <w:start w:val="1"/>
      <w:numFmt w:val="bullet"/>
      <w:lvlText w:val="o"/>
      <w:lvlJc w:val="left"/>
      <w:pPr>
        <w:tabs>
          <w:tab w:val="num" w:pos="1222"/>
        </w:tabs>
        <w:ind w:left="1222" w:hanging="360"/>
      </w:pPr>
      <w:rPr>
        <w:rFonts w:ascii="Courier New" w:hAnsi="Courier New" w:cs="Courier New" w:hint="default"/>
      </w:rPr>
    </w:lvl>
    <w:lvl w:ilvl="2" w:tplc="041D0005" w:tentative="1">
      <w:start w:val="1"/>
      <w:numFmt w:val="bullet"/>
      <w:lvlText w:val=""/>
      <w:lvlJc w:val="left"/>
      <w:pPr>
        <w:tabs>
          <w:tab w:val="num" w:pos="1942"/>
        </w:tabs>
        <w:ind w:left="1942" w:hanging="360"/>
      </w:pPr>
      <w:rPr>
        <w:rFonts w:ascii="Wingdings" w:hAnsi="Wingdings" w:hint="default"/>
      </w:rPr>
    </w:lvl>
    <w:lvl w:ilvl="3" w:tplc="041D0001" w:tentative="1">
      <w:start w:val="1"/>
      <w:numFmt w:val="bullet"/>
      <w:lvlText w:val=""/>
      <w:lvlJc w:val="left"/>
      <w:pPr>
        <w:tabs>
          <w:tab w:val="num" w:pos="2662"/>
        </w:tabs>
        <w:ind w:left="2662" w:hanging="360"/>
      </w:pPr>
      <w:rPr>
        <w:rFonts w:ascii="Symbol" w:hAnsi="Symbol" w:hint="default"/>
      </w:rPr>
    </w:lvl>
    <w:lvl w:ilvl="4" w:tplc="041D0003" w:tentative="1">
      <w:start w:val="1"/>
      <w:numFmt w:val="bullet"/>
      <w:lvlText w:val="o"/>
      <w:lvlJc w:val="left"/>
      <w:pPr>
        <w:tabs>
          <w:tab w:val="num" w:pos="3382"/>
        </w:tabs>
        <w:ind w:left="3382" w:hanging="360"/>
      </w:pPr>
      <w:rPr>
        <w:rFonts w:ascii="Courier New" w:hAnsi="Courier New" w:cs="Courier New" w:hint="default"/>
      </w:rPr>
    </w:lvl>
    <w:lvl w:ilvl="5" w:tplc="041D0005" w:tentative="1">
      <w:start w:val="1"/>
      <w:numFmt w:val="bullet"/>
      <w:lvlText w:val=""/>
      <w:lvlJc w:val="left"/>
      <w:pPr>
        <w:tabs>
          <w:tab w:val="num" w:pos="4102"/>
        </w:tabs>
        <w:ind w:left="4102" w:hanging="360"/>
      </w:pPr>
      <w:rPr>
        <w:rFonts w:ascii="Wingdings" w:hAnsi="Wingdings" w:hint="default"/>
      </w:rPr>
    </w:lvl>
    <w:lvl w:ilvl="6" w:tplc="041D0001" w:tentative="1">
      <w:start w:val="1"/>
      <w:numFmt w:val="bullet"/>
      <w:lvlText w:val=""/>
      <w:lvlJc w:val="left"/>
      <w:pPr>
        <w:tabs>
          <w:tab w:val="num" w:pos="4822"/>
        </w:tabs>
        <w:ind w:left="4822" w:hanging="360"/>
      </w:pPr>
      <w:rPr>
        <w:rFonts w:ascii="Symbol" w:hAnsi="Symbol" w:hint="default"/>
      </w:rPr>
    </w:lvl>
    <w:lvl w:ilvl="7" w:tplc="041D0003" w:tentative="1">
      <w:start w:val="1"/>
      <w:numFmt w:val="bullet"/>
      <w:lvlText w:val="o"/>
      <w:lvlJc w:val="left"/>
      <w:pPr>
        <w:tabs>
          <w:tab w:val="num" w:pos="5542"/>
        </w:tabs>
        <w:ind w:left="5542" w:hanging="360"/>
      </w:pPr>
      <w:rPr>
        <w:rFonts w:ascii="Courier New" w:hAnsi="Courier New" w:cs="Courier New" w:hint="default"/>
      </w:rPr>
    </w:lvl>
    <w:lvl w:ilvl="8" w:tplc="041D0005" w:tentative="1">
      <w:start w:val="1"/>
      <w:numFmt w:val="bullet"/>
      <w:lvlText w:val=""/>
      <w:lvlJc w:val="left"/>
      <w:pPr>
        <w:tabs>
          <w:tab w:val="num" w:pos="6262"/>
        </w:tabs>
        <w:ind w:left="6262" w:hanging="360"/>
      </w:pPr>
      <w:rPr>
        <w:rFonts w:ascii="Wingdings" w:hAnsi="Wingdings" w:hint="default"/>
      </w:rPr>
    </w:lvl>
  </w:abstractNum>
  <w:num w:numId="1" w16cid:durableId="38568541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794908669">
    <w:abstractNumId w:val="2"/>
  </w:num>
  <w:num w:numId="3" w16cid:durableId="1368867759">
    <w:abstractNumId w:val="1"/>
  </w:num>
  <w:num w:numId="4" w16cid:durableId="16248428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2"/>
    <w:docVar w:name="docDep" w:val="6"/>
    <w:docVar w:name="docSprak" w:val="0"/>
  </w:docVars>
  <w:rsids>
    <w:rsidRoot w:val="0044175C"/>
    <w:rsid w:val="000007A7"/>
    <w:rsid w:val="00010D9A"/>
    <w:rsid w:val="000203F4"/>
    <w:rsid w:val="00024770"/>
    <w:rsid w:val="00025301"/>
    <w:rsid w:val="000445D8"/>
    <w:rsid w:val="00051E5C"/>
    <w:rsid w:val="000734BA"/>
    <w:rsid w:val="000C3B5C"/>
    <w:rsid w:val="000D2236"/>
    <w:rsid w:val="00122169"/>
    <w:rsid w:val="001360AD"/>
    <w:rsid w:val="00136172"/>
    <w:rsid w:val="001379EB"/>
    <w:rsid w:val="00147198"/>
    <w:rsid w:val="00181C54"/>
    <w:rsid w:val="0019219E"/>
    <w:rsid w:val="0019768C"/>
    <w:rsid w:val="001F153A"/>
    <w:rsid w:val="0024401F"/>
    <w:rsid w:val="002816F4"/>
    <w:rsid w:val="002964CF"/>
    <w:rsid w:val="002D4CA9"/>
    <w:rsid w:val="00330D70"/>
    <w:rsid w:val="0034772B"/>
    <w:rsid w:val="0035685B"/>
    <w:rsid w:val="0037183D"/>
    <w:rsid w:val="003948DC"/>
    <w:rsid w:val="003D4F6F"/>
    <w:rsid w:val="003F2822"/>
    <w:rsid w:val="00415A3F"/>
    <w:rsid w:val="004212B7"/>
    <w:rsid w:val="00424A2B"/>
    <w:rsid w:val="004343D0"/>
    <w:rsid w:val="004352D0"/>
    <w:rsid w:val="00440F3A"/>
    <w:rsid w:val="0044175C"/>
    <w:rsid w:val="004573C5"/>
    <w:rsid w:val="004664F4"/>
    <w:rsid w:val="004847DE"/>
    <w:rsid w:val="0049373D"/>
    <w:rsid w:val="004947BB"/>
    <w:rsid w:val="004A3743"/>
    <w:rsid w:val="004E0DA9"/>
    <w:rsid w:val="005079B9"/>
    <w:rsid w:val="005218B8"/>
    <w:rsid w:val="005853C1"/>
    <w:rsid w:val="005B632B"/>
    <w:rsid w:val="005C6DA9"/>
    <w:rsid w:val="005D1067"/>
    <w:rsid w:val="005D31BD"/>
    <w:rsid w:val="00620EDC"/>
    <w:rsid w:val="00693297"/>
    <w:rsid w:val="006A712F"/>
    <w:rsid w:val="006B051B"/>
    <w:rsid w:val="0073516E"/>
    <w:rsid w:val="00740C32"/>
    <w:rsid w:val="00751568"/>
    <w:rsid w:val="00764BAE"/>
    <w:rsid w:val="007C33DF"/>
    <w:rsid w:val="007E1CBA"/>
    <w:rsid w:val="007E3BE2"/>
    <w:rsid w:val="007E40B5"/>
    <w:rsid w:val="007F0EC2"/>
    <w:rsid w:val="008161E5"/>
    <w:rsid w:val="00961C66"/>
    <w:rsid w:val="0096324C"/>
    <w:rsid w:val="009E0B39"/>
    <w:rsid w:val="00A37139"/>
    <w:rsid w:val="00A834AB"/>
    <w:rsid w:val="00AA009E"/>
    <w:rsid w:val="00AC39C8"/>
    <w:rsid w:val="00AC6F64"/>
    <w:rsid w:val="00AF7625"/>
    <w:rsid w:val="00B01CDB"/>
    <w:rsid w:val="00B170BB"/>
    <w:rsid w:val="00B57EB4"/>
    <w:rsid w:val="00B66B81"/>
    <w:rsid w:val="00BA1F02"/>
    <w:rsid w:val="00BA3DF2"/>
    <w:rsid w:val="00BA712A"/>
    <w:rsid w:val="00BC6F30"/>
    <w:rsid w:val="00BD549C"/>
    <w:rsid w:val="00C35A2C"/>
    <w:rsid w:val="00C60607"/>
    <w:rsid w:val="00C82DF8"/>
    <w:rsid w:val="00C83416"/>
    <w:rsid w:val="00C85AFE"/>
    <w:rsid w:val="00C97676"/>
    <w:rsid w:val="00CC56A8"/>
    <w:rsid w:val="00D46911"/>
    <w:rsid w:val="00DB2211"/>
    <w:rsid w:val="00DF119E"/>
    <w:rsid w:val="00E77E52"/>
    <w:rsid w:val="00E80416"/>
    <w:rsid w:val="00E847B3"/>
    <w:rsid w:val="00EC219E"/>
    <w:rsid w:val="00EE4111"/>
    <w:rsid w:val="00EE4454"/>
    <w:rsid w:val="00F108D2"/>
    <w:rsid w:val="00F46101"/>
    <w:rsid w:val="00F55309"/>
    <w:rsid w:val="00F628AD"/>
    <w:rsid w:val="00F67CB9"/>
    <w:rsid w:val="00F7049E"/>
    <w:rsid w:val="00F921E4"/>
    <w:rsid w:val="00FC376B"/>
    <w:rsid w:val="00FE78E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774F1FE-A08A-4539-98B3-B7B5C34B5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ormaltindrag">
    <w:name w:val="Normal Indent"/>
    <w:basedOn w:val="Normal"/>
    <w:pPr>
      <w:overflowPunct/>
      <w:autoSpaceDE/>
      <w:autoSpaceDN/>
      <w:adjustRightInd/>
      <w:spacing w:line="245" w:lineRule="exact"/>
      <w:ind w:firstLine="170"/>
      <w:jc w:val="both"/>
      <w:textAlignment w:val="auto"/>
    </w:pPr>
    <w:rPr>
      <w:rFonts w:ascii="Times New Roman" w:hAnsi="Times New Roman"/>
      <w:sz w:val="19"/>
      <w:lang w:eastAsia="sv-SE"/>
    </w:rPr>
  </w:style>
  <w:style w:type="paragraph" w:styleId="Ballongtext">
    <w:name w:val="Balloon Text"/>
    <w:basedOn w:val="Normal"/>
    <w:semiHidden/>
    <w:rsid w:val="000C3B5C"/>
    <w:rPr>
      <w:rFonts w:ascii="Tahoma" w:hAnsi="Tahoma" w:cs="Tahoma"/>
      <w:sz w:val="16"/>
      <w:szCs w:val="16"/>
    </w:rPr>
  </w:style>
  <w:style w:type="character" w:customStyle="1" w:styleId="RKnormalChar">
    <w:name w:val="RKnormal Char"/>
    <w:basedOn w:val="Standardstycketeckensnitt"/>
    <w:link w:val="RKnormal"/>
    <w:rsid w:val="004352D0"/>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795</Words>
  <Characters>4704</Characters>
  <Application>Microsoft Office Word</Application>
  <DocSecurity>4</DocSecurity>
  <Lines>235</Lines>
  <Paragraphs>124</Paragraphs>
  <ScaleCrop>false</ScaleCrop>
  <HeadingPairs>
    <vt:vector size="2" baseType="variant">
      <vt:variant>
        <vt:lpstr>Rubrik</vt:lpstr>
      </vt:variant>
      <vt:variant>
        <vt:i4>1</vt:i4>
      </vt:variant>
    </vt:vector>
  </HeadingPairs>
  <TitlesOfParts>
    <vt:vector size="1" baseType="lpstr">
      <vt:lpstr>Rådets första läsning av EU:s budget för 2006</vt:lpstr>
    </vt:vector>
  </TitlesOfParts>
  <Company>Regeringskansliet</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Rådets första läsning av EU:s budget för 2006</dc:title>
  <dc:subject>Rådets första läsning av EU:s budget för 2006</dc:subject>
  <dc:creator>Riksdagen</dc:creator>
  <cp:keywords>Riksdagen</cp:keywords>
  <dc:description/>
  <cp:lastModifiedBy>Lars Brink</cp:lastModifiedBy>
  <cp:revision>2</cp:revision>
  <cp:lastPrinted>2009-06-24T13:33:00Z</cp:lastPrinted>
  <dcterms:created xsi:type="dcterms:W3CDTF">2025-12-17T19:33:00Z</dcterms:created>
  <dcterms:modified xsi:type="dcterms:W3CDTF">2025-12-17T19:33:00Z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6;0;0;256</vt:lpwstr>
  </property>
  <property fmtid="{D5CDD505-2E9C-101B-9397-08002B2CF9AE}" pid="3" name="Sprak">
    <vt:lpwstr>Svenska</vt:lpwstr>
  </property>
  <property fmtid="{D5CDD505-2E9C-101B-9397-08002B2CF9AE}" pid="4" name="DokID">
    <vt:i4>7</vt:i4>
  </property>
</Properties>
</file>