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33741E">
        <w:tblPrEx>
          <w:tblCellMar>
            <w:top w:w="0" w:type="dxa"/>
            <w:left w:w="0" w:type="dxa"/>
            <w:bottom w:w="0" w:type="dxa"/>
            <w:right w:w="0" w:type="dxa"/>
          </w:tblCellMar>
        </w:tblPrEx>
        <w:trPr>
          <w:gridAfter w:val="2"/>
          <w:wAfter w:w="1758" w:type="dxa"/>
          <w:cantSplit/>
          <w:trHeight w:val="1320"/>
        </w:trPr>
        <w:tc>
          <w:tcPr>
            <w:tcW w:w="5897" w:type="dxa"/>
          </w:tcPr>
          <w:p w:rsidR="007E6CCE" w:rsidRPr="0033741E" w:rsidRDefault="007E6CCE">
            <w:pPr>
              <w:pStyle w:val="HuvudRubrik"/>
            </w:pPr>
            <w:r w:rsidRPr="0033741E">
              <w:t>Regeringskansliet</w:t>
            </w:r>
          </w:p>
          <w:p w:rsidR="007E6CCE" w:rsidRPr="0033741E" w:rsidRDefault="007E6CCE">
            <w:pPr>
              <w:pStyle w:val="HuvudRubrik"/>
            </w:pPr>
            <w:r w:rsidRPr="0033741E">
              <w:t>Faktapromemoria  2007/08:FPM118</w:t>
            </w:r>
          </w:p>
        </w:tc>
      </w:tr>
      <w:tr w:rsidR="00000000" w:rsidRPr="0033741E">
        <w:tblPrEx>
          <w:tblCellMar>
            <w:top w:w="0" w:type="dxa"/>
            <w:left w:w="0" w:type="dxa"/>
            <w:bottom w:w="0" w:type="dxa"/>
            <w:right w:w="0" w:type="dxa"/>
          </w:tblCellMar>
        </w:tblPrEx>
        <w:trPr>
          <w:gridAfter w:val="2"/>
          <w:wAfter w:w="1758" w:type="dxa"/>
          <w:cantSplit/>
          <w:trHeight w:val="240"/>
        </w:trPr>
        <w:tc>
          <w:tcPr>
            <w:tcW w:w="5897" w:type="dxa"/>
          </w:tcPr>
          <w:p w:rsidR="007E6CCE" w:rsidRPr="0033741E" w:rsidRDefault="007E6CCE">
            <w:pPr>
              <w:pStyle w:val="HuvudRubrik"/>
              <w:rPr>
                <w:sz w:val="28"/>
              </w:rPr>
            </w:pPr>
            <w:r w:rsidRPr="0033741E">
              <w:t>Två direktiv om förenklingar inom bolagsrätt och redovisning</w:t>
            </w:r>
          </w:p>
        </w:tc>
      </w:tr>
      <w:tr w:rsidR="00000000" w:rsidRPr="0033741E">
        <w:tblPrEx>
          <w:tblCellMar>
            <w:top w:w="0" w:type="dxa"/>
            <w:left w:w="0" w:type="dxa"/>
            <w:bottom w:w="0" w:type="dxa"/>
            <w:right w:w="0" w:type="dxa"/>
          </w:tblCellMar>
        </w:tblPrEx>
        <w:trPr>
          <w:cantSplit/>
          <w:trHeight w:val="285"/>
        </w:trPr>
        <w:tc>
          <w:tcPr>
            <w:tcW w:w="7655" w:type="dxa"/>
            <w:gridSpan w:val="3"/>
          </w:tcPr>
          <w:p w:rsidR="007E6CCE" w:rsidRPr="0033741E" w:rsidRDefault="007E6CCE">
            <w:pPr>
              <w:pStyle w:val="Departement"/>
              <w:rPr>
                <w:sz w:val="28"/>
              </w:rPr>
            </w:pPr>
            <w:r w:rsidRPr="0033741E">
              <w:t>Justitiedepartementet</w:t>
            </w:r>
          </w:p>
        </w:tc>
      </w:tr>
      <w:tr w:rsidR="00000000" w:rsidRPr="0033741E">
        <w:tblPrEx>
          <w:tblCellMar>
            <w:top w:w="0" w:type="dxa"/>
            <w:left w:w="0" w:type="dxa"/>
            <w:bottom w:w="0" w:type="dxa"/>
            <w:right w:w="0" w:type="dxa"/>
          </w:tblCellMar>
        </w:tblPrEx>
        <w:trPr>
          <w:cantSplit/>
          <w:trHeight w:val="240"/>
        </w:trPr>
        <w:tc>
          <w:tcPr>
            <w:tcW w:w="7655" w:type="dxa"/>
            <w:gridSpan w:val="3"/>
          </w:tcPr>
          <w:p w:rsidR="007E6CCE" w:rsidRPr="0033741E" w:rsidRDefault="007E6CCE">
            <w:pPr>
              <w:pStyle w:val="Dokumentdatum"/>
            </w:pPr>
            <w:r w:rsidRPr="0033741E">
              <w:t>2008-06-18</w:t>
            </w:r>
          </w:p>
        </w:tc>
      </w:tr>
      <w:tr w:rsidR="00000000" w:rsidRPr="0033741E">
        <w:tblPrEx>
          <w:tblCellMar>
            <w:top w:w="0" w:type="dxa"/>
            <w:left w:w="0" w:type="dxa"/>
            <w:bottom w:w="0" w:type="dxa"/>
            <w:right w:w="0" w:type="dxa"/>
          </w:tblCellMar>
        </w:tblPrEx>
        <w:trPr>
          <w:cantSplit/>
          <w:trHeight w:val="726"/>
        </w:trPr>
        <w:tc>
          <w:tcPr>
            <w:tcW w:w="7655" w:type="dxa"/>
            <w:gridSpan w:val="3"/>
            <w:vAlign w:val="bottom"/>
          </w:tcPr>
          <w:p w:rsidR="007E6CCE" w:rsidRPr="0033741E" w:rsidRDefault="007E6CCE">
            <w:pPr>
              <w:pStyle w:val="Dokumentbeteckning"/>
            </w:pPr>
            <w:r w:rsidRPr="0033741E">
              <w:t>Dokumentbeteckning</w:t>
            </w:r>
          </w:p>
        </w:tc>
      </w:tr>
      <w:tr w:rsidR="00000000" w:rsidRPr="0033741E">
        <w:tblPrEx>
          <w:tblCellMar>
            <w:top w:w="0" w:type="dxa"/>
            <w:left w:w="0" w:type="dxa"/>
            <w:bottom w:w="0" w:type="dxa"/>
            <w:right w:w="0" w:type="dxa"/>
          </w:tblCellMar>
        </w:tblPrEx>
        <w:trPr>
          <w:gridAfter w:val="1"/>
          <w:wAfter w:w="1560" w:type="dxa"/>
          <w:trHeight w:val="120"/>
        </w:trPr>
        <w:tc>
          <w:tcPr>
            <w:tcW w:w="6095" w:type="dxa"/>
            <w:gridSpan w:val="2"/>
          </w:tcPr>
          <w:p w:rsidR="007E6CCE" w:rsidRPr="0033741E" w:rsidRDefault="007E6CCE">
            <w:bookmarkStart w:id="0" w:name="KomNr"/>
            <w:bookmarkEnd w:id="0"/>
            <w:r w:rsidRPr="0033741E">
              <w:t>KOM (2008) 194 slutlig</w:t>
            </w:r>
          </w:p>
        </w:tc>
      </w:tr>
      <w:tr w:rsidR="00000000" w:rsidRPr="0033741E">
        <w:tblPrEx>
          <w:tblCellMar>
            <w:top w:w="0" w:type="dxa"/>
            <w:left w:w="0" w:type="dxa"/>
            <w:bottom w:w="0" w:type="dxa"/>
            <w:right w:w="0" w:type="dxa"/>
          </w:tblCellMar>
        </w:tblPrEx>
        <w:trPr>
          <w:gridAfter w:val="1"/>
          <w:wAfter w:w="1560" w:type="dxa"/>
          <w:trHeight w:val="120"/>
        </w:trPr>
        <w:tc>
          <w:tcPr>
            <w:tcW w:w="6095" w:type="dxa"/>
            <w:gridSpan w:val="2"/>
          </w:tcPr>
          <w:p w:rsidR="007E6CCE" w:rsidRPr="0033741E" w:rsidRDefault="007E6CCE">
            <w:pPr>
              <w:pStyle w:val="Dokumentbeteckning-titel"/>
            </w:pPr>
            <w:r w:rsidRPr="0033741E">
              <w:t>Förslag till Europaparlamentets och rådets direktiv om ändring av rådets direktiv 68/151/EEG och 89/666/EEG med avseende på bestämmelsen om offentliggörande och översättning för vissa typer av företag</w:t>
            </w:r>
          </w:p>
        </w:tc>
      </w:tr>
      <w:tr w:rsidR="00000000" w:rsidRPr="0033741E">
        <w:tblPrEx>
          <w:tblCellMar>
            <w:top w:w="0" w:type="dxa"/>
            <w:left w:w="0" w:type="dxa"/>
            <w:bottom w:w="0" w:type="dxa"/>
            <w:right w:w="0" w:type="dxa"/>
          </w:tblCellMar>
        </w:tblPrEx>
        <w:trPr>
          <w:gridAfter w:val="1"/>
          <w:wAfter w:w="1560" w:type="dxa"/>
          <w:trHeight w:val="120"/>
        </w:trPr>
        <w:tc>
          <w:tcPr>
            <w:tcW w:w="6095" w:type="dxa"/>
            <w:gridSpan w:val="2"/>
          </w:tcPr>
          <w:p w:rsidR="007E6CCE" w:rsidRPr="0033741E" w:rsidRDefault="007E6CCE">
            <w:r w:rsidRPr="0033741E">
              <w:t>KOM (2008) 195 slutlig</w:t>
            </w:r>
          </w:p>
        </w:tc>
      </w:tr>
      <w:tr w:rsidR="00000000" w:rsidRPr="0033741E">
        <w:tblPrEx>
          <w:tblCellMar>
            <w:top w:w="0" w:type="dxa"/>
            <w:left w:w="0" w:type="dxa"/>
            <w:bottom w:w="0" w:type="dxa"/>
            <w:right w:w="0" w:type="dxa"/>
          </w:tblCellMar>
        </w:tblPrEx>
        <w:trPr>
          <w:gridAfter w:val="1"/>
          <w:wAfter w:w="1560" w:type="dxa"/>
          <w:trHeight w:val="120"/>
        </w:trPr>
        <w:tc>
          <w:tcPr>
            <w:tcW w:w="6095" w:type="dxa"/>
            <w:gridSpan w:val="2"/>
          </w:tcPr>
          <w:p w:rsidR="007E6CCE" w:rsidRPr="0033741E" w:rsidRDefault="007E6CCE">
            <w:pPr>
              <w:pStyle w:val="Dokumentbeteckning-titel"/>
            </w:pPr>
            <w:r w:rsidRPr="0033741E">
              <w:t>Förslag till Europaparlamentets och rådets direktiv om ändring av rådets direktiv 78/660/EEG när det gäller krav på offentlighet för medelstora företag och skyldigheten att upprätta sammanställd redovisning</w:t>
            </w:r>
          </w:p>
        </w:tc>
      </w:tr>
    </w:tbl>
    <w:p w:rsidR="007E6CCE" w:rsidRPr="0033741E" w:rsidRDefault="007E6CCE">
      <w:pPr>
        <w:pStyle w:val="Rubrik1"/>
        <w:numPr>
          <w:ilvl w:val="0"/>
          <w:numId w:val="0"/>
        </w:numPr>
      </w:pPr>
      <w:r w:rsidRPr="0033741E">
        <w:t>Sammanfattning</w:t>
      </w:r>
    </w:p>
    <w:p w:rsidR="007E6CCE" w:rsidRPr="0033741E" w:rsidRDefault="007E6CCE">
      <w:r w:rsidRPr="0033741E">
        <w:t>EU-kommissionen har inlett ett brett anlagt arbete för att åstadkomma regel</w:t>
      </w:r>
      <w:r w:rsidRPr="0033741E">
        <w:softHyphen/>
        <w:t>förenklingar för europeiska företag (främst aktiebolag). De två direktiven är ett led i detta arbete och innehåller förslag till åtgärder på områd</w:t>
      </w:r>
      <w:r w:rsidRPr="0033741E">
        <w:softHyphen/>
        <w:t>ena bolags</w:t>
      </w:r>
      <w:r w:rsidRPr="0033741E">
        <w:softHyphen/>
        <w:t>rätt och redovisning. Förslagen berör bl.a. skyldigheten att låta översätta handl</w:t>
      </w:r>
      <w:r w:rsidRPr="0033741E">
        <w:softHyphen/>
        <w:t>ingar vid registrering av filialer och skyldigheten att upp</w:t>
      </w:r>
      <w:r w:rsidRPr="0033741E">
        <w:softHyphen/>
        <w:t>rätta koncern</w:t>
      </w:r>
      <w:r w:rsidRPr="0033741E">
        <w:softHyphen/>
        <w:t>redo</w:t>
      </w:r>
      <w:r w:rsidRPr="0033741E">
        <w:softHyphen/>
        <w:t>visning. Avsikten är att förslagen ska behandlas skynd</w:t>
      </w:r>
      <w:r w:rsidRPr="0033741E">
        <w:softHyphen/>
        <w:t>samt.</w:t>
      </w:r>
    </w:p>
    <w:p w:rsidR="007E6CCE" w:rsidRPr="0033741E" w:rsidRDefault="007E6CCE">
      <w:r w:rsidRPr="0033741E">
        <w:t>Regeringen anser att förslagen är bra.</w:t>
      </w:r>
    </w:p>
    <w:p w:rsidR="007E6CCE" w:rsidRPr="0033741E" w:rsidRDefault="007E6CCE">
      <w:pPr>
        <w:pStyle w:val="Rubrik1"/>
      </w:pPr>
      <w:r w:rsidRPr="0033741E">
        <w:t>Förslaget</w:t>
      </w:r>
    </w:p>
    <w:p w:rsidR="007E6CCE" w:rsidRPr="0033741E" w:rsidRDefault="007E6CCE">
      <w:pPr>
        <w:pStyle w:val="Rubrik2"/>
        <w:spacing w:before="240"/>
      </w:pPr>
      <w:r w:rsidRPr="0033741E">
        <w:t>Ärendets bakgrund</w:t>
      </w:r>
    </w:p>
    <w:p w:rsidR="007E6CCE" w:rsidRPr="0033741E" w:rsidRDefault="007E6CCE">
      <w:r w:rsidRPr="0033741E">
        <w:t>EU-kommissionen har antagit en handlingsplan för minskning av den administrativa bördan för företag inom EU och mätningar av företagens administrativa börda har inletts. Kommissionen har vidare antagit ett meddelande om ett förenklat företags</w:t>
      </w:r>
      <w:r w:rsidRPr="0033741E">
        <w:softHyphen/>
        <w:t>klimat på områdena bolagsrätt, redovisning och revision (KOM [2007] 394 slutlig, se faktapromemoria 2006/07:FPM114). Kommissionen anför i med</w:t>
      </w:r>
      <w:r w:rsidRPr="0033741E">
        <w:softHyphen/>
        <w:t>del</w:t>
      </w:r>
      <w:r w:rsidRPr="0033741E">
        <w:softHyphen/>
        <w:t xml:space="preserve">andet att en bred översyn av EU:s regelverk på </w:t>
      </w:r>
      <w:r w:rsidRPr="0033741E">
        <w:t>områdena bolags</w:t>
      </w:r>
      <w:r w:rsidRPr="0033741E">
        <w:softHyphen/>
        <w:t>rätt, redo</w:t>
      </w:r>
      <w:r w:rsidRPr="0033741E">
        <w:softHyphen/>
        <w:t>vis</w:t>
      </w:r>
      <w:r w:rsidRPr="0033741E">
        <w:softHyphen/>
        <w:t>ning och revision</w:t>
      </w:r>
      <w:r w:rsidRPr="0033741E">
        <w:t xml:space="preserve"> är absolut nödvändig för att ge de </w:t>
      </w:r>
      <w:r w:rsidRPr="0033741E">
        <w:lastRenderedPageBreak/>
        <w:t>euro</w:t>
      </w:r>
      <w:r w:rsidRPr="0033741E">
        <w:softHyphen/>
        <w:t>peiska företagen möjligheter att bli mer konkurrenskraftiga och fram</w:t>
      </w:r>
      <w:r w:rsidRPr="0033741E">
        <w:softHyphen/>
        <w:t>gångs</w:t>
      </w:r>
      <w:r w:rsidRPr="0033741E">
        <w:softHyphen/>
        <w:t>rika i en starkt kon</w:t>
      </w:r>
      <w:r w:rsidRPr="0033741E">
        <w:softHyphen/>
        <w:t>kurr</w:t>
      </w:r>
      <w:r w:rsidRPr="0033741E">
        <w:softHyphen/>
        <w:t>ens</w:t>
      </w:r>
      <w:r w:rsidRPr="0033741E">
        <w:softHyphen/>
        <w:t>utsatt global miljö.</w:t>
      </w:r>
    </w:p>
    <w:p w:rsidR="007E6CCE" w:rsidRPr="0033741E" w:rsidRDefault="007E6CCE">
      <w:r w:rsidRPr="0033741E">
        <w:t>Vid sitt möte den 13 och 14 mars 2008 uppmanade Europeiska rådet kom</w:t>
      </w:r>
      <w:r w:rsidRPr="0033741E">
        <w:softHyphen/>
        <w:t>mis</w:t>
      </w:r>
      <w:r w:rsidRPr="0033741E">
        <w:softHyphen/>
        <w:t>sionen att snabbt lägga fram nya förslag för att på kort sikt minska före</w:t>
      </w:r>
      <w:r w:rsidRPr="0033741E">
        <w:softHyphen/>
        <w:t>tag</w:t>
      </w:r>
      <w:r w:rsidRPr="0033741E">
        <w:softHyphen/>
        <w:t>ens administrativa börda.</w:t>
      </w:r>
    </w:p>
    <w:p w:rsidR="007E6CCE" w:rsidRPr="0033741E" w:rsidRDefault="007E6CCE">
      <w:pPr>
        <w:pStyle w:val="Rubrik2"/>
      </w:pPr>
      <w:r w:rsidRPr="0033741E">
        <w:t>Förslagets innehåll</w:t>
      </w:r>
    </w:p>
    <w:p w:rsidR="007E6CCE" w:rsidRPr="0033741E" w:rsidRDefault="007E6CCE">
      <w:r w:rsidRPr="0033741E">
        <w:t>De två direktiven innehåller förslag till ändringar av fyra av de bolags</w:t>
      </w:r>
      <w:r w:rsidRPr="0033741E">
        <w:softHyphen/>
        <w:t>rätts</w:t>
      </w:r>
      <w:r w:rsidRPr="0033741E">
        <w:softHyphen/>
        <w:t>liga direktiven..</w:t>
      </w:r>
    </w:p>
    <w:p w:rsidR="007E6CCE" w:rsidRPr="0033741E" w:rsidRDefault="007E6CCE">
      <w:pPr>
        <w:pStyle w:val="Rubrik3"/>
        <w:spacing w:before="240"/>
      </w:pPr>
      <w:r w:rsidRPr="0033741E">
        <w:t>Publicitetsdirektivet (det första bolags</w:t>
      </w:r>
      <w:r w:rsidRPr="0033741E">
        <w:softHyphen/>
        <w:t>rätts</w:t>
      </w:r>
      <w:r w:rsidRPr="0033741E">
        <w:softHyphen/>
        <w:t>liga direktivet)</w:t>
      </w:r>
    </w:p>
    <w:p w:rsidR="007E6CCE" w:rsidRPr="0033741E" w:rsidRDefault="007E6CCE">
      <w:r w:rsidRPr="0033741E">
        <w:t>Publicitetsdirektivet (68/151/EEG) reglerar bl.a. offentliggörandet av handl</w:t>
      </w:r>
      <w:r w:rsidRPr="0033741E">
        <w:softHyphen/>
        <w:t>ing</w:t>
      </w:r>
      <w:r w:rsidRPr="0033741E">
        <w:softHyphen/>
        <w:t>ar och uppgifter rörande aktiebolag. Medlemsstaterna ska se till att viss informa</w:t>
      </w:r>
      <w:r w:rsidRPr="0033741E">
        <w:softHyphen/>
        <w:t>tion publiceras i en s.k. nationell tidning (i Sverige: Post- och Inrikes Tid</w:t>
      </w:r>
      <w:r w:rsidRPr="0033741E">
        <w:softHyphen/>
        <w:t>ningar). Under 2003 antogs ett ändringsdirektiv som innebär en anpass</w:t>
      </w:r>
      <w:r w:rsidRPr="0033741E">
        <w:softHyphen/>
        <w:t>ning till modern tek</w:t>
      </w:r>
      <w:r w:rsidRPr="0033741E">
        <w:softHyphen/>
        <w:t>nik.</w:t>
      </w:r>
    </w:p>
    <w:p w:rsidR="007E6CCE" w:rsidRPr="0033741E" w:rsidRDefault="007E6CCE">
      <w:r w:rsidRPr="0033741E">
        <w:t>Förslaget innebär att kravet på offentliggörande i en nationell tidning ersätts med ett krav på offentliggörande genom en ”central elektr</w:t>
      </w:r>
      <w:r w:rsidRPr="0033741E">
        <w:softHyphen/>
        <w:t>onisk plattform” och att medlemsstaterna ska se till att ingen sär</w:t>
      </w:r>
      <w:r w:rsidRPr="0033741E">
        <w:softHyphen/>
        <w:t>skild avgift tas ut av de berörda aktiebolagen.</w:t>
      </w:r>
    </w:p>
    <w:p w:rsidR="007E6CCE" w:rsidRPr="0033741E" w:rsidRDefault="007E6CCE">
      <w:pPr>
        <w:pStyle w:val="Rubrik3"/>
      </w:pPr>
      <w:r w:rsidRPr="0033741E">
        <w:t>Filialdirektivet (det elfte bolags</w:t>
      </w:r>
      <w:r w:rsidRPr="0033741E">
        <w:softHyphen/>
        <w:t>rätts</w:t>
      </w:r>
      <w:r w:rsidRPr="0033741E">
        <w:softHyphen/>
        <w:t>liga direktivet)</w:t>
      </w:r>
    </w:p>
    <w:p w:rsidR="007E6CCE" w:rsidRPr="0033741E" w:rsidRDefault="007E6CCE">
      <w:r w:rsidRPr="0033741E">
        <w:t>I filialdirektivet (89/666/EEG) ställs upp krav på att filialer ska offentlig</w:t>
      </w:r>
      <w:r w:rsidRPr="0033741E">
        <w:softHyphen/>
        <w:t>göra vissa handlingar.</w:t>
      </w:r>
    </w:p>
    <w:p w:rsidR="007E6CCE" w:rsidRPr="0033741E" w:rsidRDefault="007E6CCE">
      <w:r w:rsidRPr="0033741E">
        <w:t>Förslaget innebär att medlemsstaterna måste godta en bestyrkt eller godkänd över</w:t>
      </w:r>
      <w:r w:rsidRPr="0033741E">
        <w:softHyphen/>
        <w:t>sättning av handlingar som behövs för reg</w:t>
      </w:r>
      <w:r w:rsidRPr="0033741E">
        <w:softHyphen/>
        <w:t>istr</w:t>
      </w:r>
      <w:r w:rsidRPr="0033741E">
        <w:softHyphen/>
        <w:t>ering av en filial; det får inte krävas att översättningen är gjord av någon som är auktoriserad i med</w:t>
      </w:r>
      <w:r w:rsidRPr="0033741E">
        <w:softHyphen/>
        <w:t>lems</w:t>
      </w:r>
      <w:r w:rsidRPr="0033741E">
        <w:softHyphen/>
        <w:t>staten där registreringen sker. Andra formkrav än vad som följer av direkt</w:t>
      </w:r>
      <w:r w:rsidRPr="0033741E">
        <w:softHyphen/>
        <w:t>ivet ska inte få ställas upp.</w:t>
      </w:r>
    </w:p>
    <w:p w:rsidR="007E6CCE" w:rsidRPr="0033741E" w:rsidRDefault="007E6CCE">
      <w:pPr>
        <w:pStyle w:val="Rubrik3"/>
      </w:pPr>
      <w:r w:rsidRPr="0033741E">
        <w:t>Årsbokslutsdirektivet (det fjärde bolags</w:t>
      </w:r>
      <w:r w:rsidRPr="0033741E">
        <w:softHyphen/>
        <w:t>rätts</w:t>
      </w:r>
      <w:r w:rsidRPr="0033741E">
        <w:softHyphen/>
        <w:t>liga direktivet)</w:t>
      </w:r>
    </w:p>
    <w:p w:rsidR="007E6CCE" w:rsidRPr="0033741E" w:rsidRDefault="007E6CCE">
      <w:r w:rsidRPr="0033741E">
        <w:t>Årsbokslutsdirektivet (78/660/EEG) syftar till att harmonisera med</w:t>
      </w:r>
      <w:r w:rsidRPr="0033741E">
        <w:softHyphen/>
        <w:t>lems</w:t>
      </w:r>
      <w:r w:rsidRPr="0033741E">
        <w:softHyphen/>
        <w:t>stat</w:t>
      </w:r>
      <w:r w:rsidRPr="0033741E">
        <w:softHyphen/>
        <w:t>er</w:t>
      </w:r>
      <w:r w:rsidRPr="0033741E">
        <w:softHyphen/>
        <w:t>nas regler om uppställningen av och innehållet i företagens årsbokslut och för</w:t>
      </w:r>
      <w:r w:rsidRPr="0033741E">
        <w:softHyphen/>
        <w:t>valtningsberättelser samt offentliggörandet av dessa.</w:t>
      </w:r>
    </w:p>
    <w:p w:rsidR="007E6CCE" w:rsidRPr="0033741E" w:rsidRDefault="007E6CCE">
      <w:r w:rsidRPr="0033741E">
        <w:t>Förslaget innebär att medlemsstaterna ges möjlighet att undanta även medel</w:t>
      </w:r>
      <w:r w:rsidRPr="0033741E">
        <w:softHyphen/>
        <w:t>stora företag från kravet på offentliggörande av dels kostnader för bildandet av företaget, dels omsättningen med uppdelning på olika verksam</w:t>
      </w:r>
      <w:r w:rsidRPr="0033741E">
        <w:softHyphen/>
        <w:t>hets</w:t>
      </w:r>
      <w:r w:rsidRPr="0033741E">
        <w:softHyphen/>
        <w:t>grenar och geografiska marknader.</w:t>
      </w:r>
    </w:p>
    <w:p w:rsidR="007E6CCE" w:rsidRPr="0033741E" w:rsidRDefault="007E6CCE">
      <w:pPr>
        <w:pStyle w:val="Rubrik3"/>
      </w:pPr>
      <w:r w:rsidRPr="0033741E">
        <w:t>Koncernredovisningsdirektivet (det sjunde bolags</w:t>
      </w:r>
      <w:r w:rsidRPr="0033741E">
        <w:softHyphen/>
        <w:t>rätts</w:t>
      </w:r>
      <w:r w:rsidRPr="0033741E">
        <w:softHyphen/>
        <w:t>liga direktivet)</w:t>
      </w:r>
    </w:p>
    <w:p w:rsidR="007E6CCE" w:rsidRPr="0033741E" w:rsidRDefault="007E6CCE">
      <w:r w:rsidRPr="0033741E">
        <w:t>Koncernredovisningsdirektivet (83/349/EEG) kompletterar årsbok</w:t>
      </w:r>
      <w:r w:rsidRPr="0033741E">
        <w:softHyphen/>
        <w:t>sluts</w:t>
      </w:r>
      <w:r w:rsidRPr="0033741E">
        <w:softHyphen/>
        <w:t>direkt</w:t>
      </w:r>
      <w:r w:rsidRPr="0033741E">
        <w:softHyphen/>
        <w:t>iv</w:t>
      </w:r>
      <w:r w:rsidRPr="0033741E">
        <w:softHyphen/>
        <w:t>et för företag som är moderföretag i en koncern.</w:t>
      </w:r>
    </w:p>
    <w:p w:rsidR="007E6CCE" w:rsidRPr="0033741E" w:rsidRDefault="007E6CCE">
      <w:r w:rsidRPr="0033741E">
        <w:t>Företag som är börsnoterade ska vid upprättande av sin koncern</w:t>
      </w:r>
      <w:r w:rsidRPr="0033741E">
        <w:softHyphen/>
        <w:t>redo</w:t>
      </w:r>
      <w:r w:rsidRPr="0033741E">
        <w:softHyphen/>
        <w:t>vis</w:t>
      </w:r>
      <w:r w:rsidRPr="0033741E">
        <w:softHyphen/>
        <w:t>ning i huvud</w:t>
      </w:r>
      <w:r w:rsidRPr="0033741E">
        <w:softHyphen/>
        <w:t>sak tillämpa vissa internationella redovisningsstandarder som har antag</w:t>
      </w:r>
      <w:r w:rsidRPr="0033741E">
        <w:softHyphen/>
        <w:t>its på grundval av den s.k. IAS-förordningen.</w:t>
      </w:r>
    </w:p>
    <w:p w:rsidR="007E6CCE" w:rsidRPr="0033741E" w:rsidRDefault="007E6CCE">
      <w:r w:rsidRPr="0033741E">
        <w:t>Förslaget syftar till att klargöra förhållandet mellan koncern</w:t>
      </w:r>
      <w:r w:rsidRPr="0033741E">
        <w:softHyphen/>
        <w:t>redovis</w:t>
      </w:r>
      <w:r w:rsidRPr="0033741E">
        <w:softHyphen/>
        <w:t>nings</w:t>
      </w:r>
      <w:r w:rsidRPr="0033741E">
        <w:softHyphen/>
        <w:t>direkt</w:t>
      </w:r>
      <w:r w:rsidRPr="0033741E">
        <w:softHyphen/>
        <w:t>ivet och IAS-förordningen i fall när moderbolaget endast har dotter</w:t>
      </w:r>
      <w:r w:rsidRPr="0033741E">
        <w:softHyphen/>
        <w:t>företag av ringa betydelse (ett eller flera) med hänsyn till kravet på rättvis</w:t>
      </w:r>
      <w:r w:rsidRPr="0033741E">
        <w:softHyphen/>
        <w:t>an</w:t>
      </w:r>
      <w:r w:rsidRPr="0033741E">
        <w:softHyphen/>
        <w:t>de bild av ställningen och resultatet för koncernen. Innebörden är att vissa kon</w:t>
      </w:r>
      <w:r w:rsidRPr="0033741E">
        <w:softHyphen/>
        <w:t>cern</w:t>
      </w:r>
      <w:r w:rsidRPr="0033741E">
        <w:softHyphen/>
        <w:t>er inte ska behöva upprätta någon koncernredovisning och därmed inte heller tillämpa de inter</w:t>
      </w:r>
      <w:r w:rsidRPr="0033741E">
        <w:softHyphen/>
        <w:t>nation</w:t>
      </w:r>
      <w:r w:rsidRPr="0033741E">
        <w:softHyphen/>
        <w:t>ella redovisningsstandarderna IFRS.</w:t>
      </w:r>
    </w:p>
    <w:p w:rsidR="007E6CCE" w:rsidRPr="0033741E" w:rsidRDefault="007E6CCE">
      <w:pPr>
        <w:pStyle w:val="Rubrik2"/>
      </w:pPr>
      <w:r w:rsidRPr="0033741E">
        <w:t>Gällande svenska regler och förslagets effekt på dessa</w:t>
      </w:r>
    </w:p>
    <w:p w:rsidR="007E6CCE" w:rsidRPr="0033741E" w:rsidRDefault="007E6CCE">
      <w:r w:rsidRPr="0033741E">
        <w:t>De svenska aktiebolagsrättsliga reglerna grundar sig till stor del på EG-direkt</w:t>
      </w:r>
      <w:r w:rsidRPr="0033741E">
        <w:softHyphen/>
        <w:t>iv. Detsamma gäller de svenska reglerna om redovisning. De två direktiv</w:t>
      </w:r>
      <w:r w:rsidRPr="0033741E">
        <w:softHyphen/>
        <w:t>förslagen, som delvis påverkar även de finansiella företagen, kan för</w:t>
      </w:r>
      <w:r w:rsidRPr="0033741E">
        <w:softHyphen/>
        <w:t>vänt</w:t>
      </w:r>
      <w:r w:rsidRPr="0033741E">
        <w:softHyphen/>
        <w:t>as medföra ett par mindre ändringar av svensk rätt (redovis</w:t>
      </w:r>
      <w:r w:rsidRPr="0033741E">
        <w:softHyphen/>
        <w:t>nings</w:t>
      </w:r>
      <w:r w:rsidRPr="0033741E">
        <w:softHyphen/>
        <w:t>lagstift</w:t>
      </w:r>
      <w:r w:rsidRPr="0033741E">
        <w:softHyphen/>
        <w:t>ning</w:t>
      </w:r>
      <w:r w:rsidRPr="0033741E">
        <w:softHyphen/>
        <w:t>en).</w:t>
      </w:r>
    </w:p>
    <w:p w:rsidR="007E6CCE" w:rsidRPr="0033741E" w:rsidRDefault="007E6CCE">
      <w:pPr>
        <w:pStyle w:val="Rubrik2"/>
      </w:pPr>
      <w:r w:rsidRPr="0033741E">
        <w:t>Budgetära konsekvenser / Konsekvensanalys</w:t>
      </w:r>
    </w:p>
    <w:p w:rsidR="007E6CCE" w:rsidRPr="0033741E" w:rsidRDefault="007E6CCE">
      <w:r w:rsidRPr="0033741E">
        <w:t>Kommissionen har gjort en omfattande konsekvensanalys av förslagen (SEC [2008] 466). Enligt analysen kan förslaget till ändring av publicitetsdirektivet och filialdirektivet förväntas leda till potentiella besparingar för europeiska företag med upp till ca 600 000 000 euro. Motsvarande belopp avseende års</w:t>
      </w:r>
      <w:r w:rsidRPr="0033741E">
        <w:softHyphen/>
        <w:t>bok</w:t>
      </w:r>
      <w:r w:rsidRPr="0033741E">
        <w:softHyphen/>
        <w:t>slutsdirektivet och koncernredovisningsdirektivet anges till ca 21 000 000 euro. Förslagens nackdelar för företagens intressenter bedöms av kom</w:t>
      </w:r>
      <w:r w:rsidRPr="0033741E">
        <w:softHyphen/>
        <w:t>missionen som små.</w:t>
      </w:r>
    </w:p>
    <w:p w:rsidR="007E6CCE" w:rsidRPr="0033741E" w:rsidRDefault="007E6CCE">
      <w:r w:rsidRPr="0033741E">
        <w:t>Konsekvenserna för svenska företag kan förväntas bli tämligen begränsade.</w:t>
      </w:r>
    </w:p>
    <w:p w:rsidR="007E6CCE" w:rsidRPr="0033741E" w:rsidRDefault="007E6CCE">
      <w:r w:rsidRPr="0033741E">
        <w:t>Förslagen torde inte ha några budgetära konsekvenser.</w:t>
      </w:r>
    </w:p>
    <w:p w:rsidR="007E6CCE" w:rsidRPr="0033741E" w:rsidRDefault="007E6CCE">
      <w:pPr>
        <w:pStyle w:val="Rubrik1"/>
      </w:pPr>
      <w:r w:rsidRPr="0033741E">
        <w:t>Ståndpunkter</w:t>
      </w:r>
    </w:p>
    <w:p w:rsidR="007E6CCE" w:rsidRPr="0033741E" w:rsidRDefault="007E6CCE">
      <w:pPr>
        <w:pStyle w:val="Rubrik2"/>
        <w:spacing w:before="240"/>
      </w:pPr>
      <w:r w:rsidRPr="0033741E">
        <w:t>Preliminär svensk ståndpunkt</w:t>
      </w:r>
    </w:p>
    <w:p w:rsidR="007E6CCE" w:rsidRPr="0033741E" w:rsidRDefault="007E6CCE">
      <w:r w:rsidRPr="0033741E">
        <w:t>Regeringen välkomnar direktivförslagen, även om de sannolikt endast har smärre effekt</w:t>
      </w:r>
      <w:r w:rsidRPr="0033741E">
        <w:softHyphen/>
        <w:t>er för svenska företag. På ett par punkter finns frågetecken kring enskilda bestämmelsers utformning. Arbetet med att reformera de bolags</w:t>
      </w:r>
      <w:r w:rsidRPr="0033741E">
        <w:softHyphen/>
        <w:t>rätts</w:t>
      </w:r>
      <w:r w:rsidRPr="0033741E">
        <w:softHyphen/>
        <w:t>liga direkt</w:t>
      </w:r>
      <w:r w:rsidRPr="0033741E">
        <w:softHyphen/>
        <w:t>iven bör fortsätta, med en betydande minskning av aktie</w:t>
      </w:r>
      <w:r w:rsidRPr="0033741E">
        <w:softHyphen/>
        <w:t>bolag</w:t>
      </w:r>
      <w:r w:rsidRPr="0033741E">
        <w:softHyphen/>
        <w:t>ens administrativa börda som mål.</w:t>
      </w:r>
    </w:p>
    <w:p w:rsidR="007E6CCE" w:rsidRPr="0033741E" w:rsidRDefault="007E6CCE">
      <w:pPr>
        <w:pStyle w:val="Rubrik2"/>
      </w:pPr>
      <w:r w:rsidRPr="0033741E">
        <w:t>Medlemsstaternas ståndpunkter</w:t>
      </w:r>
    </w:p>
    <w:p w:rsidR="007E6CCE" w:rsidRPr="0033741E" w:rsidRDefault="007E6CCE">
      <w:r w:rsidRPr="0033741E">
        <w:t>Vid ett första rådsarbetsgruppsmöte ansåg det stora flertalet medlemsstater att förslagen är bra. Några invändningar framställdes, särskilt i fråga om för</w:t>
      </w:r>
      <w:r w:rsidRPr="0033741E">
        <w:softHyphen/>
        <w:t>slagen till ändring av publicitetsdirektivet och filialdirektivet.</w:t>
      </w:r>
    </w:p>
    <w:p w:rsidR="007E6CCE" w:rsidRPr="0033741E" w:rsidRDefault="007E6CCE">
      <w:pPr>
        <w:pStyle w:val="Rubrik2"/>
      </w:pPr>
      <w:r w:rsidRPr="0033741E">
        <w:t>Institutionernas ståndpunkter</w:t>
      </w:r>
    </w:p>
    <w:p w:rsidR="007E6CCE" w:rsidRPr="0033741E" w:rsidRDefault="007E6CCE">
      <w:r w:rsidRPr="0033741E">
        <w:t>Någon inställning från rådet eller Europaparlamentet finns ännu inte.</w:t>
      </w:r>
    </w:p>
    <w:p w:rsidR="007E6CCE" w:rsidRPr="0033741E" w:rsidRDefault="007E6CCE">
      <w:pPr>
        <w:pStyle w:val="Rubrik2"/>
      </w:pPr>
      <w:r w:rsidRPr="0033741E">
        <w:t>Remissinstansernas ståndpunkter</w:t>
      </w:r>
    </w:p>
    <w:p w:rsidR="007E6CCE" w:rsidRPr="0033741E" w:rsidRDefault="007E6CCE">
      <w:r w:rsidRPr="0033741E">
        <w:t>Direktivförslagen har remitterats till ett tjugotal instanser. Samtliga de instans</w:t>
      </w:r>
      <w:r w:rsidRPr="0033741E">
        <w:softHyphen/>
        <w:t>er som har yttrat sig tillstyrker EU-kommis</w:t>
      </w:r>
      <w:r w:rsidRPr="0033741E">
        <w:softHyphen/>
        <w:t>sion</w:t>
      </w:r>
      <w:r w:rsidRPr="0033741E">
        <w:softHyphen/>
        <w:t>ens förslag eller har inte några invändningar. En instans har efterlyst mer genomarbetade förslag som får större ekonomiska effekter.</w:t>
      </w:r>
    </w:p>
    <w:p w:rsidR="007E6CCE" w:rsidRPr="0033741E" w:rsidRDefault="007E6CCE">
      <w:pPr>
        <w:pStyle w:val="Rubrik1"/>
      </w:pPr>
      <w:r w:rsidRPr="0033741E">
        <w:t>Förslagets förutsättningar</w:t>
      </w:r>
    </w:p>
    <w:p w:rsidR="007E6CCE" w:rsidRPr="0033741E" w:rsidRDefault="007E6CCE">
      <w:pPr>
        <w:pStyle w:val="Rubrik2"/>
        <w:spacing w:before="240"/>
      </w:pPr>
      <w:r w:rsidRPr="0033741E">
        <w:t>Rättslig grund och beslutsförfarande</w:t>
      </w:r>
    </w:p>
    <w:p w:rsidR="007E6CCE" w:rsidRPr="0033741E" w:rsidRDefault="007E6CCE">
      <w:r w:rsidRPr="0033741E">
        <w:t>Som rättslig grund för direktiven har åberopats artikel 44.2 g respektive 44.1 i EG-fördraget. Bestämmelserna hänvisar till beslutsförfarandet i artikel 251. Det innebär att rådet fattar beslut med kvalificerad majoritet och att Europa</w:t>
      </w:r>
      <w:r w:rsidRPr="0033741E">
        <w:softHyphen/>
        <w:t>parla</w:t>
      </w:r>
      <w:r w:rsidRPr="0033741E">
        <w:softHyphen/>
        <w:t>ment</w:t>
      </w:r>
      <w:r w:rsidRPr="0033741E">
        <w:softHyphen/>
        <w:t>et har medbeslutanderätt.</w:t>
      </w:r>
    </w:p>
    <w:p w:rsidR="007E6CCE" w:rsidRPr="0033741E" w:rsidRDefault="007E6CCE">
      <w:pPr>
        <w:pStyle w:val="Rubrik2"/>
      </w:pPr>
      <w:r w:rsidRPr="0033741E">
        <w:t>Subsidiaritets- och proportionalitetsprincipen</w:t>
      </w:r>
    </w:p>
    <w:p w:rsidR="007E6CCE" w:rsidRPr="0033741E" w:rsidRDefault="007E6CCE">
      <w:r w:rsidRPr="0033741E">
        <w:t>Kommissionen har ansett att det är nödvändigt med åtgärder på EU-nivå eftersom de bolagsrättsliga direktiven medför administrativa bördor som bara kan minskas genom en ändring av dessa direktiv.</w:t>
      </w:r>
    </w:p>
    <w:p w:rsidR="007E6CCE" w:rsidRPr="0033741E" w:rsidRDefault="007E6CCE">
      <w:pPr>
        <w:pStyle w:val="Rubrik1"/>
      </w:pPr>
      <w:r w:rsidRPr="0033741E">
        <w:t>Övrigt</w:t>
      </w:r>
    </w:p>
    <w:p w:rsidR="007E6CCE" w:rsidRPr="0033741E" w:rsidRDefault="007E6CCE">
      <w:pPr>
        <w:pStyle w:val="Rubrik2"/>
        <w:spacing w:before="240"/>
      </w:pPr>
      <w:r w:rsidRPr="0033741E">
        <w:t>Fortsatt behandling av ärendet</w:t>
      </w:r>
    </w:p>
    <w:p w:rsidR="007E6CCE" w:rsidRPr="0033741E" w:rsidRDefault="007E6CCE">
      <w:r w:rsidRPr="0033741E">
        <w:t>Förhandlingarna om direktivförslagen har inletts i rådets arbetsgrupp för bolags</w:t>
      </w:r>
      <w:r w:rsidRPr="0033741E">
        <w:softHyphen/>
        <w:t>rätt. Ordförandeskapets målsättning är att förslagen ska kunna antas kring sommaren 2008.</w:t>
      </w:r>
    </w:p>
    <w:p w:rsidR="007E6CCE" w:rsidRPr="0033741E" w:rsidRDefault="007E6CCE">
      <w:pPr>
        <w:pStyle w:val="Rubrik2"/>
      </w:pPr>
      <w:r w:rsidRPr="0033741E">
        <w:t>Fackuttryck/termer</w:t>
      </w:r>
    </w:p>
    <w:p w:rsidR="007E6CCE" w:rsidRPr="0033741E" w:rsidRDefault="007E6CCE">
      <w:r w:rsidRPr="0033741E">
        <w:t>– – –</w:t>
      </w:r>
    </w:p>
    <w:sectPr w:rsidR="007E6CCE" w:rsidRPr="0033741E">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6CCE" w:rsidRPr="0033741E" w:rsidRDefault="007E6CCE">
      <w:r w:rsidRPr="0033741E">
        <w:separator/>
      </w:r>
    </w:p>
  </w:endnote>
  <w:endnote w:type="continuationSeparator" w:id="0">
    <w:p w:rsidR="007E6CCE" w:rsidRPr="0033741E" w:rsidRDefault="007E6CCE">
      <w:r w:rsidRPr="0033741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6CCE" w:rsidRPr="0033741E" w:rsidRDefault="007E6CC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6CCE" w:rsidRPr="0033741E" w:rsidRDefault="007E6CCE">
    <w:pPr>
      <w:pStyle w:val="SidfotH"/>
      <w:framePr w:wrap="around"/>
    </w:pPr>
    <w:r w:rsidRPr="0033741E">
      <w:t>2</w:t>
    </w:r>
  </w:p>
  <w:p w:rsidR="007E6CCE" w:rsidRPr="0033741E" w:rsidRDefault="007E6CC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6CCE" w:rsidRPr="0033741E" w:rsidRDefault="007E6CCE">
    <w:pPr>
      <w:pStyle w:val="SidfotH"/>
      <w:framePr w:wrap="around"/>
    </w:pPr>
    <w:r w:rsidRPr="0033741E">
      <w:t>1</w:t>
    </w:r>
  </w:p>
  <w:p w:rsidR="007E6CCE" w:rsidRPr="0033741E" w:rsidRDefault="007E6CC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6CCE" w:rsidRPr="0033741E" w:rsidRDefault="007E6CCE">
      <w:r w:rsidRPr="0033741E">
        <w:separator/>
      </w:r>
    </w:p>
  </w:footnote>
  <w:footnote w:type="continuationSeparator" w:id="0">
    <w:p w:rsidR="007E6CCE" w:rsidRPr="0033741E" w:rsidRDefault="007E6CCE">
      <w:r w:rsidRPr="0033741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6CCE" w:rsidRPr="0033741E" w:rsidRDefault="007E6CC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6CCE" w:rsidRPr="0033741E" w:rsidRDefault="007E6CCE">
    <w:pPr>
      <w:pStyle w:val="Kantrubrik"/>
      <w:framePr w:h="1157" w:hRule="exact" w:wrap="around" w:y="738"/>
    </w:pPr>
    <w:r w:rsidRPr="0033741E">
      <w:t>2007/08:FPM118</w:t>
    </w:r>
  </w:p>
  <w:p w:rsidR="007E6CCE" w:rsidRPr="0033741E" w:rsidRDefault="007E6CCE">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6CCE" w:rsidRPr="0033741E" w:rsidRDefault="0033741E">
    <w:pPr>
      <w:pStyle w:val="Sidhuvud"/>
    </w:pPr>
    <w:r w:rsidRPr="0033741E">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2969294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E6CCE" w:rsidRDefault="007E6CCE">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95480"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7E6CCE" w:rsidRDefault="007E6CCE">
                    <w:pPr>
                      <w:pStyle w:val="Logo"/>
                    </w:pPr>
                    <w:r>
                      <w:object w:dxaOrig="840" w:dyaOrig="1545">
                        <v:shape id="_x0000_i1025" type="#_x0000_t75" style="width:42pt;height:77.15pt" filled="t">
                          <v:imagedata r:id="rId1" o:title=""/>
                        </v:shape>
                        <o:OLEObject Type="Embed" ProgID="Word.Picture.8" ShapeID="_x0000_i1025" DrawAspect="Content" ObjectID="_1827495480"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836727192">
    <w:abstractNumId w:val="4"/>
  </w:num>
  <w:num w:numId="2" w16cid:durableId="600990230">
    <w:abstractNumId w:val="1"/>
  </w:num>
  <w:num w:numId="3" w16cid:durableId="728265122">
    <w:abstractNumId w:val="2"/>
  </w:num>
  <w:num w:numId="4" w16cid:durableId="870145038">
    <w:abstractNumId w:val="3"/>
  </w:num>
  <w:num w:numId="5" w16cid:durableId="1516921472">
    <w:abstractNumId w:val="5"/>
  </w:num>
  <w:num w:numId="6" w16cid:durableId="51581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8-06-18"/>
    <w:docVar w:name="Ar" w:val="2007/08"/>
    <w:docVar w:name="Dep" w:val="Justitiedepartementet"/>
    <w:docVar w:name="DepWeb" w:val="Justitiedepartementet"/>
    <w:docVar w:name="GDB1" w:val="KOM (2008) 194 slutlig"/>
    <w:docVar w:name="GDB10" w:val=" "/>
    <w:docVar w:name="GDB11" w:val=" "/>
    <w:docVar w:name="GDB12" w:val=" "/>
    <w:docVar w:name="GDB13" w:val=" "/>
    <w:docVar w:name="GDB2" w:val="KOM (2008) 195 slutlig"/>
    <w:docVar w:name="GDB3" w:val=" "/>
    <w:docVar w:name="GDB4" w:val=" "/>
    <w:docVar w:name="GDB5" w:val=" "/>
    <w:docVar w:name="GDB6" w:val=" "/>
    <w:docVar w:name="GDB7" w:val=" "/>
    <w:docVar w:name="GDB8" w:val=" "/>
    <w:docVar w:name="GDB9" w:val=" "/>
    <w:docVar w:name="GDT1" w:val="Förslag till Europaparlamentets och rådets direktiv om ändring av rådets direktiv 68/151/EEG och 89/666/EEG med avseende på bestämmelsen om offentliggörande och översättning för vissa typer av företag"/>
    <w:docVar w:name="GDT10" w:val=" "/>
    <w:docVar w:name="GDT11" w:val=" "/>
    <w:docVar w:name="GDT12" w:val=" "/>
    <w:docVar w:name="GDT13" w:val=" "/>
    <w:docVar w:name="GDT2" w:val="Förslag till Europaparlamentets och rådets direktiv om ändring av rådets direktiv 78/660/EEG när det gäller krav på offentlighet för medelstora företag och skyldigheten att upprätta sammanställd redovisning"/>
    <w:docVar w:name="GDT3" w:val=" "/>
    <w:docVar w:name="GDT4" w:val=" "/>
    <w:docVar w:name="GDT5" w:val=" "/>
    <w:docVar w:name="GDT6" w:val=" "/>
    <w:docVar w:name="GDT7" w:val=" "/>
    <w:docVar w:name="GDT8" w:val=" "/>
    <w:docVar w:name="GDT9" w:val=" "/>
    <w:docVar w:name="GDTWeb" w:val="KOM (2008) 194 slutlig, KOM (2008) 195 slutlig"/>
    <w:docVar w:name="Nr" w:val="118"/>
    <w:docVar w:name="RD_APPVERSION" w:val="3.00"/>
    <w:docVar w:name="Rub" w:val="Två direktiv om förenklingar inom bolagsrätt och redovisning"/>
    <w:docVar w:name="UppDat" w:val="2008-06-18"/>
    <w:docVar w:name="Utsk" w:val="Civilutskottet"/>
  </w:docVars>
  <w:rsids>
    <w:rsidRoot w:val="00E026CB"/>
    <w:rsid w:val="0033741E"/>
    <w:rsid w:val="007E6CCE"/>
    <w:rsid w:val="00E026C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6A572F3-230F-4DC1-9794-68A0E03AD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n1106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954</Words>
  <Characters>6556</Characters>
  <Application>Microsoft Office Word</Application>
  <DocSecurity>4</DocSecurity>
  <Lines>131</Lines>
  <Paragraphs>64</Paragraphs>
  <ScaleCrop>false</ScaleCrop>
  <HeadingPairs>
    <vt:vector size="2" baseType="variant">
      <vt:variant>
        <vt:lpstr>Rubrik</vt:lpstr>
      </vt:variant>
      <vt:variant>
        <vt:i4>1</vt:i4>
      </vt:variant>
    </vt:vector>
  </HeadingPairs>
  <TitlesOfParts>
    <vt:vector size="1" baseType="lpstr">
      <vt:lpstr>FPM_200708__118</vt:lpstr>
    </vt:vector>
  </TitlesOfParts>
  <Company>RD-DTSL</Company>
  <LinksUpToDate>false</LinksUpToDate>
  <CharactersWithSpaces>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FPM_200708__118</dc:title>
  <dc:subject>FPM_200708__118</dc:subject>
  <dc:creator>Riksdagen</dc:creator>
  <cp:keywords>Riksdagen</cp:keywords>
  <dc:description>KP2004-version.  Ändringarna påverkar enbart användningen inom Riksdagen. 050429 nya departement DTSL.</dc:description>
  <cp:lastModifiedBy>Lars Brink</cp:lastModifiedBy>
  <cp:revision>2</cp:revision>
  <cp:lastPrinted>2008-05-30T10:24:00Z</cp:lastPrinted>
  <dcterms:created xsi:type="dcterms:W3CDTF">2025-12-17T11:55:00Z</dcterms:created>
  <dcterms:modified xsi:type="dcterms:W3CDTF">2025-12-17T11:55:00Z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118</vt:lpwstr>
  </property>
  <property fmtid="{D5CDD505-2E9C-101B-9397-08002B2CF9AE}" pid="4" name="GDB1">
    <vt:lpwstr>KOM (2008) 194 slutlig</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Två direktiv om förenklingar inom bolagsrätt och redovisning</vt:lpwstr>
  </property>
  <property fmtid="{D5CDD505-2E9C-101B-9397-08002B2CF9AE}" pid="8" name="UppDat">
    <vt:lpwstr>2008-06-18</vt:lpwstr>
  </property>
  <property fmtid="{D5CDD505-2E9C-101B-9397-08002B2CF9AE}" pid="9" name="AnkDat">
    <vt:lpwstr>2008-06-18</vt:lpwstr>
  </property>
  <property fmtid="{D5CDD505-2E9C-101B-9397-08002B2CF9AE}" pid="10" name="Utsk">
    <vt:lpwstr>Civilutskottet</vt:lpwstr>
  </property>
  <property fmtid="{D5CDD505-2E9C-101B-9397-08002B2CF9AE}" pid="11" name="Ar">
    <vt:lpwstr>2007/08</vt:lpwstr>
  </property>
  <property fmtid="{D5CDD505-2E9C-101B-9397-08002B2CF9AE}" pid="12" name="Dokumenttyp">
    <vt:lpwstr> FaktaPM</vt:lpwstr>
  </property>
  <property fmtid="{D5CDD505-2E9C-101B-9397-08002B2CF9AE}" pid="13" name="Epostadress">
    <vt:lpwstr>an1106aa</vt:lpwstr>
  </property>
  <property fmtid="{D5CDD505-2E9C-101B-9397-08002B2CF9AE}" pid="14" name="GDB2">
    <vt:lpwstr>KOM (2008) 195 slutlig</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2;0;0;198</vt:lpwstr>
  </property>
  <property fmtid="{D5CDD505-2E9C-101B-9397-08002B2CF9AE}" pid="42" name="Sprak">
    <vt:lpwstr>Svenska</vt:lpwstr>
  </property>
  <property fmtid="{D5CDD505-2E9C-101B-9397-08002B2CF9AE}" pid="43" name="DokID">
    <vt:i4>80</vt:i4>
  </property>
</Properties>
</file>