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555" w:rsidRPr="007B1EA1" w:rsidRDefault="000E0555">
      <w:pPr>
        <w:pStyle w:val="Frslagsrubrik"/>
      </w:pPr>
      <w:r w:rsidRPr="007B1EA1">
        <w:t>Förslag till riksdagsbeslut</w:t>
      </w:r>
    </w:p>
    <w:p w:rsidR="000E0555" w:rsidRPr="007B1EA1" w:rsidRDefault="000E0555">
      <w:pPr>
        <w:pStyle w:val="Hemstlatt"/>
        <w:numPr>
          <w:ilvl w:val="0"/>
          <w:numId w:val="1"/>
        </w:numPr>
      </w:pPr>
      <w:r w:rsidRPr="007B1EA1">
        <w:t>Riksdagen tillkännager för regeringen som sin mening vad som anförs i motionen om att i enlighet med Europar</w:t>
      </w:r>
      <w:r w:rsidRPr="007B1EA1">
        <w:t>å</w:t>
      </w:r>
      <w:r w:rsidRPr="007B1EA1">
        <w:t>dets resolution 1829 införa regelverk i Sverige som försvårar könss</w:t>
      </w:r>
      <w:r w:rsidRPr="007B1EA1">
        <w:t>e</w:t>
      </w:r>
      <w:r w:rsidRPr="007B1EA1">
        <w:t>lektiva aborter.</w:t>
      </w:r>
    </w:p>
    <w:p w:rsidR="000E0555" w:rsidRPr="007B1EA1" w:rsidRDefault="000E0555">
      <w:pPr>
        <w:pStyle w:val="Hemstlatt"/>
        <w:numPr>
          <w:ilvl w:val="0"/>
          <w:numId w:val="1"/>
        </w:numPr>
      </w:pPr>
      <w:r w:rsidRPr="007B1EA1">
        <w:t>Riksdagen tillkännager för regeringen som sin mening vad som anförs i motionen om att i enlighet med resolution 1829 slå fast att könsselektiva aborter strider mot mäns och kvinnors lika vä</w:t>
      </w:r>
      <w:r w:rsidRPr="007B1EA1">
        <w:t>r</w:t>
      </w:r>
      <w:r w:rsidRPr="007B1EA1">
        <w:t>de.</w:t>
      </w:r>
    </w:p>
    <w:p w:rsidR="000E0555" w:rsidRPr="007B1EA1" w:rsidRDefault="000E0555">
      <w:pPr>
        <w:pStyle w:val="Hemstlatt"/>
        <w:numPr>
          <w:ilvl w:val="0"/>
          <w:numId w:val="1"/>
        </w:numPr>
      </w:pPr>
      <w:r w:rsidRPr="007B1EA1">
        <w:t>Riksdagen tillkännager för regeringen som sin mening vad som anförs i motionen om</w:t>
      </w:r>
      <w:r w:rsidRPr="007B1EA1">
        <w:rPr>
          <w:szCs w:val="24"/>
        </w:rPr>
        <w:t xml:space="preserve"> att Sverige i Europarådet starkare ska ve</w:t>
      </w:r>
      <w:r w:rsidRPr="007B1EA1">
        <w:rPr>
          <w:szCs w:val="24"/>
        </w:rPr>
        <w:t>r</w:t>
      </w:r>
      <w:r w:rsidRPr="007B1EA1">
        <w:rPr>
          <w:szCs w:val="24"/>
        </w:rPr>
        <w:t>ka för att rätten för den enskilda medborgaren att frivilligt välja pol</w:t>
      </w:r>
      <w:r w:rsidRPr="007B1EA1">
        <w:rPr>
          <w:szCs w:val="24"/>
        </w:rPr>
        <w:t>i</w:t>
      </w:r>
      <w:r w:rsidRPr="007B1EA1">
        <w:rPr>
          <w:szCs w:val="24"/>
        </w:rPr>
        <w:t>tisk åskådning och facklig organisation efterlevs i medlemsstate</w:t>
      </w:r>
      <w:r w:rsidRPr="007B1EA1">
        <w:rPr>
          <w:szCs w:val="24"/>
        </w:rPr>
        <w:t>r</w:t>
      </w:r>
      <w:r w:rsidRPr="007B1EA1">
        <w:rPr>
          <w:szCs w:val="24"/>
        </w:rPr>
        <w:t>na.</w:t>
      </w:r>
    </w:p>
    <w:p w:rsidR="000E0555" w:rsidRPr="007B1EA1" w:rsidRDefault="000E0555">
      <w:pPr>
        <w:pStyle w:val="Hemstlatt"/>
        <w:numPr>
          <w:ilvl w:val="0"/>
          <w:numId w:val="1"/>
        </w:numPr>
      </w:pPr>
      <w:r w:rsidRPr="007B1EA1">
        <w:t>Riksdagen tillkännager för regeringen som sin mening vad som anförs i motionen om att de krav som ställts på den palestinska myndigheten och Marocko följs upp.</w:t>
      </w:r>
    </w:p>
    <w:p w:rsidR="000E0555" w:rsidRPr="007B1EA1" w:rsidRDefault="000E0555">
      <w:pPr>
        <w:pStyle w:val="Rubrik1"/>
      </w:pPr>
      <w:r w:rsidRPr="007B1EA1">
        <w:t>Könsselektiva aborter och resolution 1829</w:t>
      </w:r>
    </w:p>
    <w:p w:rsidR="000E0555" w:rsidRPr="007B1EA1" w:rsidRDefault="000E0555">
      <w:r w:rsidRPr="007B1EA1">
        <w:t>Under året har Europarådet antagit resolution 1829 om könsselektiva aborter. Där lyfts fram att diskrimineringen av kvinnor är så utbredd i världen att miljoner kvinnor väljer att inte föda sina döttrar för att de skulle innebära en börda för familjen. Könsselektiva aborter lyfts fram som ett fenomen som har sina rötter i ett klimat av diskriminering av kvinnor som strider mot de värd</w:t>
      </w:r>
      <w:r w:rsidRPr="007B1EA1">
        <w:t>e</w:t>
      </w:r>
      <w:r w:rsidRPr="007B1EA1">
        <w:t>ringar av jämställdhet som råder i Europarådet. Europarådet varnar också för att det kan skapa obalans i antalet flickar och pojkar i de länder där könssele</w:t>
      </w:r>
      <w:r w:rsidRPr="007B1EA1">
        <w:t>k</w:t>
      </w:r>
      <w:r w:rsidRPr="007B1EA1">
        <w:t xml:space="preserve">tion är vanligt förekommande. Europarådet uppmuntrar till olika åtgärder för att minska antalet könsselektiva aborter där flickor är särskilt drabbade, </w:t>
      </w:r>
      <w:r w:rsidRPr="007B1EA1">
        <w:lastRenderedPageBreak/>
        <w:t>bl.a. genom att verka för ökad status för kvinnor. Europarådet uppmanar också alla medlemsstater att införa lagstiftning som förbjuder val av kön i samband med provrörsbefruktning och legal abort, förut</w:t>
      </w:r>
      <w:r w:rsidRPr="007B1EA1">
        <w:t>om när det är motiverat för att un</w:t>
      </w:r>
      <w:r w:rsidRPr="007B1EA1">
        <w:t>d</w:t>
      </w:r>
      <w:r w:rsidRPr="007B1EA1">
        <w:t>vika en allvarlig ärftlig sjukdom.</w:t>
      </w:r>
    </w:p>
    <w:p w:rsidR="000E0555" w:rsidRPr="007B1EA1" w:rsidRDefault="000E0555">
      <w:pPr>
        <w:pStyle w:val="Normaltindrag"/>
      </w:pPr>
      <w:r w:rsidRPr="007B1EA1">
        <w:t>Även i Sverige har det förekommit att abort har genomförts på grund av att det inte var det kön som var mest önskat. På grund av att Sverige har den mest liberala abortlagstiftningen i Europa är det möjligt att få reda på kön vid det rutinmässiga ultraljudet och sedan fritt göra abort fram till vecka 18. Det har även kommit rapporter om att kvinnor från andra länder kommer till Sv</w:t>
      </w:r>
      <w:r w:rsidRPr="007B1EA1">
        <w:t>e</w:t>
      </w:r>
      <w:r w:rsidRPr="007B1EA1">
        <w:t>rige just för att göra abort på grund av kön. Att flickor eller pojkar kan väljas bort före födseln är en allvarlig diskriminering på grund av kön och något som Sverige bör motverka. Ett steg i rätt riktning bör därför vara att föräldrar inte informeras om kön på barnet förrän efter vecka 22 då abort inte längre är lagligt, förutom när det är motiverat för att undvika en allvarlig ärftlig sju</w:t>
      </w:r>
      <w:r w:rsidRPr="007B1EA1">
        <w:t>k</w:t>
      </w:r>
      <w:r w:rsidRPr="007B1EA1">
        <w:t>dom. Flera landsting i Sverige har redan en uttalad policy att inte fastställa kön vid ultraljudet. För att i enlig</w:t>
      </w:r>
      <w:r w:rsidRPr="007B1EA1">
        <w:t>het med resolution 1829 försvåra könssele</w:t>
      </w:r>
      <w:r w:rsidRPr="007B1EA1">
        <w:t>k</w:t>
      </w:r>
      <w:r w:rsidRPr="007B1EA1">
        <w:t>tiva aborter bör detta vara en policy över hela landet som skrivs in i svensk hälso- och sjukvårdslag. Det är möjligt att föräldrarna på annat sätt i alla fall kan ta reda på barnets kön, men det bör vara en policy att landstingen inte medverkar till könsselektiva aborter.</w:t>
      </w:r>
    </w:p>
    <w:p w:rsidR="000E0555" w:rsidRPr="007B1EA1" w:rsidRDefault="000E0555">
      <w:pPr>
        <w:pStyle w:val="Rubrik1"/>
      </w:pPr>
      <w:r w:rsidRPr="007B1EA1">
        <w:t>Europakonventionen och rätten att välja politisk åskådning</w:t>
      </w:r>
    </w:p>
    <w:p w:rsidR="000E0555" w:rsidRPr="007B1EA1" w:rsidRDefault="000E0555">
      <w:r w:rsidRPr="007B1EA1">
        <w:t>Rätten för den enskilda medborgaren att frivilligt välja politisk åskådning och facklig organisation är skyddad av den europeiska konventionen om skydd för de mänskliga rättigheterna och de grundläggande friheterna. Det är grun</w:t>
      </w:r>
      <w:r w:rsidRPr="007B1EA1">
        <w:t>d</w:t>
      </w:r>
      <w:r w:rsidRPr="007B1EA1">
        <w:t>läggande för demokratiska stater och det kan anses som självklart att varje medborgare har rätt att tillhöra en förening och likaså rätt att avstå från att ansluta sig till en förening.</w:t>
      </w:r>
    </w:p>
    <w:p w:rsidR="000E0555" w:rsidRPr="007B1EA1" w:rsidRDefault="000E0555">
      <w:pPr>
        <w:pStyle w:val="Normaltindrag"/>
        <w:rPr>
          <w:szCs w:val="24"/>
        </w:rPr>
      </w:pPr>
      <w:r w:rsidRPr="007B1EA1">
        <w:rPr>
          <w:color w:val="000000"/>
          <w:szCs w:val="24"/>
        </w:rPr>
        <w:t>Artikel 5 i den europeiska stadgan slår fast rätten för arbetstagare och a</w:t>
      </w:r>
      <w:r w:rsidRPr="007B1EA1">
        <w:rPr>
          <w:color w:val="000000"/>
          <w:szCs w:val="24"/>
        </w:rPr>
        <w:t>r</w:t>
      </w:r>
      <w:r w:rsidRPr="007B1EA1">
        <w:rPr>
          <w:color w:val="000000"/>
          <w:szCs w:val="24"/>
        </w:rPr>
        <w:t>betsgivare att bilda och tillhöra en organisation som tillvaratar deras ekon</w:t>
      </w:r>
      <w:r w:rsidRPr="007B1EA1">
        <w:rPr>
          <w:color w:val="000000"/>
          <w:szCs w:val="24"/>
        </w:rPr>
        <w:t>o</w:t>
      </w:r>
      <w:r w:rsidRPr="007B1EA1">
        <w:rPr>
          <w:color w:val="000000"/>
          <w:szCs w:val="24"/>
        </w:rPr>
        <w:t>miska och sociala intressen. Statens uppgift är att skydda medborgarnas mö</w:t>
      </w:r>
      <w:r w:rsidRPr="007B1EA1">
        <w:rPr>
          <w:color w:val="000000"/>
          <w:szCs w:val="24"/>
        </w:rPr>
        <w:t>j</w:t>
      </w:r>
      <w:r w:rsidRPr="007B1EA1">
        <w:rPr>
          <w:color w:val="000000"/>
          <w:szCs w:val="24"/>
        </w:rPr>
        <w:t>lighet att utöva denna rätt. I artikel 11 slås det fast att varje medborgare har rätt att ”</w:t>
      </w:r>
      <w:r w:rsidRPr="007B1EA1">
        <w:rPr>
          <w:szCs w:val="24"/>
        </w:rPr>
        <w:t>ansluta sig till fackföreningar för att skydda sina intressen</w:t>
      </w:r>
      <w:r w:rsidRPr="007B1EA1">
        <w:rPr>
          <w:color w:val="000000"/>
          <w:szCs w:val="24"/>
        </w:rPr>
        <w:t>”</w:t>
      </w:r>
      <w:r w:rsidRPr="007B1EA1">
        <w:rPr>
          <w:szCs w:val="24"/>
        </w:rPr>
        <w:t>.</w:t>
      </w:r>
      <w:r w:rsidRPr="007B1EA1">
        <w:rPr>
          <w:color w:val="000000"/>
          <w:szCs w:val="24"/>
        </w:rPr>
        <w:t xml:space="preserve"> I artikel 14 fastslås ett förbud mot diskriminering ”</w:t>
      </w:r>
      <w:r w:rsidRPr="007B1EA1">
        <w:rPr>
          <w:szCs w:val="24"/>
        </w:rPr>
        <w:t>såsom på grund av kön, ras, hu</w:t>
      </w:r>
      <w:r w:rsidRPr="007B1EA1">
        <w:rPr>
          <w:szCs w:val="24"/>
        </w:rPr>
        <w:t>d</w:t>
      </w:r>
      <w:r w:rsidRPr="007B1EA1">
        <w:rPr>
          <w:szCs w:val="24"/>
        </w:rPr>
        <w:t>färg, språk, religion, politisk eller annan åskådning”.</w:t>
      </w:r>
    </w:p>
    <w:p w:rsidR="000E0555" w:rsidRPr="007B1EA1" w:rsidRDefault="000E0555">
      <w:pPr>
        <w:pStyle w:val="Normaltindrag"/>
        <w:rPr>
          <w:szCs w:val="24"/>
        </w:rPr>
      </w:pPr>
      <w:r w:rsidRPr="007B1EA1">
        <w:rPr>
          <w:szCs w:val="24"/>
        </w:rPr>
        <w:t>Trots detta förekommer det i Europa och till och med i Sverige d</w:t>
      </w:r>
      <w:r w:rsidRPr="007B1EA1">
        <w:rPr>
          <w:szCs w:val="24"/>
        </w:rPr>
        <w:t>iskrimin</w:t>
      </w:r>
      <w:r w:rsidRPr="007B1EA1">
        <w:rPr>
          <w:szCs w:val="24"/>
        </w:rPr>
        <w:t>e</w:t>
      </w:r>
      <w:r w:rsidRPr="007B1EA1">
        <w:rPr>
          <w:szCs w:val="24"/>
        </w:rPr>
        <w:t>ring på grund av politisk åskådning. I Vitryssland är läget så allvarligt att politiker sitter fängslade på grund av politisk hemvist. I Sverige är inte läget så allvarligt, men politiker har blivit uteslutna ur fackförbund, utsatta för våld och blivit av med sina arbeten på grund av politisk hemvist.</w:t>
      </w:r>
    </w:p>
    <w:p w:rsidR="000E0555" w:rsidRPr="007B1EA1" w:rsidRDefault="000E0555">
      <w:pPr>
        <w:pStyle w:val="Normaltindrag"/>
      </w:pPr>
      <w:r w:rsidRPr="007B1EA1">
        <w:t>Regeringen bör tydligare ta avstånd från denna typ av diskriminering, och Sverige bör lyfta frågan i Europarådet i syfte att stärka rätten för den enskilda medborgaren att frivilligt välja politisk ås</w:t>
      </w:r>
      <w:r w:rsidRPr="007B1EA1">
        <w:t>kådning och facklig organisation och motverka diskriminering på grund av politisk åskådning. Diskriminering på grund av politisk åsikt är lika förkastligt som övrig diskriminering.</w:t>
      </w:r>
    </w:p>
    <w:p w:rsidR="000E0555" w:rsidRPr="007B1EA1" w:rsidRDefault="000E0555">
      <w:pPr>
        <w:pStyle w:val="Rubrik1"/>
      </w:pPr>
      <w:r w:rsidRPr="007B1EA1">
        <w:t>Partnerskap för demokrati i Europarådet</w:t>
      </w:r>
    </w:p>
    <w:p w:rsidR="000E0555" w:rsidRPr="007B1EA1" w:rsidRDefault="000E0555">
      <w:r w:rsidRPr="007B1EA1">
        <w:t>Under 2011 har Marocko och den palestinska myndigheten beviljats status som partner för demokrati i Europarådet. Som vi tidigare nämnt vill vi se en tydlig konditionalitet med genomförda reformer och uppfyllda villkor innan olika former av partnerskapsavtal ingås, och denna linje vill vi vidhålla även i detta sammanhang. För att främja de värden som ligget till grund för Europ</w:t>
      </w:r>
      <w:r w:rsidRPr="007B1EA1">
        <w:t>a</w:t>
      </w:r>
      <w:r w:rsidRPr="007B1EA1">
        <w:t>rådet hade vi hellre sett att Europarådets krav på fria rättvisa val, på att a</w:t>
      </w:r>
      <w:r w:rsidRPr="007B1EA1">
        <w:t>v</w:t>
      </w:r>
      <w:r w:rsidRPr="007B1EA1">
        <w:t>skaffa dödsstraff, upphöra med våldshandlingar, ta avstånd från terrorism och erkänna Israels rätt att existera hade varit uppfyllda innan den palestinska myndigheten beviljades status som partner för demokrati i Europarådet. De som beviljas partnerskap i Europarådet bör också vara erkända fungerande stater med ett styre som har kontroll över sitt territorium, vilket inte är fallet med den palestinska myndigheten.</w:t>
      </w:r>
    </w:p>
    <w:p w:rsidR="000E0555" w:rsidRPr="007B1EA1" w:rsidRDefault="000E0555">
      <w:pPr>
        <w:pStyle w:val="Normaltindrag"/>
      </w:pPr>
      <w:r w:rsidRPr="007B1EA1">
        <w:t>När det gäller</w:t>
      </w:r>
      <w:r w:rsidRPr="007B1EA1">
        <w:t xml:space="preserve"> Marocko så har de bl.a. åtagit sig att genomföra reformer i dödsstraffsfrågan. Europarådet föreslår också i resolution 1880 en rad specif</w:t>
      </w:r>
      <w:r w:rsidRPr="007B1EA1">
        <w:t>i</w:t>
      </w:r>
      <w:r w:rsidRPr="007B1EA1">
        <w:t>ka åtgärder för att stärka demokratin, rättsstaten och respekten för de mäns</w:t>
      </w:r>
      <w:r w:rsidRPr="007B1EA1">
        <w:t>k</w:t>
      </w:r>
      <w:r w:rsidRPr="007B1EA1">
        <w:t>liga rättigheterna och de grundläggande friheterna i Marocko. Förslagen handlar bl.a. om att stärka kvinnors rättigheter, hålla fria och rättvisa val e</w:t>
      </w:r>
      <w:r w:rsidRPr="007B1EA1">
        <w:t>n</w:t>
      </w:r>
      <w:r w:rsidRPr="007B1EA1">
        <w:t>ligt internationell standard och motverka korruption. I detta sammanhang bör vi även ha i åtanke att Vitryssland inte är aktuellt som medlem i E</w:t>
      </w:r>
      <w:r w:rsidRPr="007B1EA1">
        <w:t>uroparådet på grund av brister i demokrati och mänskiga rättigheter, där en stor kritik mot landet har varit dess dödsstraff. Europarådet bör då vara konsekvent i sina krav även när det gäller partner utanför Europa.</w:t>
      </w:r>
    </w:p>
    <w:p w:rsidR="000E0555" w:rsidRPr="007B1EA1" w:rsidRDefault="000E0555">
      <w:pPr>
        <w:pStyle w:val="Normaltindrag"/>
      </w:pPr>
      <w:r w:rsidRPr="007B1EA1">
        <w:t>När det nationella rådet i Palestina och Marocko ändå beviljats partnerskap i Europarådet är vår starka förhoppning att det ska leda till en demokratisk utveckling och respekt för mänskliga rättigheter. Utifrån det menar vi att det är av stor vikt att de åtaganden som länderna gjort och de krav</w:t>
      </w:r>
      <w:r w:rsidRPr="007B1EA1">
        <w:t xml:space="preserve"> som ställts på länderna verkligen följs upp efter två år som överenskommet och tas med i bedömningen av ett fortsatt beviljande av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EA1">
        <w:trPr>
          <w:cantSplit/>
        </w:trPr>
        <w:tc>
          <w:tcPr>
            <w:tcW w:w="3046" w:type="dxa"/>
          </w:tcPr>
          <w:p w:rsidR="000E0555" w:rsidRPr="007B1EA1" w:rsidRDefault="000E0555">
            <w:pPr>
              <w:pStyle w:val="UnderskriftDatum"/>
              <w:spacing w:before="240"/>
            </w:pPr>
            <w:r w:rsidRPr="007B1EA1">
              <w:t>Stockholm den 29 mars 2012</w:t>
            </w:r>
          </w:p>
        </w:tc>
        <w:tc>
          <w:tcPr>
            <w:tcW w:w="3047" w:type="dxa"/>
          </w:tcPr>
          <w:p w:rsidR="000E0555" w:rsidRPr="007B1EA1" w:rsidRDefault="000E0555">
            <w:pPr>
              <w:pStyle w:val="Underskrifter"/>
              <w:spacing w:before="240"/>
            </w:pPr>
          </w:p>
        </w:tc>
      </w:tr>
      <w:tr w:rsidR="00000000" w:rsidRPr="007B1EA1">
        <w:trPr>
          <w:cantSplit/>
        </w:trPr>
        <w:tc>
          <w:tcPr>
            <w:tcW w:w="3046" w:type="dxa"/>
          </w:tcPr>
          <w:p w:rsidR="000E0555" w:rsidRPr="007B1EA1" w:rsidRDefault="000E0555">
            <w:pPr>
              <w:pStyle w:val="Underskrifter"/>
            </w:pPr>
            <w:r w:rsidRPr="007B1EA1">
              <w:t>Julia Kronlid (SD)</w:t>
            </w:r>
          </w:p>
        </w:tc>
        <w:tc>
          <w:tcPr>
            <w:tcW w:w="3046" w:type="dxa"/>
          </w:tcPr>
          <w:p w:rsidR="000E0555" w:rsidRPr="007B1EA1" w:rsidRDefault="000E0555">
            <w:pPr>
              <w:pStyle w:val="Underskrifter"/>
            </w:pPr>
          </w:p>
        </w:tc>
      </w:tr>
      <w:tr w:rsidR="00000000" w:rsidRPr="007B1EA1">
        <w:trPr>
          <w:cantSplit/>
        </w:trPr>
        <w:tc>
          <w:tcPr>
            <w:tcW w:w="3046" w:type="dxa"/>
          </w:tcPr>
          <w:p w:rsidR="000E0555" w:rsidRPr="007B1EA1" w:rsidRDefault="000E0555">
            <w:pPr>
              <w:pStyle w:val="Underskrifter"/>
            </w:pPr>
            <w:r w:rsidRPr="007B1EA1">
              <w:t>Kent Ekeroth (SD)</w:t>
            </w:r>
          </w:p>
        </w:tc>
        <w:tc>
          <w:tcPr>
            <w:tcW w:w="3046" w:type="dxa"/>
          </w:tcPr>
          <w:p w:rsidR="000E0555" w:rsidRPr="007B1EA1" w:rsidRDefault="000E0555">
            <w:pPr>
              <w:pStyle w:val="Underskrifter"/>
            </w:pPr>
            <w:r w:rsidRPr="007B1EA1">
              <w:t>Björn Söder (SD)</w:t>
            </w:r>
          </w:p>
        </w:tc>
      </w:tr>
      <w:tr w:rsidR="00000000" w:rsidRPr="007B1EA1">
        <w:trPr>
          <w:cantSplit/>
        </w:trPr>
        <w:tc>
          <w:tcPr>
            <w:tcW w:w="3046" w:type="dxa"/>
          </w:tcPr>
          <w:p w:rsidR="000E0555" w:rsidRPr="007B1EA1" w:rsidRDefault="000E0555">
            <w:pPr>
              <w:pStyle w:val="Underskrifter"/>
            </w:pPr>
            <w:r w:rsidRPr="007B1EA1">
              <w:t>Sven-Olof Sällström (SD)</w:t>
            </w:r>
          </w:p>
        </w:tc>
        <w:tc>
          <w:tcPr>
            <w:tcW w:w="3046" w:type="dxa"/>
          </w:tcPr>
          <w:p w:rsidR="000E0555" w:rsidRPr="007B1EA1" w:rsidRDefault="000E0555">
            <w:pPr>
              <w:pStyle w:val="Underskrifter"/>
            </w:pPr>
          </w:p>
        </w:tc>
      </w:tr>
    </w:tbl>
    <w:p w:rsidR="000E0555" w:rsidRPr="007B1EA1" w:rsidRDefault="000E0555">
      <w:pPr>
        <w:pStyle w:val="Normaltindrag"/>
      </w:pPr>
    </w:p>
    <w:sectPr w:rsidR="000E0555" w:rsidRPr="007B1E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555" w:rsidRPr="007B1EA1" w:rsidRDefault="000E0555">
      <w:r w:rsidRPr="007B1EA1">
        <w:separator/>
      </w:r>
    </w:p>
  </w:endnote>
  <w:endnote w:type="continuationSeparator" w:id="0">
    <w:p w:rsidR="000E0555" w:rsidRPr="007B1EA1" w:rsidRDefault="000E0555">
      <w:r w:rsidRPr="007B1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7B1EA1">
    <w:pPr>
      <w:pStyle w:val="Sidfot"/>
    </w:pPr>
    <w:r w:rsidRPr="007B1E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225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55" w:rsidRDefault="000E05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555" w:rsidRDefault="000E05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7B1EA1">
    <w:pPr>
      <w:pStyle w:val="Sidfot"/>
    </w:pPr>
    <w:r w:rsidRPr="007B1E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239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55" w:rsidRDefault="000E05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555" w:rsidRDefault="000E05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7B1EA1">
    <w:pPr>
      <w:pStyle w:val="Sidfot"/>
    </w:pPr>
    <w:r w:rsidRPr="007B1E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81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55" w:rsidRDefault="000E0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555" w:rsidRDefault="000E0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555" w:rsidRPr="007B1EA1" w:rsidRDefault="000E0555">
      <w:r w:rsidRPr="007B1EA1">
        <w:separator/>
      </w:r>
    </w:p>
  </w:footnote>
  <w:footnote w:type="continuationSeparator" w:id="0">
    <w:p w:rsidR="000E0555" w:rsidRPr="007B1EA1" w:rsidRDefault="000E0555">
      <w:r w:rsidRPr="007B1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7B1EA1">
    <w:pPr>
      <w:pStyle w:val="Sidhuvud"/>
    </w:pPr>
    <w:r w:rsidRPr="007B1E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188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55" w:rsidRDefault="000E0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555" w:rsidRDefault="000E0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7B1EA1">
    <w:pPr>
      <w:pStyle w:val="Sidhuvud"/>
    </w:pPr>
    <w:r w:rsidRPr="007B1E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098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55" w:rsidRDefault="000E0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555" w:rsidRDefault="000E0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55" w:rsidRPr="007B1EA1" w:rsidRDefault="000E0555">
    <w:pPr>
      <w:pStyle w:val="FSHNormal"/>
      <w:tabs>
        <w:tab w:val="right" w:pos="5840"/>
      </w:tabs>
    </w:pPr>
    <w:r w:rsidRPr="007B1EA1">
      <w:br/>
    </w:r>
    <w:r w:rsidRPr="007B1EA1">
      <w:fldChar w:fldCharType="begin" w:fldLock="1"/>
    </w:r>
    <w:r w:rsidRPr="007B1EA1">
      <w:instrText xml:space="preserve"> DOCPROPERTY</w:instrText>
    </w:r>
    <w:r w:rsidRPr="007B1EA1">
      <w:rPr>
        <w:sz w:val="18"/>
      </w:rPr>
      <w:instrText xml:space="preserve"> "YearUser" *\charformat </w:instrText>
    </w:r>
    <w:r w:rsidRPr="007B1EA1">
      <w:fldChar w:fldCharType="separate"/>
    </w:r>
    <w:r w:rsidRPr="007B1EA1">
      <w:t>2011/12</w:t>
    </w:r>
    <w:r w:rsidRPr="007B1EA1">
      <w:fldChar w:fldCharType="end"/>
    </w:r>
    <w:r w:rsidRPr="007B1EA1">
      <w:t xml:space="preserve"> </w:t>
    </w:r>
    <w:r w:rsidRPr="007B1EA1">
      <w:tab/>
      <w:t xml:space="preserve">mnr: </w:t>
    </w:r>
    <w:r w:rsidRPr="007B1EA1">
      <w:fldChar w:fldCharType="begin" w:fldLock="1"/>
    </w:r>
    <w:r w:rsidRPr="007B1EA1">
      <w:instrText xml:space="preserve"> DOCPROPERTY</w:instrText>
    </w:r>
    <w:r w:rsidRPr="007B1EA1">
      <w:rPr>
        <w:sz w:val="18"/>
      </w:rPr>
      <w:instrText xml:space="preserve"> "Motionsnummer" *\charformat </w:instrText>
    </w:r>
    <w:r w:rsidRPr="007B1EA1">
      <w:fldChar w:fldCharType="separate"/>
    </w:r>
    <w:r w:rsidRPr="007B1EA1">
      <w:t>U16</w:t>
    </w:r>
    <w:r w:rsidRPr="007B1EA1">
      <w:fldChar w:fldCharType="end"/>
    </w:r>
    <w:r w:rsidRPr="007B1EA1">
      <w:br/>
    </w:r>
    <w:r w:rsidRPr="007B1EA1">
      <w:fldChar w:fldCharType="begin" w:fldLock="1"/>
    </w:r>
    <w:r w:rsidRPr="007B1EA1">
      <w:instrText xml:space="preserve"> DOCPROPERTY</w:instrText>
    </w:r>
    <w:r w:rsidRPr="007B1EA1">
      <w:rPr>
        <w:sz w:val="18"/>
      </w:rPr>
      <w:instrText xml:space="preserve"> "Samling" *\charformat </w:instrText>
    </w:r>
    <w:r w:rsidRPr="007B1EA1">
      <w:fldChar w:fldCharType="end"/>
    </w:r>
    <w:r w:rsidRPr="007B1EA1">
      <w:tab/>
      <w:t xml:space="preserve">pnr: </w:t>
    </w:r>
    <w:r w:rsidRPr="007B1EA1">
      <w:fldChar w:fldCharType="begin" w:fldLock="1"/>
    </w:r>
    <w:r w:rsidRPr="007B1EA1">
      <w:instrText xml:space="preserve"> DOCPROPERTY</w:instrText>
    </w:r>
    <w:r w:rsidRPr="007B1EA1">
      <w:rPr>
        <w:sz w:val="18"/>
      </w:rPr>
      <w:instrText xml:space="preserve"> "Partinummer" *\charformat </w:instrText>
    </w:r>
    <w:r w:rsidRPr="007B1EA1">
      <w:fldChar w:fldCharType="separate"/>
    </w:r>
    <w:r w:rsidRPr="007B1EA1">
      <w:t>SD286</w:t>
    </w:r>
    <w:r w:rsidRPr="007B1EA1">
      <w:fldChar w:fldCharType="end"/>
    </w:r>
  </w:p>
  <w:p w:rsidR="000E0555" w:rsidRPr="007B1EA1" w:rsidRDefault="000E0555">
    <w:pPr>
      <w:pStyle w:val="FSHRub1"/>
    </w:pPr>
    <w:r w:rsidRPr="007B1EA1">
      <w:t>Motion till riksdagen</w:t>
    </w:r>
    <w:r w:rsidRPr="007B1EA1">
      <w:br/>
    </w:r>
    <w:r w:rsidRPr="007B1EA1">
      <w:fldChar w:fldCharType="begin" w:fldLock="1"/>
    </w:r>
    <w:r w:rsidRPr="007B1EA1">
      <w:instrText xml:space="preserve"> DOCPROPERTY "YearUser" *\charformat </w:instrText>
    </w:r>
    <w:r w:rsidRPr="007B1EA1">
      <w:fldChar w:fldCharType="separate"/>
    </w:r>
    <w:r w:rsidRPr="007B1EA1">
      <w:t>2011/12</w:t>
    </w:r>
    <w:r w:rsidRPr="007B1EA1">
      <w:fldChar w:fldCharType="end"/>
    </w:r>
    <w:r w:rsidRPr="007B1EA1">
      <w:t>:</w:t>
    </w:r>
    <w:r w:rsidRPr="007B1EA1">
      <w:fldChar w:fldCharType="begin" w:fldLock="1"/>
    </w:r>
    <w:r w:rsidRPr="007B1EA1">
      <w:instrText xml:space="preserve"> DOCPROPERTY "Motionsnummer" *\charformat </w:instrText>
    </w:r>
    <w:r w:rsidRPr="007B1EA1">
      <w:fldChar w:fldCharType="separate"/>
    </w:r>
    <w:r w:rsidRPr="007B1EA1">
      <w:t>U16</w:t>
    </w:r>
    <w:r w:rsidRPr="007B1EA1">
      <w:fldChar w:fldCharType="end"/>
    </w:r>
  </w:p>
  <w:p w:rsidR="000E0555" w:rsidRPr="007B1EA1" w:rsidRDefault="000E0555">
    <w:pPr>
      <w:pStyle w:val="FSHNormalS5"/>
    </w:pPr>
    <w:r w:rsidRPr="007B1EA1">
      <w:fldChar w:fldCharType="begin" w:fldLock="1"/>
    </w:r>
    <w:r w:rsidRPr="007B1EA1">
      <w:instrText xml:space="preserve"> DOCPROPERTY "MotionarText" *\charformat </w:instrText>
    </w:r>
    <w:r w:rsidRPr="007B1EA1">
      <w:fldChar w:fldCharType="separate"/>
    </w:r>
    <w:r w:rsidRPr="007B1EA1">
      <w:t>av Julia Kronlid m.fl. (SD)</w:t>
    </w:r>
    <w:r w:rsidRPr="007B1EA1">
      <w:fldChar w:fldCharType="end"/>
    </w:r>
    <w:r w:rsidRPr="007B1EA1">
      <w:br/>
    </w:r>
    <w:r w:rsidRPr="007B1EA1">
      <w:fldChar w:fldCharType="begin" w:fldLock="1"/>
    </w:r>
    <w:r w:rsidRPr="007B1EA1">
      <w:instrText xml:space="preserve"> DOCPROPERTY "SvarFrasKort" *\charformat </w:instrText>
    </w:r>
    <w:r w:rsidRPr="007B1EA1">
      <w:fldChar w:fldCharType="separate"/>
    </w:r>
    <w:r w:rsidRPr="007B1EA1">
      <w:t>med anledning av redog. 2011/12:ER1</w:t>
    </w:r>
    <w:r w:rsidRPr="007B1EA1">
      <w:fldChar w:fldCharType="end"/>
    </w:r>
  </w:p>
  <w:p w:rsidR="000E0555" w:rsidRPr="007B1EA1" w:rsidRDefault="000E0555">
    <w:pPr>
      <w:pStyle w:val="FSHTitel"/>
    </w:pPr>
    <w:r w:rsidRPr="007B1EA1">
      <w:fldChar w:fldCharType="begin" w:fldLock="1"/>
    </w:r>
    <w:r w:rsidRPr="007B1EA1">
      <w:instrText xml:space="preserve"> DOCPROPERTY</w:instrText>
    </w:r>
    <w:r w:rsidRPr="007B1EA1">
      <w:rPr>
        <w:sz w:val="18"/>
      </w:rPr>
      <w:instrText xml:space="preserve"> "RubrikSvar" *\charformat </w:instrText>
    </w:r>
    <w:r w:rsidRPr="007B1EA1">
      <w:fldChar w:fldCharType="separate"/>
    </w:r>
    <w:r w:rsidRPr="007B1EA1">
      <w:t>Från Sveriges delegation vid Europarådets parlamentariska församling</w:t>
    </w:r>
    <w:r w:rsidRPr="007B1EA1">
      <w:fldChar w:fldCharType="end"/>
    </w:r>
  </w:p>
  <w:p w:rsidR="000E0555" w:rsidRPr="007B1EA1" w:rsidRDefault="000E0555">
    <w:pPr>
      <w:pStyle w:val="Normal00"/>
    </w:pPr>
  </w:p>
  <w:p w:rsidR="000E0555" w:rsidRPr="007B1EA1" w:rsidRDefault="000E0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5B26F5"/>
    <w:multiLevelType w:val="hybridMultilevel"/>
    <w:tmpl w:val="1C9010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143643">
    <w:abstractNumId w:val="3"/>
  </w:num>
  <w:num w:numId="2" w16cid:durableId="1602032211">
    <w:abstractNumId w:val="2"/>
  </w:num>
  <w:num w:numId="3" w16cid:durableId="890001413">
    <w:abstractNumId w:val="1"/>
  </w:num>
  <w:num w:numId="4" w16cid:durableId="309136335">
    <w:abstractNumId w:val="0"/>
  </w:num>
  <w:num w:numId="5" w16cid:durableId="795216102">
    <w:abstractNumId w:val="7"/>
  </w:num>
  <w:num w:numId="6" w16cid:durableId="261956561">
    <w:abstractNumId w:val="6"/>
  </w:num>
  <w:num w:numId="7" w16cid:durableId="794907627">
    <w:abstractNumId w:val="5"/>
  </w:num>
  <w:num w:numId="8" w16cid:durableId="947856545">
    <w:abstractNumId w:val="4"/>
  </w:num>
  <w:num w:numId="9" w16cid:durableId="1560937017">
    <w:abstractNumId w:val="8"/>
  </w:num>
  <w:num w:numId="10" w16cid:durableId="1734617895">
    <w:abstractNumId w:val="9"/>
  </w:num>
  <w:num w:numId="11" w16cid:durableId="906451411">
    <w:abstractNumId w:val="10"/>
  </w:num>
  <w:num w:numId="12" w16cid:durableId="1294676156">
    <w:abstractNumId w:val="13"/>
  </w:num>
  <w:num w:numId="13" w16cid:durableId="1674603820">
    <w:abstractNumId w:val="15"/>
  </w:num>
  <w:num w:numId="14" w16cid:durableId="1979262308">
    <w:abstractNumId w:val="17"/>
  </w:num>
  <w:num w:numId="15" w16cid:durableId="876047090">
    <w:abstractNumId w:val="11"/>
  </w:num>
  <w:num w:numId="16" w16cid:durableId="398091757">
    <w:abstractNumId w:val="19"/>
  </w:num>
  <w:num w:numId="17" w16cid:durableId="1924601859">
    <w:abstractNumId w:val="18"/>
  </w:num>
  <w:num w:numId="18" w16cid:durableId="1449620152">
    <w:abstractNumId w:val="14"/>
  </w:num>
  <w:num w:numId="19" w16cid:durableId="1619334081">
    <w:abstractNumId w:val="12"/>
  </w:num>
  <w:num w:numId="20" w16cid:durableId="20098632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9"/>
    <w:docVar w:name="PersonGUIDs" w:val="{3829CAB2-9E41-4957-9EA9-834C2DBCED73},{832D3DBE-A180-4988-9880-AE30D81C3DDE},{C8E093A7-EDD6-43FF-8CD7-70C04D240193},{EB0CD010-084E-4D62-B888-5E56AA763C92}"/>
  </w:docVars>
  <w:rsids>
    <w:rsidRoot w:val="00E6745B"/>
    <w:rsid w:val="000E0555"/>
    <w:rsid w:val="007B1EA1"/>
    <w:rsid w:val="00E674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45F50-7C96-4945-8B53-A91EE329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5935</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SD286</vt:lpstr>
    </vt:vector>
  </TitlesOfParts>
  <Company>Riksdagen</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SD286</dc:title>
  <dc:subject>SD286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2012-04-11T13:20:00Z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mot2000_533_2012-03-29</vt:lpwstr>
  </property>
  <property fmtid="{D5CDD505-2E9C-101B-9397-08002B2CF9AE}" pid="3" name="version">
    <vt:lpwstr>mot2000_533_2012-03-29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redog. 2011/12:ER1 Från Sveriges delegation vid Europarådets parlamentariska församling</vt:lpwstr>
  </property>
  <property fmtid="{D5CDD505-2E9C-101B-9397-08002B2CF9AE}" pid="11" name="SvarFrasKort">
    <vt:lpwstr>med anledning av redog. 2011/12:ER1</vt:lpwstr>
  </property>
  <property fmtid="{D5CDD505-2E9C-101B-9397-08002B2CF9AE}" pid="12" name="Svar">
    <vt:lpwstr>Redogörelse</vt:lpwstr>
  </property>
  <property fmtid="{D5CDD505-2E9C-101B-9397-08002B2CF9AE}" pid="13" name="SvarNr">
    <vt:lpwstr>2011/12:ER1</vt:lpwstr>
  </property>
  <property fmtid="{D5CDD505-2E9C-101B-9397-08002B2CF9AE}" pid="14" name="RubrikSvar">
    <vt:lpwstr>Från Sveriges delegation vid Europarådets parlamentariska församling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SD286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Julia Kronlid m.fl. (SD)</vt:lpwstr>
  </property>
  <property fmtid="{D5CDD505-2E9C-101B-9397-08002B2CF9AE}" pid="26" name="MotionarLista">
    <vt:lpwstr>Kronlid, Julia (SD)\Ekeroth, Kent (SD)\Söder, Björn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Kent Ekeroth (SD), Björn Söder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20112012000000830068000002860075</vt:lpwstr>
  </property>
  <property fmtid="{D5CDD505-2E9C-101B-9397-08002B2CF9AE}" pid="47" name="datum">
    <vt:lpwstr>120329</vt:lpwstr>
  </property>
  <property fmtid="{D5CDD505-2E9C-101B-9397-08002B2CF9AE}" pid="48" name="avsändar-e-post">
    <vt:lpwstr>julia.kronlid@riksdagen.se</vt:lpwstr>
  </property>
  <property fmtid="{D5CDD505-2E9C-101B-9397-08002B2CF9AE}" pid="49" name="id">
    <vt:lpwstr>20112012000000830068000002860075</vt:lpwstr>
  </property>
  <property fmtid="{D5CDD505-2E9C-101B-9397-08002B2CF9AE}" pid="50" name="nummer">
    <vt:lpwstr>16</vt:lpwstr>
  </property>
  <property fmtid="{D5CDD505-2E9C-101B-9397-08002B2CF9AE}" pid="51" name="utskottsbeteckning">
    <vt:lpwstr>U</vt:lpwstr>
  </property>
  <property fmtid="{D5CDD505-2E9C-101B-9397-08002B2CF9AE}" pid="52" name="GlobalUID">
    <vt:lpwstr>{4EC1865A-6D22-49E8-80CC-A00C7BFD3395}</vt:lpwstr>
  </property>
  <property fmtid="{D5CDD505-2E9C-101B-9397-08002B2CF9AE}" pid="53" name="Överföringar">
    <vt:i4>0</vt:i4>
  </property>
  <property fmtid="{D5CDD505-2E9C-101B-9397-08002B2CF9AE}" pid="54" name="Checksum">
    <vt:lpwstr>*1017870313856*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120411 16:23:28.836</vt:lpwstr>
  </property>
  <property fmtid="{D5CDD505-2E9C-101B-9397-08002B2CF9AE}" pid="58" name="urixGuid">
    <vt:lpwstr>{FB03446F-19A4-4F9C-887C-5E978794A2A9}</vt:lpwstr>
  </property>
</Properties>
</file>