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90C38">
        <w:tblPrEx>
          <w:tblCellMar>
            <w:top w:w="0" w:type="dxa"/>
            <w:bottom w:w="0" w:type="dxa"/>
          </w:tblCellMar>
        </w:tblPrEx>
        <w:trPr>
          <w:cantSplit/>
          <w:trHeight w:hRule="exact" w:val="1260"/>
        </w:trPr>
        <w:tc>
          <w:tcPr>
            <w:tcW w:w="6024" w:type="dxa"/>
            <w:gridSpan w:val="2"/>
            <w:vMerge w:val="restart"/>
          </w:tcPr>
          <w:p w:rsidR="00211713" w:rsidRPr="00990C38" w:rsidRDefault="00211713">
            <w:pPr>
              <w:pStyle w:val="HuvudRubrik"/>
            </w:pPr>
            <w:bookmarkStart w:id="0" w:name="BetänkandeRubrik"/>
            <w:bookmarkEnd w:id="0"/>
            <w:r w:rsidRPr="00990C38">
              <w:t>Försvarsutskottets betänkande</w:t>
            </w:r>
            <w:r w:rsidR="00990C38" w:rsidRPr="00990C3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67912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11713" w:rsidRPr="00990C38" w:rsidRDefault="00211713">
                                  <w:pPr>
                                    <w:pStyle w:val="Logo"/>
                                  </w:pPr>
                                  <w:r w:rsidRPr="00990C3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254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11713" w:rsidRPr="00990C38" w:rsidRDefault="00211713">
                            <w:pPr>
                              <w:pStyle w:val="Logo"/>
                            </w:pPr>
                            <w:r w:rsidRPr="00990C38">
                              <w:object w:dxaOrig="840" w:dyaOrig="1545">
                                <v:shape id="_x0000_i1025" type="#_x0000_t75" style="width:90.45pt;height:77.15pt" fillcolor="window">
                                  <v:imagedata r:id="rId7" o:title="" cropright="-75835f"/>
                                </v:shape>
                                <o:OLEObject Type="Embed" ProgID="Word.Picture.8" ShapeID="_x0000_i1025" DrawAspect="Content" ObjectID="_1827342545" r:id="rId9"/>
                              </w:object>
                            </w:r>
                          </w:p>
                        </w:txbxContent>
                      </v:textbox>
                      <w10:wrap anchorx="page" anchory="page"/>
                    </v:shape>
                  </w:pict>
                </mc:Fallback>
              </mc:AlternateContent>
            </w:r>
          </w:p>
          <w:p w:rsidR="00211713" w:rsidRPr="00990C38" w:rsidRDefault="00211713">
            <w:pPr>
              <w:pStyle w:val="HuvudRubrikRad2"/>
            </w:pPr>
            <w:bookmarkStart w:id="17" w:name="BetänkandeNr"/>
            <w:bookmarkEnd w:id="17"/>
            <w:r w:rsidRPr="00990C38">
              <w:t>1999/2000:FöU6</w:t>
            </w:r>
          </w:p>
          <w:p w:rsidR="00211713" w:rsidRPr="00990C38" w:rsidRDefault="00211713">
            <w:pPr>
              <w:pStyle w:val="BetnkandeRubrik"/>
            </w:pPr>
            <w:bookmarkStart w:id="18" w:name="Huvudrubrik"/>
            <w:bookmarkEnd w:id="18"/>
            <w:r w:rsidRPr="00990C38">
              <w:t>Försvarsforskningens organisation</w:t>
            </w:r>
          </w:p>
        </w:tc>
        <w:tc>
          <w:tcPr>
            <w:tcW w:w="1559" w:type="dxa"/>
            <w:tcBorders>
              <w:bottom w:val="nil"/>
            </w:tcBorders>
          </w:tcPr>
          <w:p w:rsidR="00211713" w:rsidRPr="00990C38" w:rsidRDefault="00211713">
            <w:pPr>
              <w:spacing w:before="0" w:line="230" w:lineRule="auto"/>
              <w:rPr>
                <w:sz w:val="24"/>
              </w:rPr>
            </w:pPr>
          </w:p>
        </w:tc>
      </w:tr>
      <w:tr w:rsidR="00000000" w:rsidRPr="00990C38">
        <w:tblPrEx>
          <w:tblCellMar>
            <w:top w:w="0" w:type="dxa"/>
            <w:bottom w:w="0" w:type="dxa"/>
          </w:tblCellMar>
        </w:tblPrEx>
        <w:trPr>
          <w:cantSplit/>
          <w:trHeight w:hRule="exact" w:val="240"/>
        </w:trPr>
        <w:tc>
          <w:tcPr>
            <w:tcW w:w="6024" w:type="dxa"/>
            <w:gridSpan w:val="2"/>
            <w:vMerge/>
            <w:tcBorders>
              <w:top w:val="nil"/>
              <w:bottom w:val="nil"/>
            </w:tcBorders>
          </w:tcPr>
          <w:p w:rsidR="00211713" w:rsidRPr="00990C38" w:rsidRDefault="00211713">
            <w:pPr>
              <w:spacing w:before="40" w:after="900" w:line="280" w:lineRule="exact"/>
              <w:jc w:val="left"/>
              <w:rPr>
                <w:sz w:val="28"/>
              </w:rPr>
            </w:pPr>
          </w:p>
        </w:tc>
        <w:tc>
          <w:tcPr>
            <w:tcW w:w="1559" w:type="dxa"/>
          </w:tcPr>
          <w:p w:rsidR="00211713" w:rsidRPr="00990C38" w:rsidRDefault="00211713">
            <w:pPr>
              <w:pStyle w:val="rtal"/>
            </w:pPr>
            <w:r w:rsidRPr="00990C38">
              <w:t>1999/2000</w:t>
            </w:r>
          </w:p>
        </w:tc>
      </w:tr>
      <w:tr w:rsidR="00000000" w:rsidRPr="00990C38">
        <w:tblPrEx>
          <w:tblCellMar>
            <w:top w:w="0" w:type="dxa"/>
            <w:bottom w:w="0" w:type="dxa"/>
          </w:tblCellMar>
        </w:tblPrEx>
        <w:trPr>
          <w:cantSplit/>
          <w:trHeight w:val="560"/>
        </w:trPr>
        <w:tc>
          <w:tcPr>
            <w:tcW w:w="6024" w:type="dxa"/>
            <w:gridSpan w:val="2"/>
            <w:vMerge/>
            <w:tcBorders>
              <w:top w:val="nil"/>
              <w:bottom w:val="single" w:sz="6" w:space="0" w:color="auto"/>
            </w:tcBorders>
          </w:tcPr>
          <w:p w:rsidR="00211713" w:rsidRPr="00990C38" w:rsidRDefault="00211713">
            <w:pPr>
              <w:spacing w:before="40" w:after="900" w:line="280" w:lineRule="exact"/>
              <w:jc w:val="left"/>
              <w:rPr>
                <w:sz w:val="28"/>
              </w:rPr>
            </w:pPr>
          </w:p>
        </w:tc>
        <w:tc>
          <w:tcPr>
            <w:tcW w:w="1559" w:type="dxa"/>
            <w:tcBorders>
              <w:bottom w:val="single" w:sz="6" w:space="0" w:color="auto"/>
            </w:tcBorders>
          </w:tcPr>
          <w:p w:rsidR="00211713" w:rsidRPr="00990C38" w:rsidRDefault="00211713">
            <w:pPr>
              <w:pStyle w:val="rtal"/>
            </w:pPr>
            <w:r w:rsidRPr="00990C38">
              <w:t>FöU6</w:t>
            </w:r>
          </w:p>
        </w:tc>
      </w:tr>
      <w:tr w:rsidR="00000000" w:rsidRPr="00990C38">
        <w:tblPrEx>
          <w:tblCellMar>
            <w:top w:w="0" w:type="dxa"/>
            <w:bottom w:w="0" w:type="dxa"/>
          </w:tblCellMar>
        </w:tblPrEx>
        <w:trPr>
          <w:cantSplit/>
          <w:trHeight w:hRule="exact" w:val="660"/>
        </w:trPr>
        <w:tc>
          <w:tcPr>
            <w:tcW w:w="3012" w:type="dxa"/>
          </w:tcPr>
          <w:p w:rsidR="00211713" w:rsidRPr="00990C38" w:rsidRDefault="00211713">
            <w:pPr>
              <w:pStyle w:val="StatusSida1"/>
            </w:pPr>
          </w:p>
        </w:tc>
        <w:tc>
          <w:tcPr>
            <w:tcW w:w="3012" w:type="dxa"/>
          </w:tcPr>
          <w:p w:rsidR="00211713" w:rsidRPr="00990C38" w:rsidRDefault="00211713">
            <w:pPr>
              <w:pStyle w:val="UtskriftsdatumSida1"/>
              <w:rPr>
                <w:b/>
                <w:sz w:val="28"/>
              </w:rPr>
            </w:pPr>
          </w:p>
        </w:tc>
        <w:tc>
          <w:tcPr>
            <w:tcW w:w="1559" w:type="dxa"/>
          </w:tcPr>
          <w:p w:rsidR="00211713" w:rsidRPr="00990C38" w:rsidRDefault="00211713"/>
        </w:tc>
      </w:tr>
    </w:tbl>
    <w:p w:rsidR="00211713" w:rsidRPr="00990C38" w:rsidRDefault="00211713">
      <w:pPr>
        <w:pStyle w:val="Rubrik1"/>
        <w:spacing w:before="0"/>
      </w:pPr>
      <w:bookmarkStart w:id="19" w:name="_Toc479999394"/>
      <w:r w:rsidRPr="00990C38">
        <w:t>Sammanfattning</w:t>
      </w:r>
      <w:bookmarkEnd w:id="19"/>
    </w:p>
    <w:p w:rsidR="00211713" w:rsidRPr="00990C38" w:rsidRDefault="00211713">
      <w:r w:rsidRPr="00990C38">
        <w:t>Utskottet behandlar i betänkandet regeringens proposition 1999/2000:97 Vissa organisatoriska frågor inom Försvarsmakten, m.m. i de delar som rör försvarsforskningens organisation. Utskottet föreslår att riksdagen bifaller regeringens förslag till organisatoriska förändringar rörande försvarsfors</w:t>
      </w:r>
      <w:r w:rsidRPr="00990C38">
        <w:t>k</w:t>
      </w:r>
      <w:r w:rsidRPr="00990C38">
        <w:t>ningen.</w:t>
      </w:r>
    </w:p>
    <w:p w:rsidR="00211713" w:rsidRPr="00990C38" w:rsidRDefault="00211713">
      <w:pPr>
        <w:pStyle w:val="Normaltindrag"/>
      </w:pPr>
      <w:r w:rsidRPr="00990C38">
        <w:t>Inga motioner har väckts med anledning av propositionen i dessa delar.</w:t>
      </w:r>
    </w:p>
    <w:p w:rsidR="00211713" w:rsidRPr="00990C38" w:rsidRDefault="00211713">
      <w:pPr>
        <w:pStyle w:val="Rubrik1"/>
      </w:pPr>
      <w:bookmarkStart w:id="20" w:name="Textstart"/>
      <w:bookmarkStart w:id="21" w:name="_Toc479999395"/>
      <w:bookmarkEnd w:id="20"/>
      <w:r w:rsidRPr="00990C38">
        <w:t>Propositionen</w:t>
      </w:r>
      <w:bookmarkEnd w:id="21"/>
    </w:p>
    <w:p w:rsidR="00211713" w:rsidRPr="00990C38" w:rsidRDefault="00211713">
      <w:r w:rsidRPr="00990C38">
        <w:t>Regeringen yrkar i proposition 1999/2000:97 Vissa organisatoriska frågor inom Försvarsmakten, m.m.</w:t>
      </w:r>
    </w:p>
    <w:p w:rsidR="00211713" w:rsidRPr="00990C38" w:rsidRDefault="00211713">
      <w:pPr>
        <w:pStyle w:val="Normaltindrag"/>
      </w:pPr>
      <w:r w:rsidRPr="00990C38">
        <w:t>6. att riksdagen godkänner regeringens förslag att Försvarets forskningsa</w:t>
      </w:r>
      <w:r w:rsidRPr="00990C38">
        <w:t>n</w:t>
      </w:r>
      <w:r w:rsidRPr="00990C38">
        <w:t>stalt och Flygtekniska försöksanstalten skall läggas ned (avsnitt 4),</w:t>
      </w:r>
    </w:p>
    <w:p w:rsidR="00211713" w:rsidRPr="00990C38" w:rsidRDefault="00211713">
      <w:pPr>
        <w:pStyle w:val="Normaltindrag"/>
      </w:pPr>
      <w:r w:rsidRPr="00990C38">
        <w:t>7. att riksdagen godkänner regeringens förslag att en ny myndighet för fö</w:t>
      </w:r>
      <w:r w:rsidRPr="00990C38">
        <w:t>r</w:t>
      </w:r>
      <w:r w:rsidRPr="00990C38">
        <w:t>svarsforskning inrättas (avsnitt 4).</w:t>
      </w:r>
    </w:p>
    <w:p w:rsidR="00211713" w:rsidRPr="00990C38" w:rsidRDefault="00211713">
      <w:pPr>
        <w:pStyle w:val="Rubrik1"/>
      </w:pPr>
      <w:bookmarkStart w:id="22" w:name="_Toc479999396"/>
      <w:r w:rsidRPr="00990C38">
        <w:t>Utskottet</w:t>
      </w:r>
      <w:bookmarkEnd w:id="22"/>
    </w:p>
    <w:p w:rsidR="00211713" w:rsidRPr="00990C38" w:rsidRDefault="00211713">
      <w:pPr>
        <w:pStyle w:val="R2"/>
        <w:spacing w:before="123"/>
      </w:pPr>
      <w:r w:rsidRPr="00990C38">
        <w:t>Regeringen</w:t>
      </w:r>
    </w:p>
    <w:p w:rsidR="00211713" w:rsidRPr="00990C38" w:rsidRDefault="00211713">
      <w:r w:rsidRPr="00990C38">
        <w:t xml:space="preserve">Regeringen </w:t>
      </w:r>
      <w:r w:rsidRPr="00990C38">
        <w:rPr>
          <w:i/>
        </w:rPr>
        <w:t>föreslår</w:t>
      </w:r>
      <w:r w:rsidRPr="00990C38">
        <w:t xml:space="preserve"> att Försvarets forskningsanstalt och Flygtekniska fö</w:t>
      </w:r>
      <w:r w:rsidRPr="00990C38">
        <w:t>r</w:t>
      </w:r>
      <w:r w:rsidRPr="00990C38">
        <w:t xml:space="preserve">söksanstalten skall läggas ned den 31 december 2000. En ny myndighet för försvarsforskning skall inrättas den 1 januari 2001. Regeringen </w:t>
      </w:r>
      <w:r w:rsidRPr="00990C38">
        <w:rPr>
          <w:i/>
        </w:rPr>
        <w:t>bedömer</w:t>
      </w:r>
      <w:r w:rsidRPr="00990C38">
        <w:t xml:space="preserve"> att en organisationskommitté för den nya myndigheten bör inrättas omgående. </w:t>
      </w:r>
    </w:p>
    <w:p w:rsidR="00211713" w:rsidRPr="00990C38" w:rsidRDefault="00211713">
      <w:pPr>
        <w:pStyle w:val="Normaltindrag"/>
      </w:pPr>
      <w:r w:rsidRPr="00990C38">
        <w:t>Regeringen anför i propositionen, som skäl för sina förslag, att det framt</w:t>
      </w:r>
      <w:r w:rsidRPr="00990C38">
        <w:t>i</w:t>
      </w:r>
      <w:r w:rsidRPr="00990C38">
        <w:t>da totalförsvarets behov av forskning och teknikutveckling främst kan tillg</w:t>
      </w:r>
      <w:r w:rsidRPr="00990C38">
        <w:t>o</w:t>
      </w:r>
      <w:r w:rsidRPr="00990C38">
        <w:t>doses genom en organisation med förmåga dels att överföra kunskap inom nationell och internationell forskning och utveckling till totalförsvarets b</w:t>
      </w:r>
      <w:r w:rsidRPr="00990C38">
        <w:t>e</w:t>
      </w:r>
      <w:r w:rsidRPr="00990C38">
        <w:t>hov, dels att inom smalare nischer besitta egen spetskompetens. Totalförsv</w:t>
      </w:r>
      <w:r w:rsidRPr="00990C38">
        <w:t>a</w:t>
      </w:r>
      <w:r w:rsidRPr="00990C38">
        <w:t>rets båda forskningsorganisationer har för detta ändamål samma roll. De måste kunna repliera på varandras kompetenser och i gemensamma projekt presentera nya tekniska lösningar där särskilda kompetensområden i hö</w:t>
      </w:r>
      <w:r w:rsidRPr="00990C38">
        <w:t xml:space="preserve">gre grad än vad som varit fallet tidigare är inbördes beroende. </w:t>
      </w:r>
    </w:p>
    <w:p w:rsidR="00211713" w:rsidRPr="00990C38" w:rsidRDefault="00211713">
      <w:pPr>
        <w:pStyle w:val="Normaltindrag"/>
      </w:pPr>
      <w:r w:rsidRPr="00990C38">
        <w:lastRenderedPageBreak/>
        <w:t>Totalförsvarets möjlighet att tillgodogöra sig forskningskunskap och o</w:t>
      </w:r>
      <w:r w:rsidRPr="00990C38">
        <w:t>m</w:t>
      </w:r>
      <w:r w:rsidRPr="00990C38">
        <w:t>vandla den till praktiska tillämpningar utgör en viktig grund i förmågan till anpassning.</w:t>
      </w:r>
    </w:p>
    <w:p w:rsidR="00211713" w:rsidRPr="00990C38" w:rsidRDefault="00211713">
      <w:pPr>
        <w:pStyle w:val="Normaltindrag"/>
      </w:pPr>
      <w:r w:rsidRPr="00990C38">
        <w:t>Regeringen anför också att i framtiden får vapenbärande plattformar rel</w:t>
      </w:r>
      <w:r w:rsidRPr="00990C38">
        <w:t>a</w:t>
      </w:r>
      <w:r w:rsidRPr="00990C38">
        <w:t>tivt sett mindre betydelse medan betydelsen av systemtänkande och ledning</w:t>
      </w:r>
      <w:r w:rsidRPr="00990C38">
        <w:t>s</w:t>
      </w:r>
      <w:r w:rsidRPr="00990C38">
        <w:t xml:space="preserve">förmåga ökar. I framtiden kommer kravet på anpassning att medföra krav på ett flertal alternativa tekniska lösningar för olika taktiska och strategiska behov. De nya förhållandena ställer nya krav på upphandlingsförmåga, sy-stemkompetens och adaptivitet i nära anslutning till den forskning som kan se de nya möjligheterna och som förstår kraven. Denna forskningskompetens skall kunna överbrygga en rad olika forskningsområden för att i </w:t>
      </w:r>
      <w:r w:rsidRPr="00990C38">
        <w:t>tvärvete</w:t>
      </w:r>
      <w:r w:rsidRPr="00990C38">
        <w:t>n</w:t>
      </w:r>
      <w:r w:rsidRPr="00990C38">
        <w:t>skapliga projekt lyfta fram försvarsspecifika och flexibla lösningar. Synerg</w:t>
      </w:r>
      <w:r w:rsidRPr="00990C38">
        <w:t>i</w:t>
      </w:r>
      <w:r w:rsidRPr="00990C38">
        <w:t>er kan vinnas inom systeminriktade områden som kräver kompetenser från ett brett spektrum av discipliner. Ett område som berörs av detta är exempe</w:t>
      </w:r>
      <w:r w:rsidRPr="00990C38">
        <w:t>l</w:t>
      </w:r>
      <w:r w:rsidRPr="00990C38">
        <w:t xml:space="preserve">vis obemannade farkoster där kompetensområden som i dag är uppdelade mellan Försvarets forskningsanstalt och Flygtekniska försöksanstalten såsom telekrigsteknik, människa–systeminteraktion och aerodynamik är inbördes beroende. </w:t>
      </w:r>
    </w:p>
    <w:p w:rsidR="00211713" w:rsidRPr="00990C38" w:rsidRDefault="00211713">
      <w:pPr>
        <w:pStyle w:val="Normaltindrag"/>
      </w:pPr>
      <w:r w:rsidRPr="00990C38">
        <w:t>I propositionen anförs vidare att regeringen i huvu</w:t>
      </w:r>
      <w:r w:rsidRPr="00990C38">
        <w:t>dsak delar utredarens bedömning att myndigheterna inom några förhållandevis begränsade omr</w:t>
      </w:r>
      <w:r w:rsidRPr="00990C38">
        <w:t>å</w:t>
      </w:r>
      <w:r w:rsidRPr="00990C38">
        <w:t>den har likartade kompetenser men att synergieffekter kan uppkomma på längre sikt. Regeringen bedömer dock att de viktigaste synergieffekterna på längre sikt ligger i att skapa förutsättningar att driva tvärvetenskapliga och systemövergripande projekt samt att vissa rationaliseringsvinster kan uppnås redan i närtid.</w:t>
      </w:r>
    </w:p>
    <w:p w:rsidR="00211713" w:rsidRPr="00990C38" w:rsidRDefault="00211713">
      <w:pPr>
        <w:pStyle w:val="Normaltindrag"/>
      </w:pPr>
      <w:r w:rsidRPr="00990C38">
        <w:t>De generella synergieffekterna av en sammanslagning av Försvarets fors</w:t>
      </w:r>
      <w:r w:rsidRPr="00990C38">
        <w:t>k</w:t>
      </w:r>
      <w:r w:rsidRPr="00990C38">
        <w:t>ningsanstalt och Flygtekniska försöksanstalten som regeringen pekar på är bl.a. en effektivare och mer komplett myndighet avseende försvarsinriktad forskning och utveckling, bättre förutsättningar att leda forskning och att utveckla forskningskompetens för tvärvetenskapliga projekt på övergripande systemnivåer, ett utvidgat gemensamt internationellt kontaktnät samt att kompetensgrupper och kompetensområden inom en sammanslagen myndi</w:t>
      </w:r>
      <w:r w:rsidRPr="00990C38">
        <w:t>g</w:t>
      </w:r>
      <w:r w:rsidRPr="00990C38">
        <w:t>het har större mö</w:t>
      </w:r>
      <w:r w:rsidRPr="00990C38">
        <w:t>j</w:t>
      </w:r>
      <w:r w:rsidRPr="00990C38">
        <w:t>lighet att uppnå tillräcklig volym.</w:t>
      </w:r>
    </w:p>
    <w:p w:rsidR="00211713" w:rsidRPr="00990C38" w:rsidRDefault="00211713">
      <w:pPr>
        <w:pStyle w:val="Normaltindrag"/>
      </w:pPr>
      <w:r w:rsidRPr="00990C38">
        <w:t>Sammanfattningsvis b</w:t>
      </w:r>
      <w:r w:rsidRPr="00990C38">
        <w:t>edömer regeringen att en sammanslagning av de b</w:t>
      </w:r>
      <w:r w:rsidRPr="00990C38">
        <w:t>å</w:t>
      </w:r>
      <w:r w:rsidRPr="00990C38">
        <w:t>da myndigheterna skapar organisatoriska förutsättningar och väsentligt fö</w:t>
      </w:r>
      <w:r w:rsidRPr="00990C38">
        <w:t>r</w:t>
      </w:r>
      <w:r w:rsidRPr="00990C38">
        <w:t>bättrar förmågan att möta försvarets framtida behov av forskning och tekn</w:t>
      </w:r>
      <w:r w:rsidRPr="00990C38">
        <w:t>i</w:t>
      </w:r>
      <w:r w:rsidRPr="00990C38">
        <w:t>k-utveckling. Sammanslagningen bör ske genom att de båda myndigheterna läggs ned och att en ny myndighet inrättas. Regeringen bör besluta om den nya my</w:t>
      </w:r>
      <w:r w:rsidRPr="00990C38">
        <w:t>n</w:t>
      </w:r>
      <w:r w:rsidRPr="00990C38">
        <w:t xml:space="preserve">dighetens namn. </w:t>
      </w:r>
    </w:p>
    <w:p w:rsidR="00211713" w:rsidRPr="00990C38" w:rsidRDefault="00211713">
      <w:pPr>
        <w:pStyle w:val="Normaltindrag"/>
      </w:pPr>
      <w:r w:rsidRPr="00990C38">
        <w:t>Slutligen bedömer regeringen att en organisationskommitté för den nya myndigheten bör inrättas omgående.</w:t>
      </w:r>
    </w:p>
    <w:p w:rsidR="00211713" w:rsidRPr="00990C38" w:rsidRDefault="00211713">
      <w:pPr>
        <w:pStyle w:val="Normaltindrag"/>
      </w:pPr>
    </w:p>
    <w:p w:rsidR="00211713" w:rsidRPr="00990C38" w:rsidRDefault="00211713">
      <w:pPr>
        <w:pStyle w:val="R2"/>
        <w:spacing w:before="123"/>
      </w:pPr>
      <w:r w:rsidRPr="00990C38">
        <w:t>Utskottet</w:t>
      </w:r>
    </w:p>
    <w:p w:rsidR="00211713" w:rsidRPr="00990C38" w:rsidRDefault="00211713">
      <w:r w:rsidRPr="00990C38">
        <w:t>Utskottet har inget att invända mot regeringens förslag till organisatoriska förändringar för försvarsforskningen. Således föreslår utskottet att riksdagen bifaller regeringens förslag att Försvarets forskningsanstalt och Flygtekniska försöksanstalten läggs ned den 31 december 2000 och att en ny myndighet för försvarsfors</w:t>
      </w:r>
      <w:r w:rsidRPr="00990C38">
        <w:t>k</w:t>
      </w:r>
      <w:r w:rsidRPr="00990C38">
        <w:t>ningen inrättas den 1 januari 2001.</w:t>
      </w:r>
    </w:p>
    <w:p w:rsidR="00211713" w:rsidRPr="00990C38" w:rsidRDefault="00211713">
      <w:pPr>
        <w:pStyle w:val="Rubrik2"/>
      </w:pPr>
      <w:bookmarkStart w:id="23" w:name="_Toc479999397"/>
      <w:r w:rsidRPr="00990C38">
        <w:t>Hemställan</w:t>
      </w:r>
      <w:bookmarkEnd w:id="23"/>
    </w:p>
    <w:p w:rsidR="00211713" w:rsidRPr="00990C38" w:rsidRDefault="00211713">
      <w:r w:rsidRPr="00990C38">
        <w:t>Utskottet hemställer</w:t>
      </w:r>
    </w:p>
    <w:p w:rsidR="00211713" w:rsidRPr="00990C38" w:rsidRDefault="00211713">
      <w:pPr>
        <w:pStyle w:val="hembetr"/>
      </w:pPr>
      <w:r w:rsidRPr="00990C38">
        <w:t xml:space="preserve">1. beträffande </w:t>
      </w:r>
      <w:r w:rsidRPr="00990C38">
        <w:rPr>
          <w:i/>
        </w:rPr>
        <w:t>försvarsforskningens myndigheter</w:t>
      </w:r>
      <w:r w:rsidRPr="00990C38">
        <w:t xml:space="preserve"> </w:t>
      </w:r>
    </w:p>
    <w:p w:rsidR="00211713" w:rsidRPr="00990C38" w:rsidRDefault="00211713">
      <w:pPr>
        <w:pStyle w:val="hemtext"/>
      </w:pPr>
      <w:r w:rsidRPr="00990C38">
        <w:t>att riksdagen godkänner regeringens förslag att Försvarets forskning</w:t>
      </w:r>
      <w:r w:rsidRPr="00990C38">
        <w:t>s</w:t>
      </w:r>
      <w:r w:rsidRPr="00990C38">
        <w:t>a</w:t>
      </w:r>
      <w:r w:rsidRPr="00990C38">
        <w:t>n</w:t>
      </w:r>
      <w:r w:rsidRPr="00990C38">
        <w:t xml:space="preserve">stalt och Flygtekniska försöksanstalten skall läggas ned, </w:t>
      </w:r>
    </w:p>
    <w:p w:rsidR="00211713" w:rsidRPr="00990C38" w:rsidRDefault="00211713">
      <w:pPr>
        <w:pStyle w:val="hembetr"/>
      </w:pPr>
      <w:r w:rsidRPr="00990C38">
        <w:t xml:space="preserve">2. beträffande </w:t>
      </w:r>
      <w:r w:rsidRPr="00990C38">
        <w:rPr>
          <w:i/>
        </w:rPr>
        <w:t>ny myndighet för försvarsforskningen</w:t>
      </w:r>
    </w:p>
    <w:p w:rsidR="00211713" w:rsidRPr="00990C38" w:rsidRDefault="00211713">
      <w:pPr>
        <w:pStyle w:val="hemtext"/>
      </w:pPr>
      <w:r w:rsidRPr="00990C38">
        <w:t>att riksdagen godkänner regeringens förslag att en ny myndighet för fö</w:t>
      </w:r>
      <w:r w:rsidRPr="00990C38">
        <w:t>r</w:t>
      </w:r>
      <w:r w:rsidRPr="00990C38">
        <w:t>svarsforskning inrättas.</w:t>
      </w:r>
    </w:p>
    <w:p w:rsidR="00211713" w:rsidRPr="00990C38" w:rsidRDefault="00211713">
      <w:pPr>
        <w:pStyle w:val="hemtext"/>
      </w:pPr>
    </w:p>
    <w:p w:rsidR="00211713" w:rsidRPr="00990C38" w:rsidRDefault="00211713">
      <w:pPr>
        <w:pStyle w:val="Normaltindrag"/>
      </w:pPr>
      <w:bookmarkStart w:id="24" w:name="Nästa_Hpunkt"/>
      <w:bookmarkEnd w:id="24"/>
    </w:p>
    <w:p w:rsidR="00211713" w:rsidRPr="00990C38" w:rsidRDefault="00211713">
      <w:pPr>
        <w:pStyle w:val="Normaltindrag"/>
      </w:pPr>
    </w:p>
    <w:p w:rsidR="00211713" w:rsidRPr="00990C38" w:rsidRDefault="00211713">
      <w:pPr>
        <w:pStyle w:val="Stockholm"/>
      </w:pPr>
      <w:r w:rsidRPr="00990C38">
        <w:t xml:space="preserve">Stockholm den 25 april 2000 </w:t>
      </w:r>
    </w:p>
    <w:p w:rsidR="00211713" w:rsidRPr="00990C38" w:rsidRDefault="00211713">
      <w:pPr>
        <w:pStyle w:val="Vgnar"/>
      </w:pPr>
      <w:r w:rsidRPr="00990C38">
        <w:t>På försvarsutskottets vägnar</w:t>
      </w:r>
    </w:p>
    <w:p w:rsidR="00211713" w:rsidRPr="00990C38" w:rsidRDefault="00211713">
      <w:pPr>
        <w:pStyle w:val="Ordfnamn"/>
      </w:pPr>
      <w:bookmarkStart w:id="25" w:name="Ordförande"/>
      <w:bookmarkEnd w:id="25"/>
      <w:r w:rsidRPr="00990C38">
        <w:t xml:space="preserve">Henrik Landerholm </w:t>
      </w:r>
    </w:p>
    <w:p w:rsidR="00211713" w:rsidRPr="00990C38" w:rsidRDefault="00211713">
      <w:pPr>
        <w:pStyle w:val="Deltagare"/>
      </w:pPr>
      <w:bookmarkStart w:id="26" w:name="Deltagare"/>
      <w:bookmarkEnd w:id="26"/>
      <w:r w:rsidRPr="00990C38">
        <w:t>I beslutet har deltagit: Henrik Landerholm (m), Christer Skoog (s), Karin Wegestål (s), Stig Sandström (v), Åke Carnerö (kd), Rolf Gunnarsson (m), Ola Rask (s), Håkan Juholt (s), Berit Jóhannesson (v), Margareta Viklund (kd), Lars Ångström (mp), Erik Arthur Egervärn (c), Runar Patriksson (fp), Laila Bäck (s), Amanda Agestav (kd) och Lars Lindblad (m).</w:t>
      </w:r>
    </w:p>
    <w:p w:rsidR="00211713" w:rsidRPr="00990C38" w:rsidRDefault="00211713">
      <w:pPr>
        <w:pStyle w:val="Normaltindrag"/>
      </w:pPr>
    </w:p>
    <w:p w:rsidR="00211713" w:rsidRPr="00990C38" w:rsidRDefault="00211713"/>
    <w:p w:rsidR="00211713" w:rsidRPr="00990C38" w:rsidRDefault="00211713">
      <w:pPr>
        <w:pStyle w:val="Tryckort"/>
        <w:framePr w:wrap="around"/>
      </w:pPr>
      <w:r w:rsidRPr="00990C38">
        <w:t>Elanders Gotab, Stockholm  2000</w:t>
      </w:r>
    </w:p>
    <w:p w:rsidR="00211713" w:rsidRPr="00990C38" w:rsidRDefault="00211713">
      <w:pPr>
        <w:pStyle w:val="Normaltindrag"/>
      </w:pPr>
    </w:p>
    <w:sectPr w:rsidR="00211713" w:rsidRPr="00990C38">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713" w:rsidRPr="00990C38" w:rsidRDefault="00211713">
      <w:pPr>
        <w:spacing w:before="0" w:line="240" w:lineRule="auto"/>
      </w:pPr>
      <w:r w:rsidRPr="00990C38">
        <w:separator/>
      </w:r>
    </w:p>
  </w:endnote>
  <w:endnote w:type="continuationSeparator" w:id="0">
    <w:p w:rsidR="00211713" w:rsidRPr="00990C38" w:rsidRDefault="00211713">
      <w:pPr>
        <w:spacing w:before="0" w:line="240" w:lineRule="auto"/>
      </w:pPr>
      <w:r w:rsidRPr="00990C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13" w:rsidRPr="00990C38" w:rsidRDefault="00211713">
    <w:pPr>
      <w:pStyle w:val="SidfotH"/>
      <w:framePr w:wrap="around"/>
    </w:pPr>
    <w:r w:rsidRPr="00990C38">
      <w:fldChar w:fldCharType="begin" w:fldLock="1"/>
    </w:r>
    <w:r w:rsidRPr="00990C38">
      <w:instrText xml:space="preserve"> PAGE </w:instrText>
    </w:r>
    <w:r w:rsidRPr="00990C38">
      <w:fldChar w:fldCharType="separate"/>
    </w:r>
    <w:r w:rsidRPr="00990C38">
      <w:t>1</w:t>
    </w:r>
    <w:r w:rsidRPr="00990C38">
      <w:fldChar w:fldCharType="end"/>
    </w:r>
  </w:p>
  <w:p w:rsidR="00211713" w:rsidRPr="00990C38" w:rsidRDefault="002117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713" w:rsidRPr="00990C38" w:rsidRDefault="00211713">
      <w:pPr>
        <w:pStyle w:val="Sidfot"/>
      </w:pPr>
    </w:p>
  </w:footnote>
  <w:footnote w:type="continuationSeparator" w:id="0">
    <w:p w:rsidR="00211713" w:rsidRPr="00990C38" w:rsidRDefault="00211713">
      <w:pPr>
        <w:spacing w:before="0" w:line="240" w:lineRule="auto"/>
      </w:pPr>
      <w:r w:rsidRPr="00990C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13" w:rsidRPr="00990C38" w:rsidRDefault="00211713">
    <w:pPr>
      <w:pStyle w:val="SidhuvudKant"/>
      <w:framePr w:w="1758" w:h="2744" w:hRule="exact" w:wrap="around" w:vAnchor="page" w:hAnchor="page" w:x="7372" w:y="568" w:anchorLock="0"/>
    </w:pPr>
  </w:p>
  <w:p w:rsidR="00211713" w:rsidRPr="00990C38" w:rsidRDefault="002117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551"/>
    <w:multiLevelType w:val="singleLevel"/>
    <w:tmpl w:val="994A2AA6"/>
    <w:lvl w:ilvl="0">
      <w:start w:val="1"/>
      <w:numFmt w:val="decimal"/>
      <w:lvlText w:val="%1."/>
      <w:lvlJc w:val="left"/>
      <w:pPr>
        <w:tabs>
          <w:tab w:val="num" w:pos="1040"/>
        </w:tabs>
        <w:ind w:left="1040" w:hanging="360"/>
      </w:pPr>
      <w:rPr>
        <w:rFonts w:hint="default"/>
        <w:i w:val="0"/>
      </w:rPr>
    </w:lvl>
  </w:abstractNum>
  <w:abstractNum w:abstractNumId="1" w15:restartNumberingAfterBreak="0">
    <w:nsid w:val="6D6042B3"/>
    <w:multiLevelType w:val="singleLevel"/>
    <w:tmpl w:val="FF5AD626"/>
    <w:lvl w:ilvl="0">
      <w:start w:val="1"/>
      <w:numFmt w:val="decimal"/>
      <w:lvlText w:val="%1."/>
      <w:lvlJc w:val="left"/>
      <w:pPr>
        <w:tabs>
          <w:tab w:val="num" w:pos="1040"/>
        </w:tabs>
        <w:ind w:left="1040" w:hanging="360"/>
      </w:pPr>
      <w:rPr>
        <w:rFonts w:hint="default"/>
        <w:i w:val="0"/>
      </w:rPr>
    </w:lvl>
  </w:abstractNum>
  <w:num w:numId="1" w16cid:durableId="470488290">
    <w:abstractNumId w:val="1"/>
  </w:num>
  <w:num w:numId="2" w16cid:durableId="138294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164D22"/>
    <w:rsid w:val="00164D22"/>
    <w:rsid w:val="00211713"/>
    <w:rsid w:val="00990C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83DE1-78BF-461D-AAC2-5A02241C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5026</Characters>
  <Application>Microsoft Office Word</Application>
  <DocSecurity>4</DocSecurity>
  <Lines>111</Lines>
  <Paragraphs>40</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Försvarsutskottets betänkande</vt:lpstr>
      <vt:lpstr>Sammanfattning</vt:lpstr>
      <vt:lpstr>Propositionen</vt:lpstr>
      <vt:lpstr>Utskottet</vt:lpstr>
      <vt:lpstr>    Hemställan</vt:lpstr>
    </vt:vector>
  </TitlesOfParts>
  <Company>Riksdagen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2000-04-28T09:13:00Z</cp:lastPrinted>
  <dcterms:created xsi:type="dcterms:W3CDTF">2025-12-15T21:16:00Z</dcterms:created>
  <dcterms:modified xsi:type="dcterms:W3CDTF">2025-12-15T21:16:00Z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