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19227DDF9E4470880F9B0F06EDD503"/>
        </w:placeholder>
        <w:text/>
      </w:sdtPr>
      <w:sdtEndPr/>
      <w:sdtContent>
        <w:p w:rsidRPr="009B062B" w:rsidR="00AF30DD" w:rsidP="00DA28CE" w:rsidRDefault="00AF30DD" w14:paraId="1FE1F076" w14:textId="77777777">
          <w:pPr>
            <w:pStyle w:val="Rubrik1"/>
            <w:spacing w:after="300"/>
          </w:pPr>
          <w:r w:rsidRPr="009B062B">
            <w:t>Förslag till riksdagsbeslut</w:t>
          </w:r>
        </w:p>
      </w:sdtContent>
    </w:sdt>
    <w:sdt>
      <w:sdtPr>
        <w:alias w:val="Yrkande 1"/>
        <w:tag w:val="10f36b09-7b3e-462a-bc60-0e38b672b659"/>
        <w:id w:val="-872916126"/>
        <w:lock w:val="sdtLocked"/>
      </w:sdtPr>
      <w:sdtEndPr/>
      <w:sdtContent>
        <w:p w:rsidR="00D262C7" w:rsidRDefault="00316003" w14:paraId="446EB404" w14:textId="77777777">
          <w:pPr>
            <w:pStyle w:val="Frslagstext"/>
            <w:numPr>
              <w:ilvl w:val="0"/>
              <w:numId w:val="0"/>
            </w:numPr>
          </w:pPr>
          <w:r>
            <w:t>Riksdagen anvisar anslagen för 2019 inom utgiftsområde 19 Regional tillväxt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53C4AC3811A40AE904AAC8D0064FEB1"/>
        </w:placeholder>
        <w:text/>
      </w:sdtPr>
      <w:sdtEndPr/>
      <w:sdtContent>
        <w:p w:rsidRPr="000D0E47" w:rsidR="006D79C9" w:rsidP="00333E95" w:rsidRDefault="006D79C9" w14:paraId="092B20DE" w14:textId="77777777">
          <w:pPr>
            <w:pStyle w:val="Rubrik1"/>
          </w:pPr>
          <w:r>
            <w:t>Motivering</w:t>
          </w:r>
        </w:p>
      </w:sdtContent>
    </w:sdt>
    <w:p w:rsidRPr="000D0E47" w:rsidR="00F24715" w:rsidP="00F24715" w:rsidRDefault="00F24715" w14:paraId="569890EE" w14:textId="77777777">
      <w:pPr>
        <w:pStyle w:val="Normalutanindragellerluft"/>
      </w:pPr>
      <w:r w:rsidRPr="000D0E47">
        <w:t>Utgångspunkten för oss liberaler är värnandet om människors makt över sin egen situation och möjlighet att skapa sin egen framtid. En liberal politik för regional tillväxt strävar efter att skapa förutsättningar för dem som vill bo och arbeta på landsbygden eller i mindre tätort att göra det. Vi ska ta vara på de unika förutsättningar för individers utvecklingskraft och företags konkurrenskraft som finns i olika delar av vårt land.</w:t>
      </w:r>
    </w:p>
    <w:p w:rsidRPr="000D0E47" w:rsidR="00F24715" w:rsidP="00F24715" w:rsidRDefault="00F24715" w14:paraId="35FCE1B7" w14:textId="77777777">
      <w:r w:rsidRPr="000D0E47">
        <w:t>För att möjliggöra service på landsbygden ser vi gärna flexibla lösningar och samarbeten mellan olika aktörer och anser att det finns behov av visst statligt stöd.</w:t>
      </w:r>
    </w:p>
    <w:p w:rsidRPr="000D0E47" w:rsidR="00F24715" w:rsidP="00F24715" w:rsidRDefault="00F24715" w14:paraId="416BE87F" w14:textId="5E920467">
      <w:r w:rsidRPr="000D0E47">
        <w:t xml:space="preserve">Hela Sveriges utvecklingskraft, tillväxtpotential och sysselsättningsmöjligheter ska tas till vara. De generella insatserna på nationell nivå för </w:t>
      </w:r>
      <w:r w:rsidRPr="000D0E47">
        <w:lastRenderedPageBreak/>
        <w:t>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w:t>
      </w:r>
      <w:r w:rsidR="00F060C4">
        <w:softHyphen/>
      </w:r>
      <w:r w:rsidRPr="000D0E47">
        <w:t>möjligheter.</w:t>
      </w:r>
    </w:p>
    <w:p w:rsidRPr="000D0E47" w:rsidR="00F24715" w:rsidP="00F24715" w:rsidRDefault="00F24715" w14:paraId="63C320C2" w14:textId="77777777">
      <w:r w:rsidRPr="000D0E47">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w:t>
      </w:r>
    </w:p>
    <w:p w:rsidRPr="000D0E47" w:rsidR="00F24715" w:rsidP="00F24715" w:rsidRDefault="00F24715" w14:paraId="4FCC9D66" w14:textId="0DF2F610">
      <w:r w:rsidRPr="000D0E47">
        <w:t xml:space="preserve">De tre storstadsregionerna växer snabbast liksom regionstäderna medan de flesta av landets kommuner har dränerats på befolkning och arbetstillfällen när företag flyttat eller lagts ner. Det har lett till ökade bördor samtidigt som den offentliga och privata servicen har försämrats. Värst har det varit för kommunerna i Bergslagen, Värmland, inre Norrland och östra Småland som i flera fall blivit avfolkningsbygder. I och med de senaste </w:t>
      </w:r>
      <w:r w:rsidRPr="000D0E47">
        <w:lastRenderedPageBreak/>
        <w:t>årens befolkningsökning, inte minst på grund av det ökade antalet utrikes född</w:t>
      </w:r>
      <w:r w:rsidR="00F060C4">
        <w:t>a, håller detta på att förändra</w:t>
      </w:r>
      <w:r w:rsidRPr="000D0E47">
        <w:t>s. Om man titta</w:t>
      </w:r>
      <w:r w:rsidR="00F060C4">
        <w:t>r på befolkningsutvecklingen de</w:t>
      </w:r>
      <w:r w:rsidRPr="000D0E47">
        <w:t xml:space="preserve"> senaste åren kan de flesta svenska kommuner glädjas över fler invånare. Ökningen har varit särskilt tydlig i norra Sverige. De nyanlända i Sverige är ett positivt lyft för de mindre service</w:t>
      </w:r>
      <w:r w:rsidR="00F060C4">
        <w:t>-</w:t>
      </w:r>
      <w:r w:rsidRPr="000D0E47">
        <w:t>företagen i hela Sverige på ett nytt sätt som få statliga stödpaket eller regionala utveck</w:t>
      </w:r>
      <w:r w:rsidR="00F060C4">
        <w:softHyphen/>
      </w:r>
      <w:r w:rsidRPr="000D0E47">
        <w:t>lingsfonder kan konkurrera med.</w:t>
      </w:r>
    </w:p>
    <w:p w:rsidRPr="000D0E47" w:rsidR="00F24715" w:rsidP="00F24715" w:rsidRDefault="00F24715" w14:paraId="77BF339C" w14:textId="691E9DAA">
      <w:r w:rsidRPr="000D0E47">
        <w:t>Sverige behöver en företagsvänlig politik och det uppnås inte genom höjda skatter på jobb och företagande. I stället behövs regelförenklingar och ett företagsvänligt klimat. Tillgång till bra mobiltelefoni och goda uppkopplingsmöjligheter blir allt viktigare. Sverige behöver bra mobila och digitala kommunikationer med god geogra</w:t>
      </w:r>
      <w:r w:rsidR="00F060C4">
        <w:softHyphen/>
      </w:r>
      <w:r w:rsidRPr="000D0E47">
        <w:t>fisk täckning och som har en tillräcklig kapacitet när allt fler använder mobil och digital teknik. Liberalerna bidrog i alliansregeringen 2006</w:t>
      </w:r>
      <w:r w:rsidR="00F060C4">
        <w:t>–</w:t>
      </w:r>
      <w:r w:rsidRPr="000D0E47">
        <w:t>2014 till en lång rad åtgärder för att förbättra mobiltäckningen, som reformerad lagstiftning, förbättrad information och starkare konsumentlagstiftning.</w:t>
      </w:r>
    </w:p>
    <w:p w:rsidRPr="000D0E47" w:rsidR="00F24715" w:rsidP="00F24715" w:rsidRDefault="00F24715" w14:paraId="7D2BD48A" w14:textId="09470EA7">
      <w:r w:rsidRPr="000D0E47">
        <w:t xml:space="preserve">Sverige ska ha en bredbandsuppkoppling i världsklass. Bredbandet är i dag en lika viktig del i infrastrukturen som el- och vägnäten. En god digital uppkoppling är viktigt för såväl privatpersoner som företag och oerhört viktigt för regional tillväxt. Hela landet måste få bättre it-kapacitet och </w:t>
      </w:r>
      <w:r w:rsidRPr="000D0E47">
        <w:lastRenderedPageBreak/>
        <w:t>statens uppgift bör vara att skapa förutsättningar genom att undanröja hinder för utvecklingen, men även att stötta där lönsamheten för utbygg</w:t>
      </w:r>
      <w:r w:rsidR="00F060C4">
        <w:softHyphen/>
      </w:r>
      <w:r w:rsidRPr="000D0E47">
        <w:t>nad är bristfällig. Det är viktigt att telefonnätets kopparledningar bibehålls och inte nedmonteras innan det finns fullgoda digitala alternativ. Liberalerna vill se en snabbare utbyggnad av bredband och anslår därför ytterligare 100 miljoner kronor för 2019 i förhållande till regeringen, vilket beskrivs närmare under utgiftsområde 23.</w:t>
      </w:r>
    </w:p>
    <w:p w:rsidRPr="000D0E47" w:rsidR="00F24715" w:rsidP="00F24715" w:rsidRDefault="00F24715" w14:paraId="1585AF7E" w14:textId="744281B3">
      <w:r w:rsidRPr="000D0E47">
        <w:t>Det är fort</w:t>
      </w:r>
      <w:r w:rsidR="00F060C4">
        <w:t>satt viktigt med god tillgång till</w:t>
      </w:r>
      <w:r w:rsidRPr="000D0E47">
        <w:t xml:space="preserve"> posttjänster och digital infrastruktur för att människor ska kunna bo och verka i hela landet. Även om företag är internetbaserade kommer de inte ifrån att de måste använda posttjänster för att leverera och frakta varor. Det är därför viktigt för företagen att det finns väl fungerande posttjänster i Sverige där en regelbunden utdelning är en central del i verksamheten.</w:t>
      </w:r>
    </w:p>
    <w:p w:rsidRPr="000D0E47" w:rsidR="00F24715" w:rsidP="00F24715" w:rsidRDefault="00F24715" w14:paraId="44AA23E7" w14:textId="45A474CB">
      <w:r w:rsidRPr="000D0E47">
        <w:t xml:space="preserve">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Regeringen har aviserat att de vill flytta flera myndigheters huvudkontor från Stockholm. I vissa </w:t>
      </w:r>
      <w:r w:rsidRPr="000D0E47">
        <w:lastRenderedPageBreak/>
        <w:t>fall kan det finnas goda skäl till detta o</w:t>
      </w:r>
      <w:r w:rsidR="00F060C4">
        <w:t>m det sker på ett sådant sätt</w:t>
      </w:r>
      <w:r w:rsidRPr="000D0E47">
        <w:t xml:space="preserve"> att verksamheten kan bedrivas med fortsatt hög kvalitet. Än viktigare är dock att statens service till med</w:t>
      </w:r>
      <w:r w:rsidR="00F060C4">
        <w:softHyphen/>
      </w:r>
      <w:r w:rsidRPr="000D0E47">
        <w:t>borgarna som successivt har försvunnit frå</w:t>
      </w:r>
      <w:r w:rsidR="00F060C4">
        <w:t>n stora delar av landet, t.ex. p</w:t>
      </w:r>
      <w:r w:rsidRPr="000D0E47">
        <w:t>olisen, Arbets</w:t>
      </w:r>
      <w:r w:rsidR="00F060C4">
        <w:softHyphen/>
      </w:r>
      <w:r w:rsidRPr="000D0E47">
        <w:t>förmedlingen och Migrationsverket</w:t>
      </w:r>
      <w:r w:rsidR="00F060C4">
        <w:t>,</w:t>
      </w:r>
      <w:r w:rsidRPr="000D0E47">
        <w:t xml:space="preserve"> upprätthålls.</w:t>
      </w:r>
    </w:p>
    <w:p w:rsidRPr="00F060C4" w:rsidR="00F24715" w:rsidP="00F24715" w:rsidRDefault="00F24715" w14:paraId="4E30386C" w14:textId="57BBB32A">
      <w:r w:rsidRPr="000D0E47">
        <w:t>Sedan tidigare har anslagen byggts ut för regional matchningsfunktion, stöd till kommersiell service i glesbygd och stöd till socioekonomiskt eftersatta kommuner och områden. Liberalerna har avvisat dessa anslagsökningar då vi tror att generella åtgärder i form av sänkt skatt på arbete och företagande, regelförenklingar och ett gott företags</w:t>
      </w:r>
      <w:r w:rsidR="00F060C4">
        <w:softHyphen/>
      </w:r>
      <w:r w:rsidRPr="000D0E47">
        <w:t>vänligt klimat vore bättre för den regionala tillväxten. Däremot kan det finnas skäl att göra vissa satsningar i utsatta stadsdelar. De åtgärde</w:t>
      </w:r>
      <w:r w:rsidR="00F060C4">
        <w:t>r</w:t>
      </w:r>
      <w:r w:rsidRPr="000D0E47">
        <w:t xml:space="preserve"> som omfattar satsningar på rättsväsendet, inom integrationspolitiken och skolor i dessa områden redovisas närmare inom utgiftsområdena 4, 13 och 16. </w:t>
      </w:r>
      <w:r w:rsidRPr="00F060C4">
        <w:rPr>
          <w:iCs/>
        </w:rPr>
        <w:t xml:space="preserve">Vi gör därför en minskning av anslag 1:1 med </w:t>
      </w:r>
      <w:r w:rsidRPr="00F060C4" w:rsidR="00354283">
        <w:rPr>
          <w:iCs/>
        </w:rPr>
        <w:t>75</w:t>
      </w:r>
      <w:r w:rsidR="00F060C4">
        <w:rPr>
          <w:iCs/>
        </w:rPr>
        <w:t xml:space="preserve"> miljoner </w:t>
      </w:r>
      <w:r w:rsidRPr="00F060C4">
        <w:rPr>
          <w:iCs/>
        </w:rPr>
        <w:t>kronor för år 2019.</w:t>
      </w:r>
    </w:p>
    <w:p w:rsidRPr="000D0E47" w:rsidR="00F24715" w:rsidP="00F24715" w:rsidRDefault="00F24715" w14:paraId="2AF16978" w14:textId="72F684ED">
      <w:r w:rsidRPr="000D0E47">
        <w:t>Den svenska hästnäringen och den svenska livsmedelsproduktionen skulle med en mer företagsvänlig politik ha goda förutsättningar att utvecklas där det svenska jord</w:t>
      </w:r>
      <w:r w:rsidR="00F060C4">
        <w:softHyphen/>
      </w:r>
      <w:r w:rsidRPr="000D0E47">
        <w:t>brukets fördelar bättre tas till vara. Sverige har EU:s bästa djurskydd, låg användning av antibiotika, stor miljöhänsyn och ett gott smittskydd. Livsmedelsförädlingen är en sektor med stor geografisk spridning, vilket gör att branschen kan bidra till att skapa arbetstillfällen i hela landet. Den matbaserade turismen är också en viktig sektor som kan ge ökade möjligheter till fler jobb och stärka Sveriges position som matnation.</w:t>
      </w:r>
    </w:p>
    <w:p w:rsidRPr="000D0E47" w:rsidR="00F24715" w:rsidP="00F24715" w:rsidRDefault="00F24715" w14:paraId="0A67D918" w14:textId="11D6E2DD">
      <w:r w:rsidRPr="000D0E47">
        <w:t>Fungerande kommunikationer är viktiga för jobb och hållbar tillväxt i hela landet. Därför krävs fortsatta investeringar i järnväg, väg och annan infrastruktur. Det finns inget EU-land som har så långt mellan landsändarna som Sverige. Det gör oss beroende av väl fungerande flygtrafik och flygplatser i hela landet, inte minst i Stockholms</w:t>
      </w:r>
      <w:r w:rsidR="00F060C4">
        <w:softHyphen/>
      </w:r>
      <w:r w:rsidRPr="000D0E47">
        <w:t>regionen där Arlanda och Bromma för närvarande utgör de två viktigaste naven i flygtrafiken för såväl privatresenärer som affärsresenärer. Flyget måste dock betala för sina klimatkostnader, vilket närmare beskriv</w:t>
      </w:r>
      <w:r w:rsidR="00F060C4">
        <w:t>s under utgiftsområde 20 i vår budget</w:t>
      </w:r>
      <w:r w:rsidR="00F060C4">
        <w:softHyphen/>
      </w:r>
      <w:bookmarkStart w:name="_GoBack" w:id="1"/>
      <w:bookmarkEnd w:id="1"/>
      <w:r w:rsidRPr="000D0E47">
        <w:t>motion.</w:t>
      </w:r>
    </w:p>
    <w:p w:rsidRPr="000D0E47" w:rsidR="00F24715" w:rsidP="00F24715" w:rsidRDefault="00F24715" w14:paraId="4D001F8C" w14:textId="010CD006">
      <w:r w:rsidRPr="000D0E47">
        <w:t xml:space="preserve">Vi föreslår också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Detta behandlas närmare under </w:t>
      </w:r>
      <w:r w:rsidR="00F060C4">
        <w:t>vår budget</w:t>
      </w:r>
      <w:r w:rsidRPr="000D0E47">
        <w:t>motions skatteavsnitt liksom under utgiftsområde 20.</w:t>
      </w:r>
    </w:p>
    <w:p w:rsidRPr="00F060C4" w:rsidR="00F060C4" w:rsidP="00F060C4" w:rsidRDefault="00F060C4" w14:paraId="104BFE39" w14:textId="15A464DD">
      <w:pPr>
        <w:pStyle w:val="Tabellrubrik"/>
        <w:spacing w:before="240"/>
      </w:pPr>
      <w:r w:rsidRPr="00F060C4">
        <w:t>Anslagsförslag 2019 för utgiftsområde 19 Regional tillväxt</w:t>
      </w:r>
    </w:p>
    <w:p w:rsidRPr="00F060C4" w:rsidR="00F060C4" w:rsidP="00F060C4" w:rsidRDefault="00F060C4" w14:paraId="5EBE338C" w14:textId="5D1B4673">
      <w:pPr>
        <w:pStyle w:val="Tabellunderrubrik"/>
      </w:pPr>
      <w:r w:rsidRPr="00F060C4">
        <w:t>Tusental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2"/>
        <w:gridCol w:w="4000"/>
        <w:gridCol w:w="1358"/>
        <w:gridCol w:w="1934"/>
      </w:tblGrid>
      <w:tr w:rsidRPr="00F060C4" w:rsidR="00900384" w:rsidTr="00F060C4" w14:paraId="68E273D6" w14:textId="77777777">
        <w:trPr>
          <w:trHeight w:val="285"/>
        </w:trPr>
        <w:tc>
          <w:tcPr>
            <w:tcW w:w="1202" w:type="dxa"/>
            <w:tcBorders>
              <w:top w:val="single" w:color="auto" w:sz="4" w:space="0"/>
              <w:bottom w:val="single" w:color="auto" w:sz="4" w:space="0"/>
            </w:tcBorders>
            <w:noWrap/>
            <w:hideMark/>
          </w:tcPr>
          <w:p w:rsidRPr="00F060C4" w:rsidR="00900384" w:rsidP="00F060C4" w:rsidRDefault="00900384" w14:paraId="4119945F" w14:textId="77777777">
            <w:pPr>
              <w:spacing w:before="80" w:line="240" w:lineRule="exact"/>
              <w:ind w:firstLine="0"/>
              <w:rPr>
                <w:b/>
                <w:bCs/>
                <w:sz w:val="20"/>
                <w:szCs w:val="20"/>
              </w:rPr>
            </w:pPr>
            <w:r w:rsidRPr="00F060C4">
              <w:rPr>
                <w:b/>
                <w:bCs/>
                <w:sz w:val="20"/>
                <w:szCs w:val="20"/>
              </w:rPr>
              <w:t>Ramanslag</w:t>
            </w:r>
          </w:p>
        </w:tc>
        <w:tc>
          <w:tcPr>
            <w:tcW w:w="4000" w:type="dxa"/>
            <w:tcBorders>
              <w:top w:val="single" w:color="auto" w:sz="4" w:space="0"/>
              <w:bottom w:val="single" w:color="auto" w:sz="4" w:space="0"/>
            </w:tcBorders>
            <w:noWrap/>
            <w:hideMark/>
          </w:tcPr>
          <w:p w:rsidRPr="00F060C4" w:rsidR="00900384" w:rsidP="00F060C4" w:rsidRDefault="00900384" w14:paraId="0D5DE1EC" w14:textId="77777777">
            <w:pPr>
              <w:spacing w:before="80" w:line="240" w:lineRule="exact"/>
              <w:ind w:firstLine="0"/>
              <w:rPr>
                <w:b/>
                <w:bCs/>
                <w:sz w:val="20"/>
                <w:szCs w:val="20"/>
              </w:rPr>
            </w:pPr>
          </w:p>
        </w:tc>
        <w:tc>
          <w:tcPr>
            <w:tcW w:w="1358" w:type="dxa"/>
            <w:tcBorders>
              <w:top w:val="single" w:color="auto" w:sz="4" w:space="0"/>
              <w:bottom w:val="single" w:color="auto" w:sz="4" w:space="0"/>
            </w:tcBorders>
            <w:noWrap/>
            <w:vAlign w:val="bottom"/>
            <w:hideMark/>
          </w:tcPr>
          <w:p w:rsidRPr="00F060C4" w:rsidR="00900384" w:rsidP="00F060C4" w:rsidRDefault="00900384" w14:paraId="65B0D34E" w14:textId="77777777">
            <w:pPr>
              <w:spacing w:before="80" w:line="240" w:lineRule="exact"/>
              <w:ind w:firstLine="0"/>
              <w:jc w:val="right"/>
              <w:rPr>
                <w:b/>
                <w:bCs/>
                <w:sz w:val="20"/>
                <w:szCs w:val="20"/>
              </w:rPr>
            </w:pPr>
            <w:r w:rsidRPr="00F060C4">
              <w:rPr>
                <w:b/>
                <w:bCs/>
                <w:sz w:val="20"/>
                <w:szCs w:val="20"/>
              </w:rPr>
              <w:t>Regeringens förslag</w:t>
            </w:r>
          </w:p>
        </w:tc>
        <w:tc>
          <w:tcPr>
            <w:tcW w:w="1934" w:type="dxa"/>
            <w:tcBorders>
              <w:top w:val="single" w:color="auto" w:sz="4" w:space="0"/>
              <w:bottom w:val="single" w:color="auto" w:sz="4" w:space="0"/>
            </w:tcBorders>
            <w:noWrap/>
            <w:vAlign w:val="bottom"/>
            <w:hideMark/>
          </w:tcPr>
          <w:p w:rsidRPr="00F060C4" w:rsidR="00900384" w:rsidP="00F060C4" w:rsidRDefault="00900384" w14:paraId="4BA7367F" w14:textId="77777777">
            <w:pPr>
              <w:spacing w:before="80" w:line="240" w:lineRule="exact"/>
              <w:ind w:firstLine="0"/>
              <w:jc w:val="right"/>
              <w:rPr>
                <w:b/>
                <w:bCs/>
                <w:sz w:val="20"/>
                <w:szCs w:val="20"/>
              </w:rPr>
            </w:pPr>
            <w:r w:rsidRPr="00F060C4">
              <w:rPr>
                <w:b/>
                <w:bCs/>
                <w:sz w:val="20"/>
                <w:szCs w:val="20"/>
              </w:rPr>
              <w:t>Avvikelse från regeringen (L)</w:t>
            </w:r>
          </w:p>
        </w:tc>
      </w:tr>
      <w:tr w:rsidRPr="00F060C4" w:rsidR="00900384" w:rsidTr="00F060C4" w14:paraId="7243706C" w14:textId="77777777">
        <w:trPr>
          <w:trHeight w:val="300"/>
        </w:trPr>
        <w:tc>
          <w:tcPr>
            <w:tcW w:w="1202" w:type="dxa"/>
            <w:tcBorders>
              <w:top w:val="single" w:color="auto" w:sz="4" w:space="0"/>
            </w:tcBorders>
            <w:noWrap/>
            <w:hideMark/>
          </w:tcPr>
          <w:p w:rsidRPr="00F060C4" w:rsidR="00900384" w:rsidP="00F060C4" w:rsidRDefault="00900384" w14:paraId="5282C071" w14:textId="77777777">
            <w:pPr>
              <w:spacing w:before="80" w:line="240" w:lineRule="exact"/>
              <w:ind w:firstLine="0"/>
              <w:rPr>
                <w:sz w:val="20"/>
                <w:szCs w:val="20"/>
              </w:rPr>
            </w:pPr>
            <w:r w:rsidRPr="00F060C4">
              <w:rPr>
                <w:sz w:val="20"/>
                <w:szCs w:val="20"/>
              </w:rPr>
              <w:t>1:1</w:t>
            </w:r>
          </w:p>
        </w:tc>
        <w:tc>
          <w:tcPr>
            <w:tcW w:w="4000" w:type="dxa"/>
            <w:tcBorders>
              <w:top w:val="single" w:color="auto" w:sz="4" w:space="0"/>
            </w:tcBorders>
            <w:noWrap/>
            <w:hideMark/>
          </w:tcPr>
          <w:p w:rsidRPr="00F060C4" w:rsidR="00900384" w:rsidP="00F060C4" w:rsidRDefault="00900384" w14:paraId="7D1D97DF" w14:textId="77777777">
            <w:pPr>
              <w:spacing w:before="80" w:line="240" w:lineRule="exact"/>
              <w:ind w:firstLine="0"/>
              <w:rPr>
                <w:sz w:val="20"/>
                <w:szCs w:val="20"/>
              </w:rPr>
            </w:pPr>
            <w:r w:rsidRPr="00F060C4">
              <w:rPr>
                <w:sz w:val="20"/>
                <w:szCs w:val="20"/>
              </w:rPr>
              <w:t>Regionala tillväxtåtgärder</w:t>
            </w:r>
          </w:p>
        </w:tc>
        <w:tc>
          <w:tcPr>
            <w:tcW w:w="1358" w:type="dxa"/>
            <w:tcBorders>
              <w:top w:val="single" w:color="auto" w:sz="4" w:space="0"/>
            </w:tcBorders>
            <w:noWrap/>
            <w:vAlign w:val="bottom"/>
            <w:hideMark/>
          </w:tcPr>
          <w:p w:rsidRPr="00F060C4" w:rsidR="00900384" w:rsidP="00F060C4" w:rsidRDefault="00900384" w14:paraId="73584AA2" w14:textId="024A8AFF">
            <w:pPr>
              <w:spacing w:before="80" w:line="240" w:lineRule="exact"/>
              <w:ind w:firstLine="0"/>
              <w:jc w:val="right"/>
              <w:rPr>
                <w:sz w:val="20"/>
                <w:szCs w:val="20"/>
              </w:rPr>
            </w:pPr>
            <w:r w:rsidRPr="00F060C4">
              <w:rPr>
                <w:sz w:val="20"/>
                <w:szCs w:val="20"/>
              </w:rPr>
              <w:t>1</w:t>
            </w:r>
            <w:r w:rsidR="00F060C4">
              <w:rPr>
                <w:sz w:val="20"/>
                <w:szCs w:val="20"/>
              </w:rPr>
              <w:t xml:space="preserve"> </w:t>
            </w:r>
            <w:r w:rsidRPr="00F060C4">
              <w:rPr>
                <w:sz w:val="20"/>
                <w:szCs w:val="20"/>
              </w:rPr>
              <w:t>674</w:t>
            </w:r>
            <w:r w:rsidR="00F060C4">
              <w:rPr>
                <w:sz w:val="20"/>
                <w:szCs w:val="20"/>
              </w:rPr>
              <w:t xml:space="preserve"> </w:t>
            </w:r>
            <w:r w:rsidRPr="00F060C4">
              <w:rPr>
                <w:sz w:val="20"/>
                <w:szCs w:val="20"/>
              </w:rPr>
              <w:t>637</w:t>
            </w:r>
          </w:p>
        </w:tc>
        <w:tc>
          <w:tcPr>
            <w:tcW w:w="1934" w:type="dxa"/>
            <w:tcBorders>
              <w:top w:val="single" w:color="auto" w:sz="4" w:space="0"/>
            </w:tcBorders>
            <w:noWrap/>
            <w:vAlign w:val="bottom"/>
            <w:hideMark/>
          </w:tcPr>
          <w:p w:rsidRPr="00F060C4" w:rsidR="00900384" w:rsidP="00F060C4" w:rsidRDefault="00F060C4" w14:paraId="1D34162D" w14:textId="4F2704FC">
            <w:pPr>
              <w:spacing w:before="80" w:line="240" w:lineRule="exact"/>
              <w:ind w:firstLine="0"/>
              <w:jc w:val="right"/>
              <w:rPr>
                <w:sz w:val="20"/>
                <w:szCs w:val="20"/>
              </w:rPr>
            </w:pPr>
            <w:r>
              <w:rPr>
                <w:sz w:val="20"/>
                <w:szCs w:val="20"/>
              </w:rPr>
              <w:t>–</w:t>
            </w:r>
            <w:r w:rsidRPr="00F060C4" w:rsidR="00354283">
              <w:rPr>
                <w:sz w:val="20"/>
                <w:szCs w:val="20"/>
              </w:rPr>
              <w:t>75 000</w:t>
            </w:r>
          </w:p>
        </w:tc>
      </w:tr>
      <w:tr w:rsidRPr="00F060C4" w:rsidR="00900384" w:rsidTr="00F060C4" w14:paraId="0A1E2701" w14:textId="77777777">
        <w:trPr>
          <w:trHeight w:val="300"/>
        </w:trPr>
        <w:tc>
          <w:tcPr>
            <w:tcW w:w="1202" w:type="dxa"/>
            <w:noWrap/>
            <w:hideMark/>
          </w:tcPr>
          <w:p w:rsidRPr="00F060C4" w:rsidR="00900384" w:rsidP="00F060C4" w:rsidRDefault="00900384" w14:paraId="203CC24B" w14:textId="77777777">
            <w:pPr>
              <w:spacing w:before="80" w:line="240" w:lineRule="exact"/>
              <w:ind w:firstLine="0"/>
              <w:rPr>
                <w:sz w:val="20"/>
                <w:szCs w:val="20"/>
              </w:rPr>
            </w:pPr>
            <w:r w:rsidRPr="00F060C4">
              <w:rPr>
                <w:sz w:val="20"/>
                <w:szCs w:val="20"/>
              </w:rPr>
              <w:t>1:2</w:t>
            </w:r>
          </w:p>
        </w:tc>
        <w:tc>
          <w:tcPr>
            <w:tcW w:w="4000" w:type="dxa"/>
            <w:noWrap/>
            <w:hideMark/>
          </w:tcPr>
          <w:p w:rsidRPr="00F060C4" w:rsidR="00900384" w:rsidP="00F060C4" w:rsidRDefault="00900384" w14:paraId="55F66FD1" w14:textId="77777777">
            <w:pPr>
              <w:spacing w:before="80" w:line="240" w:lineRule="exact"/>
              <w:ind w:firstLine="0"/>
              <w:rPr>
                <w:sz w:val="20"/>
                <w:szCs w:val="20"/>
              </w:rPr>
            </w:pPr>
            <w:r w:rsidRPr="00F060C4">
              <w:rPr>
                <w:sz w:val="20"/>
                <w:szCs w:val="20"/>
              </w:rPr>
              <w:t>Transportbidrag</w:t>
            </w:r>
          </w:p>
        </w:tc>
        <w:tc>
          <w:tcPr>
            <w:tcW w:w="1358" w:type="dxa"/>
            <w:noWrap/>
            <w:vAlign w:val="bottom"/>
            <w:hideMark/>
          </w:tcPr>
          <w:p w:rsidRPr="00F060C4" w:rsidR="00900384" w:rsidP="00F060C4" w:rsidRDefault="00900384" w14:paraId="6A2C8415" w14:textId="02FAEAB5">
            <w:pPr>
              <w:spacing w:before="80" w:line="240" w:lineRule="exact"/>
              <w:ind w:firstLine="0"/>
              <w:jc w:val="right"/>
              <w:rPr>
                <w:sz w:val="20"/>
                <w:szCs w:val="20"/>
              </w:rPr>
            </w:pPr>
            <w:r w:rsidRPr="00F060C4">
              <w:rPr>
                <w:sz w:val="20"/>
                <w:szCs w:val="20"/>
              </w:rPr>
              <w:t>400</w:t>
            </w:r>
            <w:r w:rsidR="00F060C4">
              <w:rPr>
                <w:sz w:val="20"/>
                <w:szCs w:val="20"/>
              </w:rPr>
              <w:t xml:space="preserve"> </w:t>
            </w:r>
            <w:r w:rsidRPr="00F060C4">
              <w:rPr>
                <w:sz w:val="20"/>
                <w:szCs w:val="20"/>
              </w:rPr>
              <w:t>864</w:t>
            </w:r>
          </w:p>
        </w:tc>
        <w:tc>
          <w:tcPr>
            <w:tcW w:w="1934" w:type="dxa"/>
            <w:noWrap/>
            <w:vAlign w:val="bottom"/>
            <w:hideMark/>
          </w:tcPr>
          <w:p w:rsidRPr="00F060C4" w:rsidR="00900384" w:rsidP="00F060C4" w:rsidRDefault="00900384" w14:paraId="48D40DB1" w14:textId="77777777">
            <w:pPr>
              <w:spacing w:before="80" w:line="240" w:lineRule="exact"/>
              <w:ind w:firstLine="0"/>
              <w:jc w:val="right"/>
              <w:rPr>
                <w:sz w:val="20"/>
                <w:szCs w:val="20"/>
              </w:rPr>
            </w:pPr>
          </w:p>
        </w:tc>
      </w:tr>
      <w:tr w:rsidRPr="00F060C4" w:rsidR="00900384" w:rsidTr="00F060C4" w14:paraId="620E0506" w14:textId="77777777">
        <w:trPr>
          <w:trHeight w:val="300"/>
        </w:trPr>
        <w:tc>
          <w:tcPr>
            <w:tcW w:w="1202" w:type="dxa"/>
            <w:noWrap/>
            <w:hideMark/>
          </w:tcPr>
          <w:p w:rsidRPr="00F060C4" w:rsidR="00900384" w:rsidP="00F060C4" w:rsidRDefault="00900384" w14:paraId="41CB13D3" w14:textId="77777777">
            <w:pPr>
              <w:spacing w:before="80" w:line="240" w:lineRule="exact"/>
              <w:ind w:firstLine="0"/>
              <w:rPr>
                <w:sz w:val="20"/>
                <w:szCs w:val="20"/>
              </w:rPr>
            </w:pPr>
            <w:r w:rsidRPr="00F060C4">
              <w:rPr>
                <w:sz w:val="20"/>
                <w:szCs w:val="20"/>
              </w:rPr>
              <w:t>1:3</w:t>
            </w:r>
          </w:p>
        </w:tc>
        <w:tc>
          <w:tcPr>
            <w:tcW w:w="4000" w:type="dxa"/>
            <w:noWrap/>
            <w:hideMark/>
          </w:tcPr>
          <w:p w:rsidRPr="00F060C4" w:rsidR="00900384" w:rsidP="00F060C4" w:rsidRDefault="00900384" w14:paraId="26C463EA" w14:textId="77777777">
            <w:pPr>
              <w:spacing w:before="80" w:line="240" w:lineRule="exact"/>
              <w:ind w:firstLine="0"/>
              <w:rPr>
                <w:sz w:val="20"/>
                <w:szCs w:val="20"/>
              </w:rPr>
            </w:pPr>
            <w:r w:rsidRPr="00F060C4">
              <w:rPr>
                <w:sz w:val="20"/>
                <w:szCs w:val="20"/>
              </w:rPr>
              <w:t>Europeiska regionala utvecklingsfonden perioden 2014–2020</w:t>
            </w:r>
          </w:p>
        </w:tc>
        <w:tc>
          <w:tcPr>
            <w:tcW w:w="1358" w:type="dxa"/>
            <w:noWrap/>
            <w:vAlign w:val="bottom"/>
            <w:hideMark/>
          </w:tcPr>
          <w:p w:rsidRPr="00F060C4" w:rsidR="00900384" w:rsidP="00F060C4" w:rsidRDefault="00900384" w14:paraId="5739CED0" w14:textId="0B306CB7">
            <w:pPr>
              <w:spacing w:before="80" w:line="240" w:lineRule="exact"/>
              <w:ind w:firstLine="0"/>
              <w:jc w:val="right"/>
              <w:rPr>
                <w:sz w:val="20"/>
                <w:szCs w:val="20"/>
              </w:rPr>
            </w:pPr>
            <w:r w:rsidRPr="00F060C4">
              <w:rPr>
                <w:sz w:val="20"/>
                <w:szCs w:val="20"/>
              </w:rPr>
              <w:t>1</w:t>
            </w:r>
            <w:r w:rsidR="00F060C4">
              <w:rPr>
                <w:sz w:val="20"/>
                <w:szCs w:val="20"/>
              </w:rPr>
              <w:t xml:space="preserve"> </w:t>
            </w:r>
            <w:r w:rsidRPr="00F060C4">
              <w:rPr>
                <w:sz w:val="20"/>
                <w:szCs w:val="20"/>
              </w:rPr>
              <w:t>421</w:t>
            </w:r>
            <w:r w:rsidR="00F060C4">
              <w:rPr>
                <w:sz w:val="20"/>
                <w:szCs w:val="20"/>
              </w:rPr>
              <w:t xml:space="preserve"> </w:t>
            </w:r>
            <w:r w:rsidRPr="00F060C4">
              <w:rPr>
                <w:sz w:val="20"/>
                <w:szCs w:val="20"/>
              </w:rPr>
              <w:t>024</w:t>
            </w:r>
          </w:p>
        </w:tc>
        <w:tc>
          <w:tcPr>
            <w:tcW w:w="1934" w:type="dxa"/>
            <w:noWrap/>
            <w:vAlign w:val="bottom"/>
            <w:hideMark/>
          </w:tcPr>
          <w:p w:rsidRPr="00F060C4" w:rsidR="00900384" w:rsidP="00F060C4" w:rsidRDefault="00900384" w14:paraId="5FBFF45A" w14:textId="77777777">
            <w:pPr>
              <w:spacing w:before="80" w:line="240" w:lineRule="exact"/>
              <w:ind w:firstLine="0"/>
              <w:jc w:val="right"/>
              <w:rPr>
                <w:sz w:val="20"/>
                <w:szCs w:val="20"/>
              </w:rPr>
            </w:pPr>
          </w:p>
        </w:tc>
      </w:tr>
      <w:tr w:rsidRPr="00F060C4" w:rsidR="00900384" w:rsidTr="00F060C4" w14:paraId="125418BE" w14:textId="77777777">
        <w:trPr>
          <w:trHeight w:val="300"/>
        </w:trPr>
        <w:tc>
          <w:tcPr>
            <w:tcW w:w="1202" w:type="dxa"/>
            <w:tcBorders>
              <w:bottom w:val="single" w:color="auto" w:sz="4" w:space="0"/>
            </w:tcBorders>
            <w:noWrap/>
            <w:hideMark/>
          </w:tcPr>
          <w:p w:rsidRPr="00F060C4" w:rsidR="00900384" w:rsidP="00F060C4" w:rsidRDefault="00900384" w14:paraId="4EE39956" w14:textId="77777777">
            <w:pPr>
              <w:spacing w:before="80" w:line="240" w:lineRule="exact"/>
              <w:ind w:firstLine="0"/>
              <w:rPr>
                <w:b/>
                <w:sz w:val="20"/>
                <w:szCs w:val="20"/>
              </w:rPr>
            </w:pPr>
          </w:p>
        </w:tc>
        <w:tc>
          <w:tcPr>
            <w:tcW w:w="4000" w:type="dxa"/>
            <w:tcBorders>
              <w:bottom w:val="single" w:color="auto" w:sz="4" w:space="0"/>
            </w:tcBorders>
            <w:noWrap/>
            <w:hideMark/>
          </w:tcPr>
          <w:p w:rsidRPr="00F060C4" w:rsidR="00900384" w:rsidP="00F060C4" w:rsidRDefault="00900384" w14:paraId="0C7E5023" w14:textId="77777777">
            <w:pPr>
              <w:spacing w:before="80" w:line="240" w:lineRule="exact"/>
              <w:ind w:firstLine="0"/>
              <w:rPr>
                <w:b/>
                <w:sz w:val="20"/>
                <w:szCs w:val="20"/>
              </w:rPr>
            </w:pPr>
            <w:r w:rsidRPr="00F060C4">
              <w:rPr>
                <w:b/>
                <w:sz w:val="20"/>
                <w:szCs w:val="20"/>
              </w:rPr>
              <w:t>Summa</w:t>
            </w:r>
          </w:p>
        </w:tc>
        <w:tc>
          <w:tcPr>
            <w:tcW w:w="1358" w:type="dxa"/>
            <w:tcBorders>
              <w:bottom w:val="single" w:color="auto" w:sz="4" w:space="0"/>
            </w:tcBorders>
            <w:noWrap/>
            <w:vAlign w:val="bottom"/>
            <w:hideMark/>
          </w:tcPr>
          <w:p w:rsidRPr="00F060C4" w:rsidR="00900384" w:rsidP="00F060C4" w:rsidRDefault="00900384" w14:paraId="64D504A9" w14:textId="3939927F">
            <w:pPr>
              <w:spacing w:before="80" w:line="240" w:lineRule="exact"/>
              <w:ind w:firstLine="0"/>
              <w:jc w:val="right"/>
              <w:rPr>
                <w:b/>
                <w:sz w:val="20"/>
                <w:szCs w:val="20"/>
              </w:rPr>
            </w:pPr>
            <w:r w:rsidRPr="00F060C4">
              <w:rPr>
                <w:b/>
                <w:sz w:val="20"/>
                <w:szCs w:val="20"/>
              </w:rPr>
              <w:t>3</w:t>
            </w:r>
            <w:r w:rsidR="00F060C4">
              <w:rPr>
                <w:b/>
                <w:sz w:val="20"/>
                <w:szCs w:val="20"/>
              </w:rPr>
              <w:t xml:space="preserve"> </w:t>
            </w:r>
            <w:r w:rsidRPr="00F060C4">
              <w:rPr>
                <w:b/>
                <w:sz w:val="20"/>
                <w:szCs w:val="20"/>
              </w:rPr>
              <w:t>496</w:t>
            </w:r>
            <w:r w:rsidR="00F060C4">
              <w:rPr>
                <w:b/>
                <w:sz w:val="20"/>
                <w:szCs w:val="20"/>
              </w:rPr>
              <w:t xml:space="preserve"> </w:t>
            </w:r>
            <w:r w:rsidRPr="00F060C4">
              <w:rPr>
                <w:b/>
                <w:sz w:val="20"/>
                <w:szCs w:val="20"/>
              </w:rPr>
              <w:t>525</w:t>
            </w:r>
          </w:p>
        </w:tc>
        <w:tc>
          <w:tcPr>
            <w:tcW w:w="1934" w:type="dxa"/>
            <w:tcBorders>
              <w:bottom w:val="single" w:color="auto" w:sz="4" w:space="0"/>
            </w:tcBorders>
            <w:noWrap/>
            <w:vAlign w:val="bottom"/>
            <w:hideMark/>
          </w:tcPr>
          <w:p w:rsidRPr="00F060C4" w:rsidR="00900384" w:rsidP="00F060C4" w:rsidRDefault="00F060C4" w14:paraId="5B20BF34" w14:textId="2F629B69">
            <w:pPr>
              <w:spacing w:before="80" w:line="240" w:lineRule="exact"/>
              <w:ind w:firstLine="0"/>
              <w:jc w:val="right"/>
              <w:rPr>
                <w:b/>
                <w:sz w:val="20"/>
                <w:szCs w:val="20"/>
              </w:rPr>
            </w:pPr>
            <w:r>
              <w:rPr>
                <w:b/>
                <w:sz w:val="20"/>
                <w:szCs w:val="20"/>
              </w:rPr>
              <w:t>–</w:t>
            </w:r>
            <w:r w:rsidRPr="00F060C4" w:rsidR="00354283">
              <w:rPr>
                <w:b/>
                <w:sz w:val="20"/>
                <w:szCs w:val="20"/>
              </w:rPr>
              <w:t>75</w:t>
            </w:r>
            <w:r>
              <w:rPr>
                <w:b/>
                <w:sz w:val="20"/>
                <w:szCs w:val="20"/>
              </w:rPr>
              <w:t xml:space="preserve"> </w:t>
            </w:r>
            <w:r w:rsidRPr="00F060C4" w:rsidR="00354283">
              <w:rPr>
                <w:b/>
                <w:sz w:val="20"/>
                <w:szCs w:val="20"/>
              </w:rPr>
              <w:t>000</w:t>
            </w:r>
          </w:p>
        </w:tc>
      </w:tr>
      <w:tr w:rsidRPr="00F060C4" w:rsidR="00900384" w:rsidTr="00F060C4" w14:paraId="799EA4C1" w14:textId="77777777">
        <w:trPr>
          <w:trHeight w:val="285"/>
        </w:trPr>
        <w:tc>
          <w:tcPr>
            <w:tcW w:w="1202" w:type="dxa"/>
            <w:tcBorders>
              <w:top w:val="single" w:color="auto" w:sz="4" w:space="0"/>
            </w:tcBorders>
            <w:noWrap/>
            <w:hideMark/>
          </w:tcPr>
          <w:p w:rsidRPr="00F060C4" w:rsidR="00900384" w:rsidP="00F060C4" w:rsidRDefault="00900384" w14:paraId="3F45E540" w14:textId="77777777">
            <w:pPr>
              <w:spacing w:before="80" w:line="240" w:lineRule="exact"/>
              <w:ind w:firstLine="0"/>
              <w:rPr>
                <w:sz w:val="20"/>
                <w:szCs w:val="20"/>
              </w:rPr>
            </w:pPr>
          </w:p>
        </w:tc>
        <w:tc>
          <w:tcPr>
            <w:tcW w:w="4000" w:type="dxa"/>
            <w:tcBorders>
              <w:top w:val="single" w:color="auto" w:sz="4" w:space="0"/>
            </w:tcBorders>
            <w:noWrap/>
            <w:hideMark/>
          </w:tcPr>
          <w:p w:rsidRPr="00F060C4" w:rsidR="00900384" w:rsidP="00F060C4" w:rsidRDefault="00900384" w14:paraId="777892E0" w14:textId="77777777">
            <w:pPr>
              <w:spacing w:before="80" w:line="240" w:lineRule="exact"/>
              <w:ind w:firstLine="0"/>
              <w:rPr>
                <w:b/>
                <w:bCs/>
                <w:sz w:val="20"/>
                <w:szCs w:val="20"/>
              </w:rPr>
            </w:pPr>
            <w:r w:rsidRPr="00F060C4">
              <w:rPr>
                <w:b/>
                <w:bCs/>
                <w:sz w:val="20"/>
                <w:szCs w:val="20"/>
              </w:rPr>
              <w:t>Specificering av anslagsförändringar</w:t>
            </w:r>
          </w:p>
        </w:tc>
        <w:tc>
          <w:tcPr>
            <w:tcW w:w="1358" w:type="dxa"/>
            <w:tcBorders>
              <w:top w:val="single" w:color="auto" w:sz="4" w:space="0"/>
            </w:tcBorders>
            <w:noWrap/>
            <w:vAlign w:val="bottom"/>
            <w:hideMark/>
          </w:tcPr>
          <w:p w:rsidRPr="00F060C4" w:rsidR="00900384" w:rsidP="00F060C4" w:rsidRDefault="00900384" w14:paraId="67A79847" w14:textId="77777777">
            <w:pPr>
              <w:spacing w:before="80" w:line="240" w:lineRule="exact"/>
              <w:ind w:firstLine="0"/>
              <w:jc w:val="right"/>
              <w:rPr>
                <w:b/>
                <w:bCs/>
                <w:sz w:val="20"/>
                <w:szCs w:val="20"/>
              </w:rPr>
            </w:pPr>
          </w:p>
        </w:tc>
        <w:tc>
          <w:tcPr>
            <w:tcW w:w="1934" w:type="dxa"/>
            <w:tcBorders>
              <w:top w:val="single" w:color="auto" w:sz="4" w:space="0"/>
            </w:tcBorders>
            <w:noWrap/>
            <w:vAlign w:val="bottom"/>
            <w:hideMark/>
          </w:tcPr>
          <w:p w:rsidRPr="00F060C4" w:rsidR="00900384" w:rsidP="00F060C4" w:rsidRDefault="00900384" w14:paraId="2389D434" w14:textId="77777777">
            <w:pPr>
              <w:spacing w:before="80" w:line="240" w:lineRule="exact"/>
              <w:ind w:firstLine="0"/>
              <w:jc w:val="right"/>
              <w:rPr>
                <w:sz w:val="20"/>
                <w:szCs w:val="20"/>
              </w:rPr>
            </w:pPr>
          </w:p>
        </w:tc>
      </w:tr>
      <w:tr w:rsidRPr="00F060C4" w:rsidR="00900384" w:rsidTr="00F060C4" w14:paraId="2961F44A" w14:textId="77777777">
        <w:trPr>
          <w:trHeight w:val="300"/>
        </w:trPr>
        <w:tc>
          <w:tcPr>
            <w:tcW w:w="1202" w:type="dxa"/>
            <w:tcBorders>
              <w:bottom w:val="single" w:color="auto" w:sz="4" w:space="0"/>
            </w:tcBorders>
            <w:noWrap/>
            <w:hideMark/>
          </w:tcPr>
          <w:p w:rsidRPr="00F060C4" w:rsidR="00900384" w:rsidP="00F060C4" w:rsidRDefault="00900384" w14:paraId="56238675" w14:textId="77777777">
            <w:pPr>
              <w:spacing w:before="80" w:line="240" w:lineRule="exact"/>
              <w:ind w:firstLine="0"/>
              <w:rPr>
                <w:sz w:val="20"/>
                <w:szCs w:val="20"/>
              </w:rPr>
            </w:pPr>
            <w:r w:rsidRPr="00F060C4">
              <w:rPr>
                <w:sz w:val="20"/>
                <w:szCs w:val="20"/>
              </w:rPr>
              <w:t>1:1</w:t>
            </w:r>
          </w:p>
        </w:tc>
        <w:tc>
          <w:tcPr>
            <w:tcW w:w="4000" w:type="dxa"/>
            <w:tcBorders>
              <w:bottom w:val="single" w:color="auto" w:sz="4" w:space="0"/>
            </w:tcBorders>
            <w:noWrap/>
            <w:hideMark/>
          </w:tcPr>
          <w:p w:rsidRPr="00F060C4" w:rsidR="00900384" w:rsidP="00F060C4" w:rsidRDefault="00900384" w14:paraId="2BEA2A92" w14:textId="77777777">
            <w:pPr>
              <w:spacing w:before="80" w:line="240" w:lineRule="exact"/>
              <w:ind w:firstLine="0"/>
              <w:rPr>
                <w:sz w:val="20"/>
                <w:szCs w:val="20"/>
              </w:rPr>
            </w:pPr>
            <w:r w:rsidRPr="00F060C4">
              <w:rPr>
                <w:sz w:val="20"/>
                <w:szCs w:val="20"/>
              </w:rPr>
              <w:t>Regionala tillväxtåtgärder</w:t>
            </w:r>
          </w:p>
        </w:tc>
        <w:tc>
          <w:tcPr>
            <w:tcW w:w="1358" w:type="dxa"/>
            <w:tcBorders>
              <w:bottom w:val="single" w:color="auto" w:sz="4" w:space="0"/>
            </w:tcBorders>
            <w:noWrap/>
            <w:vAlign w:val="bottom"/>
            <w:hideMark/>
          </w:tcPr>
          <w:p w:rsidRPr="00F060C4" w:rsidR="00900384" w:rsidP="00F060C4" w:rsidRDefault="00900384" w14:paraId="516FE460" w14:textId="77777777">
            <w:pPr>
              <w:spacing w:before="80" w:line="240" w:lineRule="exact"/>
              <w:ind w:firstLine="0"/>
              <w:jc w:val="right"/>
              <w:rPr>
                <w:sz w:val="20"/>
                <w:szCs w:val="20"/>
              </w:rPr>
            </w:pPr>
          </w:p>
        </w:tc>
        <w:tc>
          <w:tcPr>
            <w:tcW w:w="1934" w:type="dxa"/>
            <w:tcBorders>
              <w:bottom w:val="single" w:color="auto" w:sz="4" w:space="0"/>
            </w:tcBorders>
            <w:noWrap/>
            <w:vAlign w:val="bottom"/>
            <w:hideMark/>
          </w:tcPr>
          <w:p w:rsidRPr="00F060C4" w:rsidR="00900384" w:rsidP="00F060C4" w:rsidRDefault="00F060C4" w14:paraId="4C991FB3" w14:textId="7321AB08">
            <w:pPr>
              <w:spacing w:before="80" w:line="240" w:lineRule="exact"/>
              <w:ind w:firstLine="0"/>
              <w:jc w:val="right"/>
              <w:rPr>
                <w:sz w:val="20"/>
                <w:szCs w:val="20"/>
              </w:rPr>
            </w:pPr>
            <w:r>
              <w:rPr>
                <w:sz w:val="20"/>
                <w:szCs w:val="20"/>
              </w:rPr>
              <w:t>–</w:t>
            </w:r>
            <w:r w:rsidRPr="00F060C4" w:rsidR="00354283">
              <w:rPr>
                <w:sz w:val="20"/>
                <w:szCs w:val="20"/>
              </w:rPr>
              <w:t>75 000</w:t>
            </w:r>
          </w:p>
        </w:tc>
      </w:tr>
    </w:tbl>
    <w:sdt>
      <w:sdtPr>
        <w:alias w:val="CC_Underskrifter"/>
        <w:tag w:val="CC_Underskrifter"/>
        <w:id w:val="583496634"/>
        <w:lock w:val="sdtContentLocked"/>
        <w:placeholder>
          <w:docPart w:val="E195B80E0A414A50AC4F4F56F27277FE"/>
        </w:placeholder>
      </w:sdtPr>
      <w:sdtEndPr/>
      <w:sdtContent>
        <w:p w:rsidR="00F24715" w:rsidP="000D0E47" w:rsidRDefault="00F24715" w14:paraId="070CD6E7" w14:textId="77777777"/>
        <w:p w:rsidRPr="008E0FE2" w:rsidR="004801AC" w:rsidP="000D0E47" w:rsidRDefault="00F060C4" w14:paraId="129D17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2C7BBA" w:rsidRDefault="002C7BBA" w14:paraId="4C805FB3" w14:textId="77777777"/>
    <w:sectPr w:rsidR="002C7B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863E3" w14:textId="77777777" w:rsidR="008D37AB" w:rsidRDefault="008D37AB" w:rsidP="000C1CAD">
      <w:pPr>
        <w:spacing w:line="240" w:lineRule="auto"/>
      </w:pPr>
      <w:r>
        <w:separator/>
      </w:r>
    </w:p>
  </w:endnote>
  <w:endnote w:type="continuationSeparator" w:id="0">
    <w:p w14:paraId="6A8CB768" w14:textId="77777777" w:rsidR="008D37AB" w:rsidRDefault="008D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B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A033" w14:textId="176315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0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28FBA" w14:textId="77777777" w:rsidR="008D37AB" w:rsidRDefault="008D37AB" w:rsidP="000C1CAD">
      <w:pPr>
        <w:spacing w:line="240" w:lineRule="auto"/>
      </w:pPr>
      <w:r>
        <w:separator/>
      </w:r>
    </w:p>
  </w:footnote>
  <w:footnote w:type="continuationSeparator" w:id="0">
    <w:p w14:paraId="1E908AC5" w14:textId="77777777" w:rsidR="008D37AB" w:rsidRDefault="008D3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5D2A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60C4" w14:paraId="03272660" w14:textId="77777777">
                          <w:pPr>
                            <w:jc w:val="right"/>
                          </w:pPr>
                          <w:sdt>
                            <w:sdtPr>
                              <w:alias w:val="CC_Noformat_Partikod"/>
                              <w:tag w:val="CC_Noformat_Partikod"/>
                              <w:id w:val="-53464382"/>
                              <w:placeholder>
                                <w:docPart w:val="9520C8129C8F439DB25314595BBA2344"/>
                              </w:placeholder>
                              <w:text/>
                            </w:sdtPr>
                            <w:sdtEndPr/>
                            <w:sdtContent>
                              <w:r w:rsidR="008D37AB">
                                <w:t>L</w:t>
                              </w:r>
                            </w:sdtContent>
                          </w:sdt>
                          <w:sdt>
                            <w:sdtPr>
                              <w:alias w:val="CC_Noformat_Partinummer"/>
                              <w:tag w:val="CC_Noformat_Partinummer"/>
                              <w:id w:val="-1709555926"/>
                              <w:placeholder>
                                <w:docPart w:val="E668E522C8524030B1A076DFA4EA14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60C4" w14:paraId="03272660" w14:textId="77777777">
                    <w:pPr>
                      <w:jc w:val="right"/>
                    </w:pPr>
                    <w:sdt>
                      <w:sdtPr>
                        <w:alias w:val="CC_Noformat_Partikod"/>
                        <w:tag w:val="CC_Noformat_Partikod"/>
                        <w:id w:val="-53464382"/>
                        <w:placeholder>
                          <w:docPart w:val="9520C8129C8F439DB25314595BBA2344"/>
                        </w:placeholder>
                        <w:text/>
                      </w:sdtPr>
                      <w:sdtEndPr/>
                      <w:sdtContent>
                        <w:r w:rsidR="008D37AB">
                          <w:t>L</w:t>
                        </w:r>
                      </w:sdtContent>
                    </w:sdt>
                    <w:sdt>
                      <w:sdtPr>
                        <w:alias w:val="CC_Noformat_Partinummer"/>
                        <w:tag w:val="CC_Noformat_Partinummer"/>
                        <w:id w:val="-1709555926"/>
                        <w:placeholder>
                          <w:docPart w:val="E668E522C8524030B1A076DFA4EA14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7F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1C731C" w14:textId="77777777">
    <w:pPr>
      <w:jc w:val="right"/>
    </w:pPr>
  </w:p>
  <w:p w:rsidR="00262EA3" w:rsidP="00776B74" w:rsidRDefault="00262EA3" w14:paraId="4878E1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60C4" w14:paraId="079774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60C4" w14:paraId="584DDB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D37A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060C4" w14:paraId="3DD907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60C4" w14:paraId="49FE66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:2957</w:t>
        </w:r>
      </w:sdtContent>
    </w:sdt>
  </w:p>
  <w:p w:rsidR="00262EA3" w:rsidP="00E03A3D" w:rsidRDefault="00F060C4" w14:paraId="3FA43DB9"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8D37AB" w14:paraId="1AE0B1B5" w14:textId="77777777">
        <w:pPr>
          <w:pStyle w:val="FSHRub2"/>
        </w:pPr>
        <w:r>
          <w:t>Utgiftsområde 19 Regional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90E3B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D37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E4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BA"/>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00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283"/>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7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38"/>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138"/>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7A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8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DA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35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C7"/>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C4"/>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15"/>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C45CE2"/>
  <w15:chartTrackingRefBased/>
  <w15:docId w15:val="{F1F0775D-14A5-4310-A5C0-8DAA105C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8343">
      <w:bodyDiv w:val="1"/>
      <w:marLeft w:val="0"/>
      <w:marRight w:val="0"/>
      <w:marTop w:val="0"/>
      <w:marBottom w:val="0"/>
      <w:divBdr>
        <w:top w:val="none" w:sz="0" w:space="0" w:color="auto"/>
        <w:left w:val="none" w:sz="0" w:space="0" w:color="auto"/>
        <w:bottom w:val="none" w:sz="0" w:space="0" w:color="auto"/>
        <w:right w:val="none" w:sz="0" w:space="0" w:color="auto"/>
      </w:divBdr>
    </w:div>
    <w:div w:id="20926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19227DDF9E4470880F9B0F06EDD503"/>
        <w:category>
          <w:name w:val="Allmänt"/>
          <w:gallery w:val="placeholder"/>
        </w:category>
        <w:types>
          <w:type w:val="bbPlcHdr"/>
        </w:types>
        <w:behaviors>
          <w:behavior w:val="content"/>
        </w:behaviors>
        <w:guid w:val="{C48B7DBD-1902-41F5-ABC7-971C5F17257F}"/>
      </w:docPartPr>
      <w:docPartBody>
        <w:p w:rsidR="002042FE" w:rsidRDefault="002042FE">
          <w:pPr>
            <w:pStyle w:val="7B19227DDF9E4470880F9B0F06EDD503"/>
          </w:pPr>
          <w:r w:rsidRPr="005A0A93">
            <w:rPr>
              <w:rStyle w:val="Platshllartext"/>
            </w:rPr>
            <w:t>Förslag till riksdagsbeslut</w:t>
          </w:r>
        </w:p>
      </w:docPartBody>
    </w:docPart>
    <w:docPart>
      <w:docPartPr>
        <w:name w:val="953C4AC3811A40AE904AAC8D0064FEB1"/>
        <w:category>
          <w:name w:val="Allmänt"/>
          <w:gallery w:val="placeholder"/>
        </w:category>
        <w:types>
          <w:type w:val="bbPlcHdr"/>
        </w:types>
        <w:behaviors>
          <w:behavior w:val="content"/>
        </w:behaviors>
        <w:guid w:val="{9C5C276C-554D-489D-A532-B239B3AB0831}"/>
      </w:docPartPr>
      <w:docPartBody>
        <w:p w:rsidR="002042FE" w:rsidRDefault="002042FE">
          <w:pPr>
            <w:pStyle w:val="953C4AC3811A40AE904AAC8D0064FEB1"/>
          </w:pPr>
          <w:r w:rsidRPr="005A0A93">
            <w:rPr>
              <w:rStyle w:val="Platshllartext"/>
            </w:rPr>
            <w:t>Motivering</w:t>
          </w:r>
        </w:p>
      </w:docPartBody>
    </w:docPart>
    <w:docPart>
      <w:docPartPr>
        <w:name w:val="9520C8129C8F439DB25314595BBA2344"/>
        <w:category>
          <w:name w:val="Allmänt"/>
          <w:gallery w:val="placeholder"/>
        </w:category>
        <w:types>
          <w:type w:val="bbPlcHdr"/>
        </w:types>
        <w:behaviors>
          <w:behavior w:val="content"/>
        </w:behaviors>
        <w:guid w:val="{9837408C-8132-4914-8939-EABFBDC3E15F}"/>
      </w:docPartPr>
      <w:docPartBody>
        <w:p w:rsidR="002042FE" w:rsidRDefault="002042FE">
          <w:pPr>
            <w:pStyle w:val="9520C8129C8F439DB25314595BBA2344"/>
          </w:pPr>
          <w:r>
            <w:rPr>
              <w:rStyle w:val="Platshllartext"/>
            </w:rPr>
            <w:t xml:space="preserve"> </w:t>
          </w:r>
        </w:p>
      </w:docPartBody>
    </w:docPart>
    <w:docPart>
      <w:docPartPr>
        <w:name w:val="E668E522C8524030B1A076DFA4EA14C1"/>
        <w:category>
          <w:name w:val="Allmänt"/>
          <w:gallery w:val="placeholder"/>
        </w:category>
        <w:types>
          <w:type w:val="bbPlcHdr"/>
        </w:types>
        <w:behaviors>
          <w:behavior w:val="content"/>
        </w:behaviors>
        <w:guid w:val="{20EF1B3E-67AF-49C8-81CF-04F9205E510B}"/>
      </w:docPartPr>
      <w:docPartBody>
        <w:p w:rsidR="002042FE" w:rsidRDefault="002042FE">
          <w:pPr>
            <w:pStyle w:val="E668E522C8524030B1A076DFA4EA14C1"/>
          </w:pPr>
          <w:r>
            <w:t xml:space="preserve"> </w:t>
          </w:r>
        </w:p>
      </w:docPartBody>
    </w:docPart>
    <w:docPart>
      <w:docPartPr>
        <w:name w:val="E195B80E0A414A50AC4F4F56F27277FE"/>
        <w:category>
          <w:name w:val="Allmänt"/>
          <w:gallery w:val="placeholder"/>
        </w:category>
        <w:types>
          <w:type w:val="bbPlcHdr"/>
        </w:types>
        <w:behaviors>
          <w:behavior w:val="content"/>
        </w:behaviors>
        <w:guid w:val="{D0C97614-A6C8-4EC0-9FC8-C614059BD4CA}"/>
      </w:docPartPr>
      <w:docPartBody>
        <w:p w:rsidR="00851D82" w:rsidRDefault="00851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FE"/>
    <w:rsid w:val="002042FE"/>
    <w:rsid w:val="00851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19227DDF9E4470880F9B0F06EDD503">
    <w:name w:val="7B19227DDF9E4470880F9B0F06EDD503"/>
  </w:style>
  <w:style w:type="paragraph" w:customStyle="1" w:styleId="BCE55DAB769743F9A0E8965047F79656">
    <w:name w:val="BCE55DAB769743F9A0E8965047F796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AA907543AC4766841241E2BF03B59A">
    <w:name w:val="89AA907543AC4766841241E2BF03B59A"/>
  </w:style>
  <w:style w:type="paragraph" w:customStyle="1" w:styleId="953C4AC3811A40AE904AAC8D0064FEB1">
    <w:name w:val="953C4AC3811A40AE904AAC8D0064FEB1"/>
  </w:style>
  <w:style w:type="paragraph" w:customStyle="1" w:styleId="BB1491FE1A2E4D25845B4180D5177CD7">
    <w:name w:val="BB1491FE1A2E4D25845B4180D5177CD7"/>
  </w:style>
  <w:style w:type="paragraph" w:customStyle="1" w:styleId="DE12DA0FF0C84FF6B2A04E09333076CE">
    <w:name w:val="DE12DA0FF0C84FF6B2A04E09333076CE"/>
  </w:style>
  <w:style w:type="paragraph" w:customStyle="1" w:styleId="9520C8129C8F439DB25314595BBA2344">
    <w:name w:val="9520C8129C8F439DB25314595BBA2344"/>
  </w:style>
  <w:style w:type="paragraph" w:customStyle="1" w:styleId="E668E522C8524030B1A076DFA4EA14C1">
    <w:name w:val="E668E522C8524030B1A076DFA4EA1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0B318-454E-420B-8426-DE635C0E5BD7}"/>
</file>

<file path=customXml/itemProps2.xml><?xml version="1.0" encoding="utf-8"?>
<ds:datastoreItem xmlns:ds="http://schemas.openxmlformats.org/officeDocument/2006/customXml" ds:itemID="{B726B548-F0CF-44AC-AE68-144DCC5C4A01}"/>
</file>

<file path=customXml/itemProps3.xml><?xml version="1.0" encoding="utf-8"?>
<ds:datastoreItem xmlns:ds="http://schemas.openxmlformats.org/officeDocument/2006/customXml" ds:itemID="{4953A5F7-4196-469A-BD4D-A195D6F8BFFA}"/>
</file>

<file path=docProps/app.xml><?xml version="1.0" encoding="utf-8"?>
<Properties xmlns="http://schemas.openxmlformats.org/officeDocument/2006/extended-properties" xmlns:vt="http://schemas.openxmlformats.org/officeDocument/2006/docPropsVTypes">
  <Template>Normal</Template>
  <TotalTime>8</TotalTime>
  <Pages>3</Pages>
  <Words>1195</Words>
  <Characters>7138</Characters>
  <Application>Microsoft Office Word</Application>
  <DocSecurity>0</DocSecurity>
  <Lines>162</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19 Regional tillväxt</vt:lpstr>
      <vt:lpstr>
      </vt:lpstr>
    </vt:vector>
  </TitlesOfParts>
  <Company>Sveriges riksdag</Company>
  <LinksUpToDate>false</LinksUpToDate>
  <CharactersWithSpaces>8277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