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426B1D">
        <w:tc>
          <w:tcPr>
            <w:tcW w:w="2268" w:type="dxa"/>
          </w:tcPr>
          <w:p w:rsidR="00426B1D" w:rsidRDefault="00426B1D">
            <w:pPr>
              <w:framePr w:w="4400" w:h="1644" w:wrap="notBeside" w:vAnchor="page" w:hAnchor="page" w:x="6573" w:y="721"/>
              <w:rPr>
                <w:rFonts w:ascii="TradeGothic" w:hAnsi="TradeGothic"/>
                <w:i/>
                <w:sz w:val="18"/>
              </w:rPr>
            </w:pPr>
          </w:p>
        </w:tc>
        <w:tc>
          <w:tcPr>
            <w:tcW w:w="2347" w:type="dxa"/>
            <w:gridSpan w:val="2"/>
          </w:tcPr>
          <w:p w:rsidR="00426B1D" w:rsidRDefault="00426B1D">
            <w:pPr>
              <w:framePr w:w="4400" w:h="1644" w:wrap="notBeside" w:vAnchor="page" w:hAnchor="page" w:x="6573" w:y="721"/>
              <w:rPr>
                <w:rFonts w:ascii="TradeGothic" w:hAnsi="TradeGothic"/>
                <w:i/>
                <w:sz w:val="18"/>
              </w:rPr>
            </w:pPr>
          </w:p>
        </w:tc>
      </w:tr>
      <w:tr w:rsidR="00426B1D">
        <w:tc>
          <w:tcPr>
            <w:tcW w:w="2268" w:type="dxa"/>
          </w:tcPr>
          <w:p w:rsidR="00426B1D" w:rsidRDefault="00426B1D">
            <w:pPr>
              <w:framePr w:w="4400" w:h="1644" w:wrap="notBeside" w:vAnchor="page" w:hAnchor="page" w:x="6573" w:y="721"/>
              <w:rPr>
                <w:rFonts w:ascii="TradeGothic" w:hAnsi="TradeGothic"/>
                <w:b/>
              </w:rPr>
            </w:pPr>
            <w:r>
              <w:rPr>
                <w:rFonts w:ascii="TradeGothic" w:hAnsi="TradeGothic"/>
                <w:b/>
                <w:sz w:val="22"/>
              </w:rPr>
              <w:t>Promemoria</w:t>
            </w:r>
          </w:p>
        </w:tc>
        <w:tc>
          <w:tcPr>
            <w:tcW w:w="2347" w:type="dxa"/>
            <w:gridSpan w:val="2"/>
          </w:tcPr>
          <w:p w:rsidR="00426B1D" w:rsidRDefault="00426B1D">
            <w:pPr>
              <w:framePr w:w="4400" w:h="1644" w:wrap="notBeside" w:vAnchor="page" w:hAnchor="page" w:x="6573" w:y="721"/>
              <w:rPr>
                <w:rFonts w:ascii="TradeGothic" w:hAnsi="TradeGothic"/>
                <w:b/>
              </w:rPr>
            </w:pPr>
          </w:p>
        </w:tc>
      </w:tr>
      <w:tr w:rsidR="00426B1D">
        <w:trPr>
          <w:trHeight w:val="343"/>
        </w:trPr>
        <w:tc>
          <w:tcPr>
            <w:tcW w:w="3402" w:type="dxa"/>
            <w:gridSpan w:val="2"/>
          </w:tcPr>
          <w:p w:rsidR="00426B1D" w:rsidRDefault="00426B1D">
            <w:pPr>
              <w:framePr w:w="4400" w:h="1644" w:wrap="notBeside" w:vAnchor="page" w:hAnchor="page" w:x="6573" w:y="721"/>
            </w:pPr>
          </w:p>
        </w:tc>
        <w:tc>
          <w:tcPr>
            <w:tcW w:w="1213" w:type="dxa"/>
          </w:tcPr>
          <w:p w:rsidR="00426B1D" w:rsidRDefault="00426B1D">
            <w:pPr>
              <w:framePr w:w="4400" w:h="1644" w:wrap="notBeside" w:vAnchor="page" w:hAnchor="page" w:x="6573" w:y="721"/>
            </w:pPr>
          </w:p>
        </w:tc>
      </w:tr>
      <w:tr w:rsidR="00426B1D">
        <w:tc>
          <w:tcPr>
            <w:tcW w:w="2268" w:type="dxa"/>
          </w:tcPr>
          <w:p w:rsidR="00426B1D" w:rsidRDefault="00426B1D">
            <w:pPr>
              <w:framePr w:w="4400" w:h="1644" w:wrap="notBeside" w:vAnchor="page" w:hAnchor="page" w:x="6573" w:y="721"/>
            </w:pPr>
            <w:fldSimple w:instr=" CREATEDATE  \@ &quot;yyyy-MM-dd&quot;  \* MERGEFORMAT ">
              <w:r>
                <w:rPr>
                  <w:noProof/>
                </w:rPr>
                <w:t>2011-12-15</w:t>
              </w:r>
            </w:fldSimple>
          </w:p>
        </w:tc>
        <w:tc>
          <w:tcPr>
            <w:tcW w:w="2347" w:type="dxa"/>
            <w:gridSpan w:val="2"/>
          </w:tcPr>
          <w:p w:rsidR="00426B1D" w:rsidRDefault="00426B1D">
            <w:pPr>
              <w:framePr w:w="4400" w:h="1644" w:wrap="notBeside" w:vAnchor="page" w:hAnchor="page" w:x="6573" w:y="721"/>
            </w:pPr>
          </w:p>
        </w:tc>
      </w:tr>
      <w:tr w:rsidR="00426B1D">
        <w:tc>
          <w:tcPr>
            <w:tcW w:w="2268" w:type="dxa"/>
          </w:tcPr>
          <w:p w:rsidR="00426B1D" w:rsidRDefault="00426B1D">
            <w:pPr>
              <w:framePr w:w="4400" w:h="1644" w:wrap="notBeside" w:vAnchor="page" w:hAnchor="page" w:x="6573" w:y="721"/>
            </w:pPr>
          </w:p>
        </w:tc>
        <w:tc>
          <w:tcPr>
            <w:tcW w:w="2347" w:type="dxa"/>
            <w:gridSpan w:val="2"/>
          </w:tcPr>
          <w:p w:rsidR="00426B1D" w:rsidRDefault="00426B1D">
            <w:pPr>
              <w:framePr w:w="4400" w:h="1644" w:wrap="notBeside" w:vAnchor="page" w:hAnchor="page" w:x="6573" w:y="721"/>
            </w:pPr>
          </w:p>
        </w:tc>
      </w:tr>
    </w:tbl>
    <w:tbl>
      <w:tblPr>
        <w:tblW w:w="0" w:type="auto"/>
        <w:tblLayout w:type="fixed"/>
        <w:tblLook w:val="0000"/>
      </w:tblPr>
      <w:tblGrid>
        <w:gridCol w:w="4911"/>
      </w:tblGrid>
      <w:tr w:rsidR="00426B1D">
        <w:trPr>
          <w:trHeight w:val="2400"/>
        </w:trPr>
        <w:tc>
          <w:tcPr>
            <w:tcW w:w="4911" w:type="dxa"/>
          </w:tcPr>
          <w:p w:rsidR="00426B1D" w:rsidRDefault="00426B1D">
            <w:pPr>
              <w:pStyle w:val="Avsndare"/>
              <w:framePr w:h="2483" w:wrap="notBeside" w:x="1504"/>
              <w:rPr>
                <w:b/>
                <w:i w:val="0"/>
                <w:sz w:val="22"/>
              </w:rPr>
            </w:pPr>
            <w:r>
              <w:rPr>
                <w:b/>
                <w:i w:val="0"/>
                <w:sz w:val="22"/>
              </w:rPr>
              <w:t>Statsrådsberedningen</w:t>
            </w:r>
          </w:p>
          <w:p w:rsidR="00426B1D" w:rsidRDefault="00426B1D">
            <w:pPr>
              <w:pStyle w:val="Avsndare"/>
              <w:framePr w:h="2483" w:wrap="notBeside" w:x="1504"/>
            </w:pPr>
          </w:p>
          <w:p w:rsidR="00426B1D" w:rsidRDefault="00426B1D">
            <w:pPr>
              <w:pStyle w:val="Avsndare"/>
              <w:framePr w:h="2483" w:wrap="notBeside" w:x="1504"/>
            </w:pPr>
            <w:r>
              <w:t>EU-kansliet</w:t>
            </w:r>
          </w:p>
          <w:p w:rsidR="00426B1D" w:rsidRDefault="00426B1D">
            <w:pPr>
              <w:pStyle w:val="Avsndare"/>
              <w:framePr w:h="2483" w:wrap="notBeside" w:x="1504"/>
            </w:pPr>
          </w:p>
          <w:p w:rsidR="00426B1D" w:rsidRDefault="00426B1D">
            <w:pPr>
              <w:pStyle w:val="Avsndare"/>
              <w:framePr w:h="2483" w:wrap="notBeside" w:x="1504"/>
            </w:pPr>
          </w:p>
          <w:p w:rsidR="00426B1D" w:rsidRDefault="00426B1D">
            <w:pPr>
              <w:pStyle w:val="Avsndare"/>
              <w:framePr w:h="2483" w:wrap="notBeside" w:x="1504"/>
            </w:pPr>
          </w:p>
          <w:p w:rsidR="00426B1D" w:rsidRDefault="00426B1D">
            <w:pPr>
              <w:pStyle w:val="Avsndare"/>
              <w:framePr w:h="2483" w:wrap="notBeside" w:x="1504"/>
              <w:rPr>
                <w:b/>
                <w:i w:val="0"/>
                <w:sz w:val="22"/>
              </w:rPr>
            </w:pPr>
          </w:p>
        </w:tc>
      </w:tr>
    </w:tbl>
    <w:p w:rsidR="00426B1D" w:rsidRDefault="00426B1D">
      <w:pPr>
        <w:framePr w:w="4400" w:h="2523" w:wrap="notBeside" w:vAnchor="page" w:hAnchor="page" w:x="6453" w:y="2445"/>
        <w:ind w:left="142"/>
      </w:pPr>
    </w:p>
    <w:p w:rsidR="00426B1D" w:rsidRDefault="00426B1D">
      <w:pPr>
        <w:pStyle w:val="UDrubrik"/>
        <w:tabs>
          <w:tab w:val="left" w:pos="1701"/>
          <w:tab w:val="left" w:pos="1985"/>
        </w:tabs>
        <w:rPr>
          <w:rFonts w:cs="Arial"/>
          <w:sz w:val="28"/>
        </w:rPr>
      </w:pPr>
      <w:bookmarkStart w:id="0" w:name="_Toc67391946"/>
      <w:bookmarkStart w:id="1" w:name="_Toc70473239"/>
      <w:r>
        <w:rPr>
          <w:rFonts w:cs="Arial"/>
          <w:sz w:val="28"/>
        </w:rPr>
        <w:t xml:space="preserve">Komplettering nr 3 - </w:t>
      </w:r>
      <w:bookmarkStart w:id="2" w:name="_GoBack"/>
      <w:bookmarkEnd w:id="2"/>
      <w:r>
        <w:rPr>
          <w:rFonts w:cs="Arial"/>
          <w:sz w:val="28"/>
        </w:rPr>
        <w:t>Troliga A-punkter inför kommande rådsmöten som förväntas godkännas vid Coreper II</w:t>
      </w:r>
      <w:bookmarkEnd w:id="0"/>
      <w:bookmarkEnd w:id="1"/>
      <w:r>
        <w:rPr>
          <w:rFonts w:cs="Arial"/>
          <w:sz w:val="28"/>
        </w:rPr>
        <w:t xml:space="preserve"> vecka 50.</w:t>
      </w:r>
    </w:p>
    <w:p w:rsidR="00426B1D" w:rsidRDefault="00426B1D" w:rsidP="007611F0">
      <w:pPr>
        <w:pStyle w:val="BodyText"/>
      </w:pPr>
    </w:p>
    <w:p w:rsidR="00426B1D" w:rsidRDefault="00426B1D" w:rsidP="007611F0">
      <w:pPr>
        <w:pStyle w:val="BodyText"/>
      </w:pPr>
      <w:r>
        <w:t>Översänds för skriftligt samråd vecka 50 till fredag 16 december 2011, kl 08.30</w:t>
      </w:r>
    </w:p>
    <w:p w:rsidR="00426B1D" w:rsidRPr="007611F0" w:rsidRDefault="00426B1D" w:rsidP="007611F0">
      <w:pPr>
        <w:pStyle w:val="BodyText"/>
      </w:pPr>
      <w:r>
        <w:br w:type="page"/>
      </w:r>
    </w:p>
    <w:p w:rsidR="00426B1D" w:rsidRDefault="00426B1D">
      <w:pPr>
        <w:pStyle w:val="RKnormal"/>
        <w:ind w:left="0"/>
        <w:rPr>
          <w:b/>
          <w:bCs/>
        </w:rPr>
      </w:pPr>
      <w:bookmarkStart w:id="3" w:name="_Toc31176651"/>
      <w:bookmarkStart w:id="4" w:name="_Toc33517460"/>
      <w:bookmarkStart w:id="5" w:name="_Toc37754403"/>
      <w:bookmarkStart w:id="6" w:name="_Toc40856217"/>
      <w:bookmarkStart w:id="7" w:name="_Toc46314026"/>
      <w:bookmarkStart w:id="8" w:name="_Toc53477857"/>
      <w:bookmarkStart w:id="9" w:name="_Toc56584632"/>
      <w:bookmarkStart w:id="10" w:name="_Toc58313040"/>
      <w:bookmarkStart w:id="11" w:name="_Toc62632328"/>
      <w:bookmarkStart w:id="12" w:name="_Toc65054164"/>
      <w:bookmarkStart w:id="13" w:name="_Toc67391947"/>
      <w:bookmarkStart w:id="14" w:name="_Toc70473240"/>
      <w:bookmarkStart w:id="15" w:name="_Toc72290257"/>
      <w:bookmarkStart w:id="16" w:name="_Toc73258531"/>
    </w:p>
    <w:p w:rsidR="00426B1D" w:rsidRDefault="00426B1D">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11719016" w:history="1">
        <w:r w:rsidRPr="00512241">
          <w:rPr>
            <w:rStyle w:val="Hyperlink"/>
            <w:noProof/>
          </w:rPr>
          <w:t>Frågor som lösts i förberedande instanser</w:t>
        </w:r>
        <w:r>
          <w:rPr>
            <w:noProof/>
            <w:webHidden/>
          </w:rPr>
          <w:tab/>
        </w:r>
        <w:r>
          <w:rPr>
            <w:noProof/>
            <w:webHidden/>
          </w:rPr>
          <w:fldChar w:fldCharType="begin"/>
        </w:r>
        <w:r>
          <w:rPr>
            <w:noProof/>
            <w:webHidden/>
          </w:rPr>
          <w:instrText xml:space="preserve"> PAGEREF _Toc311719016 \h </w:instrText>
        </w:r>
        <w:r>
          <w:rPr>
            <w:noProof/>
            <w:webHidden/>
          </w:rPr>
        </w:r>
        <w:r>
          <w:rPr>
            <w:noProof/>
            <w:webHidden/>
          </w:rPr>
          <w:fldChar w:fldCharType="separate"/>
        </w:r>
        <w:r>
          <w:rPr>
            <w:noProof/>
            <w:webHidden/>
          </w:rPr>
          <w:t>5</w:t>
        </w:r>
        <w:r>
          <w:rPr>
            <w:noProof/>
            <w:webHidden/>
          </w:rPr>
          <w:fldChar w:fldCharType="end"/>
        </w:r>
      </w:hyperlink>
    </w:p>
    <w:p w:rsidR="00426B1D" w:rsidRDefault="00426B1D">
      <w:pPr>
        <w:pStyle w:val="TOC1"/>
        <w:tabs>
          <w:tab w:val="right" w:leader="dot" w:pos="7644"/>
        </w:tabs>
        <w:rPr>
          <w:rFonts w:ascii="Calibri" w:hAnsi="Calibri"/>
          <w:b w:val="0"/>
          <w:bCs w:val="0"/>
          <w:caps w:val="0"/>
          <w:noProof/>
          <w:sz w:val="22"/>
          <w:szCs w:val="22"/>
          <w:lang w:eastAsia="sv-SE"/>
        </w:rPr>
      </w:pPr>
      <w:hyperlink w:anchor="_Toc311719017" w:history="1">
        <w:r w:rsidRPr="00512241">
          <w:rPr>
            <w:rStyle w:val="Hyperlink"/>
            <w:noProof/>
          </w:rPr>
          <w:t>Troliga A-punkter inför kommande rådsmöten som förväntas godkännas vid Coreper II 2011-12-15.</w:t>
        </w:r>
        <w:r>
          <w:rPr>
            <w:noProof/>
            <w:webHidden/>
          </w:rPr>
          <w:tab/>
        </w:r>
        <w:r>
          <w:rPr>
            <w:noProof/>
            <w:webHidden/>
          </w:rPr>
          <w:fldChar w:fldCharType="begin"/>
        </w:r>
        <w:r>
          <w:rPr>
            <w:noProof/>
            <w:webHidden/>
          </w:rPr>
          <w:instrText xml:space="preserve"> PAGEREF _Toc311719017 \h </w:instrText>
        </w:r>
        <w:r>
          <w:rPr>
            <w:noProof/>
            <w:webHidden/>
          </w:rPr>
        </w:r>
        <w:r>
          <w:rPr>
            <w:noProof/>
            <w:webHidden/>
          </w:rPr>
          <w:fldChar w:fldCharType="separate"/>
        </w:r>
        <w:r>
          <w:rPr>
            <w:noProof/>
            <w:webHidden/>
          </w:rPr>
          <w:t>5</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18" w:history="1">
        <w:r w:rsidRPr="00512241">
          <w:rPr>
            <w:rStyle w:val="Hyperlink"/>
            <w:noProof/>
          </w:rPr>
          <w:t>1. Case T-434/11 before the Court (Europäisch-Iranische Handelsbank AG v. Council of the European Union)</w:t>
        </w:r>
        <w:r>
          <w:rPr>
            <w:noProof/>
            <w:webHidden/>
          </w:rPr>
          <w:tab/>
        </w:r>
        <w:r>
          <w:rPr>
            <w:noProof/>
            <w:webHidden/>
          </w:rPr>
          <w:fldChar w:fldCharType="begin"/>
        </w:r>
        <w:r>
          <w:rPr>
            <w:noProof/>
            <w:webHidden/>
          </w:rPr>
          <w:instrText xml:space="preserve"> PAGEREF _Toc311719018 \h </w:instrText>
        </w:r>
        <w:r>
          <w:rPr>
            <w:noProof/>
            <w:webHidden/>
          </w:rPr>
        </w:r>
        <w:r>
          <w:rPr>
            <w:noProof/>
            <w:webHidden/>
          </w:rPr>
          <w:fldChar w:fldCharType="separate"/>
        </w:r>
        <w:r>
          <w:rPr>
            <w:noProof/>
            <w:webHidden/>
          </w:rPr>
          <w:t>5</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19" w:history="1">
        <w:r w:rsidRPr="00512241">
          <w:rPr>
            <w:rStyle w:val="Hyperlink"/>
            <w:noProof/>
          </w:rPr>
          <w:t>2. Case before the General Court of the European Union- Case T-572/11 - Samir Hassan v. Council</w:t>
        </w:r>
        <w:r>
          <w:rPr>
            <w:noProof/>
            <w:webHidden/>
          </w:rPr>
          <w:tab/>
        </w:r>
        <w:r>
          <w:rPr>
            <w:noProof/>
            <w:webHidden/>
          </w:rPr>
          <w:fldChar w:fldCharType="begin"/>
        </w:r>
        <w:r>
          <w:rPr>
            <w:noProof/>
            <w:webHidden/>
          </w:rPr>
          <w:instrText xml:space="preserve"> PAGEREF _Toc311719019 \h </w:instrText>
        </w:r>
        <w:r>
          <w:rPr>
            <w:noProof/>
            <w:webHidden/>
          </w:rPr>
        </w:r>
        <w:r>
          <w:rPr>
            <w:noProof/>
            <w:webHidden/>
          </w:rPr>
          <w:fldChar w:fldCharType="separate"/>
        </w:r>
        <w:r>
          <w:rPr>
            <w:noProof/>
            <w:webHidden/>
          </w:rPr>
          <w:t>5</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0" w:history="1">
        <w:r w:rsidRPr="00512241">
          <w:rPr>
            <w:rStyle w:val="Hyperlink"/>
            <w:noProof/>
          </w:rPr>
          <w:t>3. Council Decision amending the Council's Rules of Procedure- Updating the table of the population of the Member States for 2012</w:t>
        </w:r>
        <w:r>
          <w:rPr>
            <w:noProof/>
            <w:webHidden/>
          </w:rPr>
          <w:tab/>
        </w:r>
        <w:r>
          <w:rPr>
            <w:noProof/>
            <w:webHidden/>
          </w:rPr>
          <w:fldChar w:fldCharType="begin"/>
        </w:r>
        <w:r>
          <w:rPr>
            <w:noProof/>
            <w:webHidden/>
          </w:rPr>
          <w:instrText xml:space="preserve"> PAGEREF _Toc311719020 \h </w:instrText>
        </w:r>
        <w:r>
          <w:rPr>
            <w:noProof/>
            <w:webHidden/>
          </w:rPr>
        </w:r>
        <w:r>
          <w:rPr>
            <w:noProof/>
            <w:webHidden/>
          </w:rPr>
          <w:fldChar w:fldCharType="separate"/>
        </w:r>
        <w:r>
          <w:rPr>
            <w:noProof/>
            <w:webHidden/>
          </w:rPr>
          <w:t>6</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1" w:history="1">
        <w:r w:rsidRPr="00512241">
          <w:rPr>
            <w:rStyle w:val="Hyperlink"/>
            <w:noProof/>
          </w:rPr>
          <w:t>4. Economic and Social Committee- Council Decision appointing a German member of the European Economic and Social Committee</w:t>
        </w:r>
        <w:r>
          <w:rPr>
            <w:noProof/>
            <w:webHidden/>
          </w:rPr>
          <w:tab/>
        </w:r>
        <w:r>
          <w:rPr>
            <w:noProof/>
            <w:webHidden/>
          </w:rPr>
          <w:fldChar w:fldCharType="begin"/>
        </w:r>
        <w:r>
          <w:rPr>
            <w:noProof/>
            <w:webHidden/>
          </w:rPr>
          <w:instrText xml:space="preserve"> PAGEREF _Toc311719021 \h </w:instrText>
        </w:r>
        <w:r>
          <w:rPr>
            <w:noProof/>
            <w:webHidden/>
          </w:rPr>
        </w:r>
        <w:r>
          <w:rPr>
            <w:noProof/>
            <w:webHidden/>
          </w:rPr>
          <w:fldChar w:fldCharType="separate"/>
        </w:r>
        <w:r>
          <w:rPr>
            <w:noProof/>
            <w:webHidden/>
          </w:rPr>
          <w:t>6</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2" w:history="1">
        <w:r w:rsidRPr="00512241">
          <w:rPr>
            <w:rStyle w:val="Hyperlink"/>
            <w:noProof/>
          </w:rPr>
          <w:t>5. Committee of the Regions- Council Decision appointing a Danish member of the Committee of the Regions</w:t>
        </w:r>
        <w:r>
          <w:rPr>
            <w:noProof/>
            <w:webHidden/>
          </w:rPr>
          <w:tab/>
        </w:r>
        <w:r>
          <w:rPr>
            <w:noProof/>
            <w:webHidden/>
          </w:rPr>
          <w:fldChar w:fldCharType="begin"/>
        </w:r>
        <w:r>
          <w:rPr>
            <w:noProof/>
            <w:webHidden/>
          </w:rPr>
          <w:instrText xml:space="preserve"> PAGEREF _Toc311719022 \h </w:instrText>
        </w:r>
        <w:r>
          <w:rPr>
            <w:noProof/>
            <w:webHidden/>
          </w:rPr>
        </w:r>
        <w:r>
          <w:rPr>
            <w:noProof/>
            <w:webHidden/>
          </w:rPr>
          <w:fldChar w:fldCharType="separate"/>
        </w:r>
        <w:r>
          <w:rPr>
            <w:noProof/>
            <w:webHidden/>
          </w:rPr>
          <w:t>6</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3" w:history="1">
        <w:r w:rsidRPr="00512241">
          <w:rPr>
            <w:rStyle w:val="Hyperlink"/>
            <w:noProof/>
          </w:rPr>
          <w:t>6. Appointment of the members of the OLAF Supervisory Committee</w:t>
        </w:r>
        <w:r>
          <w:rPr>
            <w:noProof/>
            <w:webHidden/>
          </w:rPr>
          <w:tab/>
        </w:r>
        <w:r>
          <w:rPr>
            <w:noProof/>
            <w:webHidden/>
          </w:rPr>
          <w:fldChar w:fldCharType="begin"/>
        </w:r>
        <w:r>
          <w:rPr>
            <w:noProof/>
            <w:webHidden/>
          </w:rPr>
          <w:instrText xml:space="preserve"> PAGEREF _Toc311719023 \h </w:instrText>
        </w:r>
        <w:r>
          <w:rPr>
            <w:noProof/>
            <w:webHidden/>
          </w:rPr>
        </w:r>
        <w:r>
          <w:rPr>
            <w:noProof/>
            <w:webHidden/>
          </w:rPr>
          <w:fldChar w:fldCharType="separate"/>
        </w:r>
        <w:r>
          <w:rPr>
            <w:noProof/>
            <w:webHidden/>
          </w:rPr>
          <w:t>7</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4" w:history="1">
        <w:r w:rsidRPr="00512241">
          <w:rPr>
            <w:rStyle w:val="Hyperlink"/>
            <w:noProof/>
          </w:rPr>
          <w:t>7. Integrated Maritime Policy - Draft Council conclusions</w:t>
        </w:r>
        <w:r>
          <w:rPr>
            <w:noProof/>
            <w:webHidden/>
          </w:rPr>
          <w:tab/>
        </w:r>
        <w:r>
          <w:rPr>
            <w:noProof/>
            <w:webHidden/>
          </w:rPr>
          <w:fldChar w:fldCharType="begin"/>
        </w:r>
        <w:r>
          <w:rPr>
            <w:noProof/>
            <w:webHidden/>
          </w:rPr>
          <w:instrText xml:space="preserve"> PAGEREF _Toc311719024 \h </w:instrText>
        </w:r>
        <w:r>
          <w:rPr>
            <w:noProof/>
            <w:webHidden/>
          </w:rPr>
        </w:r>
        <w:r>
          <w:rPr>
            <w:noProof/>
            <w:webHidden/>
          </w:rPr>
          <w:fldChar w:fldCharType="separate"/>
        </w:r>
        <w:r>
          <w:rPr>
            <w:noProof/>
            <w:webHidden/>
          </w:rPr>
          <w:t>8</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5" w:history="1">
        <w:r w:rsidRPr="00512241">
          <w:rPr>
            <w:rStyle w:val="Hyperlink"/>
            <w:noProof/>
          </w:rPr>
          <w:t>8. Council Regulation temporarily suspending autonomous Common Customs Tariff duties on imports of certain industrial products into the Canary Islands</w:t>
        </w:r>
        <w:r>
          <w:rPr>
            <w:noProof/>
            <w:webHidden/>
          </w:rPr>
          <w:tab/>
        </w:r>
        <w:r>
          <w:rPr>
            <w:noProof/>
            <w:webHidden/>
          </w:rPr>
          <w:fldChar w:fldCharType="begin"/>
        </w:r>
        <w:r>
          <w:rPr>
            <w:noProof/>
            <w:webHidden/>
          </w:rPr>
          <w:instrText xml:space="preserve"> PAGEREF _Toc311719025 \h </w:instrText>
        </w:r>
        <w:r>
          <w:rPr>
            <w:noProof/>
            <w:webHidden/>
          </w:rPr>
        </w:r>
        <w:r>
          <w:rPr>
            <w:noProof/>
            <w:webHidden/>
          </w:rPr>
          <w:fldChar w:fldCharType="separate"/>
        </w:r>
        <w:r>
          <w:rPr>
            <w:noProof/>
            <w:webHidden/>
          </w:rPr>
          <w:t>8</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6" w:history="1">
        <w:r w:rsidRPr="00512241">
          <w:rPr>
            <w:rStyle w:val="Hyperlink"/>
            <w:noProof/>
          </w:rPr>
          <w:t>9. Proposal for a Council Decision amending Decision 2002/546/EC as regards its period of application</w:t>
        </w:r>
        <w:r>
          <w:rPr>
            <w:noProof/>
            <w:webHidden/>
          </w:rPr>
          <w:tab/>
        </w:r>
        <w:r>
          <w:rPr>
            <w:noProof/>
            <w:webHidden/>
          </w:rPr>
          <w:fldChar w:fldCharType="begin"/>
        </w:r>
        <w:r>
          <w:rPr>
            <w:noProof/>
            <w:webHidden/>
          </w:rPr>
          <w:instrText xml:space="preserve"> PAGEREF _Toc311719026 \h </w:instrText>
        </w:r>
        <w:r>
          <w:rPr>
            <w:noProof/>
            <w:webHidden/>
          </w:rPr>
        </w:r>
        <w:r>
          <w:rPr>
            <w:noProof/>
            <w:webHidden/>
          </w:rPr>
          <w:fldChar w:fldCharType="separate"/>
        </w:r>
        <w:r>
          <w:rPr>
            <w:noProof/>
            <w:webHidden/>
          </w:rPr>
          <w:t>9</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7" w:history="1">
        <w:r w:rsidRPr="00512241">
          <w:rPr>
            <w:rStyle w:val="Hyperlink"/>
            <w:noProof/>
          </w:rPr>
          <w:t>10. Proposal for a Council Decision amending Decision 2007/659/EC as regards its period of application and the annual quota benefiting from a reduced rate of excise duty</w:t>
        </w:r>
        <w:r>
          <w:rPr>
            <w:noProof/>
            <w:webHidden/>
          </w:rPr>
          <w:tab/>
        </w:r>
        <w:r>
          <w:rPr>
            <w:noProof/>
            <w:webHidden/>
          </w:rPr>
          <w:fldChar w:fldCharType="begin"/>
        </w:r>
        <w:r>
          <w:rPr>
            <w:noProof/>
            <w:webHidden/>
          </w:rPr>
          <w:instrText xml:space="preserve"> PAGEREF _Toc311719027 \h </w:instrText>
        </w:r>
        <w:r>
          <w:rPr>
            <w:noProof/>
            <w:webHidden/>
          </w:rPr>
        </w:r>
        <w:r>
          <w:rPr>
            <w:noProof/>
            <w:webHidden/>
          </w:rPr>
          <w:fldChar w:fldCharType="separate"/>
        </w:r>
        <w:r>
          <w:rPr>
            <w:noProof/>
            <w:webHidden/>
          </w:rPr>
          <w:t>10</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8" w:history="1">
        <w:r w:rsidRPr="00512241">
          <w:rPr>
            <w:rStyle w:val="Hyperlink"/>
            <w:noProof/>
          </w:rPr>
          <w:t>11. Proposal for a Regulation of the European Parliament and of the Council laying down general provisions for Macro-Financial Assistance to third countries- General Approach</w:t>
        </w:r>
        <w:r>
          <w:rPr>
            <w:noProof/>
            <w:webHidden/>
          </w:rPr>
          <w:tab/>
        </w:r>
        <w:r>
          <w:rPr>
            <w:noProof/>
            <w:webHidden/>
          </w:rPr>
          <w:fldChar w:fldCharType="begin"/>
        </w:r>
        <w:r>
          <w:rPr>
            <w:noProof/>
            <w:webHidden/>
          </w:rPr>
          <w:instrText xml:space="preserve"> PAGEREF _Toc311719028 \h </w:instrText>
        </w:r>
        <w:r>
          <w:rPr>
            <w:noProof/>
            <w:webHidden/>
          </w:rPr>
        </w:r>
        <w:r>
          <w:rPr>
            <w:noProof/>
            <w:webHidden/>
          </w:rPr>
          <w:fldChar w:fldCharType="separate"/>
        </w:r>
        <w:r>
          <w:rPr>
            <w:noProof/>
            <w:webHidden/>
          </w:rPr>
          <w:t>10</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29" w:history="1">
        <w:r w:rsidRPr="00512241">
          <w:rPr>
            <w:rStyle w:val="Hyperlink"/>
            <w:noProof/>
          </w:rPr>
          <w:t>12. Anti dumping- Proposal for a Council Implementing Regulation imposing a definitive anti-dumping duty on imports of trichloroisocyanuric acid originating in the People's Republic of China following an expiry review pursuant to Article 11(2) of Regulation (EC) No 1225/2009</w:t>
        </w:r>
        <w:r>
          <w:rPr>
            <w:noProof/>
            <w:webHidden/>
          </w:rPr>
          <w:tab/>
        </w:r>
        <w:r>
          <w:rPr>
            <w:noProof/>
            <w:webHidden/>
          </w:rPr>
          <w:fldChar w:fldCharType="begin"/>
        </w:r>
        <w:r>
          <w:rPr>
            <w:noProof/>
            <w:webHidden/>
          </w:rPr>
          <w:instrText xml:space="preserve"> PAGEREF _Toc311719029 \h </w:instrText>
        </w:r>
        <w:r>
          <w:rPr>
            <w:noProof/>
            <w:webHidden/>
          </w:rPr>
        </w:r>
        <w:r>
          <w:rPr>
            <w:noProof/>
            <w:webHidden/>
          </w:rPr>
          <w:fldChar w:fldCharType="separate"/>
        </w:r>
        <w:r>
          <w:rPr>
            <w:noProof/>
            <w:webHidden/>
          </w:rPr>
          <w:t>11</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0" w:history="1">
        <w:r w:rsidRPr="00512241">
          <w:rPr>
            <w:rStyle w:val="Hyperlink"/>
            <w:noProof/>
          </w:rPr>
          <w:t>13. - Council Decision amending Decision 2010/232/CFSP renewing restrictive measures against Burma/Myanmar- Council Implementing Regulation implementing Regulation (EC) No 194/2008 renewing and strengthening the restrictive measures in respect of Burma/Myanmar</w:t>
        </w:r>
        <w:r>
          <w:rPr>
            <w:noProof/>
            <w:webHidden/>
          </w:rPr>
          <w:tab/>
        </w:r>
        <w:r>
          <w:rPr>
            <w:noProof/>
            <w:webHidden/>
          </w:rPr>
          <w:fldChar w:fldCharType="begin"/>
        </w:r>
        <w:r>
          <w:rPr>
            <w:noProof/>
            <w:webHidden/>
          </w:rPr>
          <w:instrText xml:space="preserve"> PAGEREF _Toc311719030 \h </w:instrText>
        </w:r>
        <w:r>
          <w:rPr>
            <w:noProof/>
            <w:webHidden/>
          </w:rPr>
        </w:r>
        <w:r>
          <w:rPr>
            <w:noProof/>
            <w:webHidden/>
          </w:rPr>
          <w:fldChar w:fldCharType="separate"/>
        </w:r>
        <w:r>
          <w:rPr>
            <w:noProof/>
            <w:webHidden/>
          </w:rPr>
          <w:t>11</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1" w:history="1">
        <w:r w:rsidRPr="00512241">
          <w:rPr>
            <w:rStyle w:val="Hyperlink"/>
            <w:noProof/>
          </w:rPr>
          <w:t>14. Council Decision amending Decision 2010/800/CFSP concerning restrictive measures against the Democratic People's Republic of Korea</w:t>
        </w:r>
        <w:r>
          <w:rPr>
            <w:noProof/>
            <w:webHidden/>
          </w:rPr>
          <w:tab/>
        </w:r>
        <w:r>
          <w:rPr>
            <w:noProof/>
            <w:webHidden/>
          </w:rPr>
          <w:fldChar w:fldCharType="begin"/>
        </w:r>
        <w:r>
          <w:rPr>
            <w:noProof/>
            <w:webHidden/>
          </w:rPr>
          <w:instrText xml:space="preserve"> PAGEREF _Toc311719031 \h </w:instrText>
        </w:r>
        <w:r>
          <w:rPr>
            <w:noProof/>
            <w:webHidden/>
          </w:rPr>
        </w:r>
        <w:r>
          <w:rPr>
            <w:noProof/>
            <w:webHidden/>
          </w:rPr>
          <w:fldChar w:fldCharType="separate"/>
        </w:r>
        <w:r>
          <w:rPr>
            <w:noProof/>
            <w:webHidden/>
          </w:rPr>
          <w:t>12</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2" w:history="1">
        <w:r w:rsidRPr="00512241">
          <w:rPr>
            <w:rStyle w:val="Hyperlink"/>
            <w:noProof/>
          </w:rPr>
          <w:t>15. Proposition de directive du Conseil fixant des exigences pour la protection de la santé de la population en ce qui concerne les substances radioactives dans les eaux destinées à la consommation humaine- Préparation de l'accord politique</w:t>
        </w:r>
        <w:r>
          <w:rPr>
            <w:noProof/>
            <w:webHidden/>
          </w:rPr>
          <w:tab/>
        </w:r>
        <w:r>
          <w:rPr>
            <w:noProof/>
            <w:webHidden/>
          </w:rPr>
          <w:fldChar w:fldCharType="begin"/>
        </w:r>
        <w:r>
          <w:rPr>
            <w:noProof/>
            <w:webHidden/>
          </w:rPr>
          <w:instrText xml:space="preserve"> PAGEREF _Toc311719032 \h </w:instrText>
        </w:r>
        <w:r>
          <w:rPr>
            <w:noProof/>
            <w:webHidden/>
          </w:rPr>
        </w:r>
        <w:r>
          <w:rPr>
            <w:noProof/>
            <w:webHidden/>
          </w:rPr>
          <w:fldChar w:fldCharType="separate"/>
        </w:r>
        <w:r>
          <w:rPr>
            <w:noProof/>
            <w:webHidden/>
          </w:rPr>
          <w:t>13</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3" w:history="1">
        <w:r w:rsidRPr="00512241">
          <w:rPr>
            <w:rStyle w:val="Hyperlink"/>
            <w:noProof/>
          </w:rPr>
          <w:t>16. Council Decision concerning the Framework Programme of the European Atomic Energy Community for nuclear research and training activities (2012-2013) - Adoption</w:t>
        </w:r>
        <w:r>
          <w:rPr>
            <w:noProof/>
            <w:webHidden/>
          </w:rPr>
          <w:tab/>
        </w:r>
        <w:r>
          <w:rPr>
            <w:noProof/>
            <w:webHidden/>
          </w:rPr>
          <w:fldChar w:fldCharType="begin"/>
        </w:r>
        <w:r>
          <w:rPr>
            <w:noProof/>
            <w:webHidden/>
          </w:rPr>
          <w:instrText xml:space="preserve"> PAGEREF _Toc311719033 \h </w:instrText>
        </w:r>
        <w:r>
          <w:rPr>
            <w:noProof/>
            <w:webHidden/>
          </w:rPr>
        </w:r>
        <w:r>
          <w:rPr>
            <w:noProof/>
            <w:webHidden/>
          </w:rPr>
          <w:fldChar w:fldCharType="separate"/>
        </w:r>
        <w:r>
          <w:rPr>
            <w:noProof/>
            <w:webHidden/>
          </w:rPr>
          <w:t>14</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4" w:history="1">
        <w:r w:rsidRPr="00512241">
          <w:rPr>
            <w:rStyle w:val="Hyperlink"/>
            <w:noProof/>
          </w:rPr>
          <w:t>17. Council Decision concerning the specific programme, to be carried out by means of indirect actions, implementing the Framework Programme of the European Atomic Energy Community for nuclear research and training activities (2012-2013) - Adoption</w:t>
        </w:r>
        <w:r>
          <w:rPr>
            <w:noProof/>
            <w:webHidden/>
          </w:rPr>
          <w:tab/>
        </w:r>
        <w:r>
          <w:rPr>
            <w:noProof/>
            <w:webHidden/>
          </w:rPr>
          <w:fldChar w:fldCharType="begin"/>
        </w:r>
        <w:r>
          <w:rPr>
            <w:noProof/>
            <w:webHidden/>
          </w:rPr>
          <w:instrText xml:space="preserve"> PAGEREF _Toc311719034 \h </w:instrText>
        </w:r>
        <w:r>
          <w:rPr>
            <w:noProof/>
            <w:webHidden/>
          </w:rPr>
        </w:r>
        <w:r>
          <w:rPr>
            <w:noProof/>
            <w:webHidden/>
          </w:rPr>
          <w:fldChar w:fldCharType="separate"/>
        </w:r>
        <w:r>
          <w:rPr>
            <w:noProof/>
            <w:webHidden/>
          </w:rPr>
          <w:t>14</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5" w:history="1">
        <w:r w:rsidRPr="00512241">
          <w:rPr>
            <w:rStyle w:val="Hyperlink"/>
            <w:noProof/>
          </w:rPr>
          <w:t>18. Council Decision concerning the specific programme, to be carried out by means of direct actions by the Joint Research Centre, implementing the Framework Programme of the European Atomic Energy Community for nuclear research and training activities (2012 to 2013) - Adoption</w:t>
        </w:r>
        <w:r>
          <w:rPr>
            <w:noProof/>
            <w:webHidden/>
          </w:rPr>
          <w:tab/>
        </w:r>
        <w:r>
          <w:rPr>
            <w:noProof/>
            <w:webHidden/>
          </w:rPr>
          <w:fldChar w:fldCharType="begin"/>
        </w:r>
        <w:r>
          <w:rPr>
            <w:noProof/>
            <w:webHidden/>
          </w:rPr>
          <w:instrText xml:space="preserve"> PAGEREF _Toc311719035 \h </w:instrText>
        </w:r>
        <w:r>
          <w:rPr>
            <w:noProof/>
            <w:webHidden/>
          </w:rPr>
        </w:r>
        <w:r>
          <w:rPr>
            <w:noProof/>
            <w:webHidden/>
          </w:rPr>
          <w:fldChar w:fldCharType="separate"/>
        </w:r>
        <w:r>
          <w:rPr>
            <w:noProof/>
            <w:webHidden/>
          </w:rPr>
          <w:t>14</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6" w:history="1">
        <w:r w:rsidRPr="00512241">
          <w:rPr>
            <w:rStyle w:val="Hyperlink"/>
            <w:noProof/>
          </w:rPr>
          <w:t>19. Council Regulation (Euratom) laying down the rules for the participation of undertakings, research centres and universities in indirect actions under the Framework Programme of the European Atomic Energy Community and for the dissemination of research results (2012-2013) - Adoption</w:t>
        </w:r>
        <w:r>
          <w:rPr>
            <w:noProof/>
            <w:webHidden/>
          </w:rPr>
          <w:tab/>
        </w:r>
        <w:r>
          <w:rPr>
            <w:noProof/>
            <w:webHidden/>
          </w:rPr>
          <w:fldChar w:fldCharType="begin"/>
        </w:r>
        <w:r>
          <w:rPr>
            <w:noProof/>
            <w:webHidden/>
          </w:rPr>
          <w:instrText xml:space="preserve"> PAGEREF _Toc311719036 \h </w:instrText>
        </w:r>
        <w:r>
          <w:rPr>
            <w:noProof/>
            <w:webHidden/>
          </w:rPr>
        </w:r>
        <w:r>
          <w:rPr>
            <w:noProof/>
            <w:webHidden/>
          </w:rPr>
          <w:fldChar w:fldCharType="separate"/>
        </w:r>
        <w:r>
          <w:rPr>
            <w:noProof/>
            <w:webHidden/>
          </w:rPr>
          <w:t>15</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7" w:history="1">
        <w:r w:rsidRPr="00512241">
          <w:rPr>
            <w:rStyle w:val="Hyperlink"/>
            <w:noProof/>
          </w:rPr>
          <w:t>20. Case before the General Court of the European Union- Case T-503/11 (Stichting Al-Aqsa v Council)</w:t>
        </w:r>
        <w:r>
          <w:rPr>
            <w:noProof/>
            <w:webHidden/>
          </w:rPr>
          <w:tab/>
        </w:r>
        <w:r>
          <w:rPr>
            <w:noProof/>
            <w:webHidden/>
          </w:rPr>
          <w:fldChar w:fldCharType="begin"/>
        </w:r>
        <w:r>
          <w:rPr>
            <w:noProof/>
            <w:webHidden/>
          </w:rPr>
          <w:instrText xml:space="preserve"> PAGEREF _Toc311719037 \h </w:instrText>
        </w:r>
        <w:r>
          <w:rPr>
            <w:noProof/>
            <w:webHidden/>
          </w:rPr>
        </w:r>
        <w:r>
          <w:rPr>
            <w:noProof/>
            <w:webHidden/>
          </w:rPr>
          <w:fldChar w:fldCharType="separate"/>
        </w:r>
        <w:r>
          <w:rPr>
            <w:noProof/>
            <w:webHidden/>
          </w:rPr>
          <w:t>15</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8" w:history="1">
        <w:r w:rsidRPr="00512241">
          <w:rPr>
            <w:rStyle w:val="Hyperlink"/>
            <w:noProof/>
          </w:rPr>
          <w:t>21. Case before the General Court of the European Union:- Case C-581/11 P (Muhamad MUGRABY v Council)</w:t>
        </w:r>
        <w:r>
          <w:rPr>
            <w:noProof/>
            <w:webHidden/>
          </w:rPr>
          <w:tab/>
        </w:r>
        <w:r>
          <w:rPr>
            <w:noProof/>
            <w:webHidden/>
          </w:rPr>
          <w:fldChar w:fldCharType="begin"/>
        </w:r>
        <w:r>
          <w:rPr>
            <w:noProof/>
            <w:webHidden/>
          </w:rPr>
          <w:instrText xml:space="preserve"> PAGEREF _Toc311719038 \h </w:instrText>
        </w:r>
        <w:r>
          <w:rPr>
            <w:noProof/>
            <w:webHidden/>
          </w:rPr>
        </w:r>
        <w:r>
          <w:rPr>
            <w:noProof/>
            <w:webHidden/>
          </w:rPr>
          <w:fldChar w:fldCharType="separate"/>
        </w:r>
        <w:r>
          <w:rPr>
            <w:noProof/>
            <w:webHidden/>
          </w:rPr>
          <w:t>16</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39" w:history="1">
        <w:r w:rsidRPr="00512241">
          <w:rPr>
            <w:rStyle w:val="Hyperlink"/>
            <w:noProof/>
          </w:rPr>
          <w:t>22. Financial assistance to Portugal - Adoption of linguistic versions not available at the time of adoption of the act by the Council:-  Council Implementing Decision amending Implementing Decision 2011/344/EU on  granting Union financial assistance to Portugal</w:t>
        </w:r>
        <w:r>
          <w:rPr>
            <w:noProof/>
            <w:webHidden/>
          </w:rPr>
          <w:tab/>
        </w:r>
        <w:r>
          <w:rPr>
            <w:noProof/>
            <w:webHidden/>
          </w:rPr>
          <w:fldChar w:fldCharType="begin"/>
        </w:r>
        <w:r>
          <w:rPr>
            <w:noProof/>
            <w:webHidden/>
          </w:rPr>
          <w:instrText xml:space="preserve"> PAGEREF _Toc311719039 \h </w:instrText>
        </w:r>
        <w:r>
          <w:rPr>
            <w:noProof/>
            <w:webHidden/>
          </w:rPr>
        </w:r>
        <w:r>
          <w:rPr>
            <w:noProof/>
            <w:webHidden/>
          </w:rPr>
          <w:fldChar w:fldCharType="separate"/>
        </w:r>
        <w:r>
          <w:rPr>
            <w:noProof/>
            <w:webHidden/>
          </w:rPr>
          <w:t>16</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40" w:history="1">
        <w:r w:rsidRPr="00512241">
          <w:rPr>
            <w:rStyle w:val="Hyperlink"/>
            <w:noProof/>
          </w:rPr>
          <w:t>23. Code of Conduct (Business Taxation) - Report to the Council - Council Conclusions = Adoption</w:t>
        </w:r>
        <w:r>
          <w:rPr>
            <w:noProof/>
            <w:webHidden/>
          </w:rPr>
          <w:tab/>
        </w:r>
        <w:r>
          <w:rPr>
            <w:noProof/>
            <w:webHidden/>
          </w:rPr>
          <w:fldChar w:fldCharType="begin"/>
        </w:r>
        <w:r>
          <w:rPr>
            <w:noProof/>
            <w:webHidden/>
          </w:rPr>
          <w:instrText xml:space="preserve"> PAGEREF _Toc311719040 \h </w:instrText>
        </w:r>
        <w:r>
          <w:rPr>
            <w:noProof/>
            <w:webHidden/>
          </w:rPr>
        </w:r>
        <w:r>
          <w:rPr>
            <w:noProof/>
            <w:webHidden/>
          </w:rPr>
          <w:fldChar w:fldCharType="separate"/>
        </w:r>
        <w:r>
          <w:rPr>
            <w:noProof/>
            <w:webHidden/>
          </w:rPr>
          <w:t>16</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41" w:history="1">
        <w:r w:rsidRPr="00512241">
          <w:rPr>
            <w:rStyle w:val="Hyperlink"/>
            <w:noProof/>
          </w:rPr>
          <w:t>24. Propositions de directive et de règlement du Conseil concernant le régime de TVA applicable aux services d'assurance et aux services financiers - Rapport de la présidence sur l'état d'avancement des travaux</w:t>
        </w:r>
        <w:r>
          <w:rPr>
            <w:noProof/>
            <w:webHidden/>
          </w:rPr>
          <w:tab/>
        </w:r>
        <w:r>
          <w:rPr>
            <w:noProof/>
            <w:webHidden/>
          </w:rPr>
          <w:fldChar w:fldCharType="begin"/>
        </w:r>
        <w:r>
          <w:rPr>
            <w:noProof/>
            <w:webHidden/>
          </w:rPr>
          <w:instrText xml:space="preserve"> PAGEREF _Toc311719041 \h </w:instrText>
        </w:r>
        <w:r>
          <w:rPr>
            <w:noProof/>
            <w:webHidden/>
          </w:rPr>
        </w:r>
        <w:r>
          <w:rPr>
            <w:noProof/>
            <w:webHidden/>
          </w:rPr>
          <w:fldChar w:fldCharType="separate"/>
        </w:r>
        <w:r>
          <w:rPr>
            <w:noProof/>
            <w:webHidden/>
          </w:rPr>
          <w:t>17</w:t>
        </w:r>
        <w:r>
          <w:rPr>
            <w:noProof/>
            <w:webHidden/>
          </w:rPr>
          <w:fldChar w:fldCharType="end"/>
        </w:r>
      </w:hyperlink>
    </w:p>
    <w:p w:rsidR="00426B1D" w:rsidRDefault="00426B1D">
      <w:pPr>
        <w:pStyle w:val="TOC2"/>
        <w:tabs>
          <w:tab w:val="right" w:leader="dot" w:pos="7644"/>
        </w:tabs>
        <w:rPr>
          <w:rFonts w:ascii="Calibri" w:hAnsi="Calibri"/>
          <w:b w:val="0"/>
          <w:bCs w:val="0"/>
          <w:noProof/>
          <w:sz w:val="22"/>
          <w:szCs w:val="22"/>
          <w:lang w:eastAsia="sv-SE"/>
        </w:rPr>
      </w:pPr>
      <w:hyperlink w:anchor="_Toc311719042" w:history="1">
        <w:r w:rsidRPr="00512241">
          <w:rPr>
            <w:rStyle w:val="Hyperlink"/>
            <w:noProof/>
          </w:rPr>
          <w:t>25. Protocole fixant les possibilités de pêche et la contrepartie financière prévues par l'accord de partenariat dans le secteur de la pêche entre la Communauté européenne et le Royaume du Maroc- Suspension définitive de l'application provisoire</w:t>
        </w:r>
        <w:r>
          <w:rPr>
            <w:noProof/>
            <w:webHidden/>
          </w:rPr>
          <w:tab/>
        </w:r>
        <w:r>
          <w:rPr>
            <w:noProof/>
            <w:webHidden/>
          </w:rPr>
          <w:fldChar w:fldCharType="begin"/>
        </w:r>
        <w:r>
          <w:rPr>
            <w:noProof/>
            <w:webHidden/>
          </w:rPr>
          <w:instrText xml:space="preserve"> PAGEREF _Toc311719042 \h </w:instrText>
        </w:r>
        <w:r>
          <w:rPr>
            <w:noProof/>
            <w:webHidden/>
          </w:rPr>
        </w:r>
        <w:r>
          <w:rPr>
            <w:noProof/>
            <w:webHidden/>
          </w:rPr>
          <w:fldChar w:fldCharType="separate"/>
        </w:r>
        <w:r>
          <w:rPr>
            <w:noProof/>
            <w:webHidden/>
          </w:rPr>
          <w:t>18</w:t>
        </w:r>
        <w:r>
          <w:rPr>
            <w:noProof/>
            <w:webHidden/>
          </w:rPr>
          <w:fldChar w:fldCharType="end"/>
        </w:r>
      </w:hyperlink>
    </w:p>
    <w:p w:rsidR="00426B1D" w:rsidRDefault="00426B1D">
      <w:pPr>
        <w:pStyle w:val="RKnormal"/>
        <w:ind w:left="0"/>
        <w:rPr>
          <w:b/>
          <w:bCs/>
        </w:rPr>
      </w:pPr>
      <w:r>
        <w:rPr>
          <w:b/>
          <w:bCs/>
        </w:rPr>
        <w:fldChar w:fldCharType="end"/>
      </w:r>
    </w:p>
    <w:p w:rsidR="00426B1D" w:rsidRDefault="00426B1D">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11719016"/>
      <w:r>
        <w:t>Frågor som lösts i förberedande instanser</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26B1D" w:rsidRDefault="00426B1D">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426B1D" w:rsidRDefault="00426B1D" w:rsidP="00084B7D">
      <w:pPr>
        <w:pStyle w:val="RKnormal"/>
      </w:pPr>
    </w:p>
    <w:p w:rsidR="00426B1D" w:rsidRDefault="00426B1D">
      <w:pPr>
        <w:pStyle w:val="Heading1"/>
        <w:spacing w:before="0" w:after="0"/>
      </w:pPr>
      <w:bookmarkStart w:id="55" w:name="_Toc311719017"/>
      <w:r>
        <w:t>Troliga A-punkter inför kommande rådsmöten som förväntas godkännas vid Coreper II 2011-12-15.</w:t>
      </w:r>
      <w:bookmarkEnd w:id="55"/>
      <w:r>
        <w:t xml:space="preserve"> </w:t>
      </w:r>
      <w:bookmarkStart w:id="56" w:name="Punkt"/>
      <w:bookmarkEnd w:id="56"/>
    </w:p>
    <w:p w:rsidR="00426B1D" w:rsidRDefault="00426B1D">
      <w:pPr>
        <w:pStyle w:val="RKnormal"/>
        <w:tabs>
          <w:tab w:val="clear" w:pos="1843"/>
          <w:tab w:val="left" w:pos="0"/>
        </w:tabs>
        <w:ind w:left="0"/>
      </w:pPr>
      <w:r>
        <w:t xml:space="preserve">  </w:t>
      </w:r>
    </w:p>
    <w:p w:rsidR="00426B1D" w:rsidRPr="007611F0" w:rsidRDefault="00426B1D" w:rsidP="007611F0">
      <w:pPr>
        <w:pStyle w:val="Heading2"/>
      </w:pPr>
      <w:bookmarkStart w:id="57" w:name="_Toc311719018"/>
      <w:r>
        <w:t>1. Case T-434/11 before the Court (Europäisch-Iranische Handelsbank AG v. Council of the European Union)</w:t>
      </w:r>
      <w:bookmarkEnd w:id="57"/>
    </w:p>
    <w:p w:rsidR="00426B1D" w:rsidRPr="007611F0" w:rsidRDefault="00426B1D" w:rsidP="007611F0">
      <w:r>
        <w:t>18261/11</w:t>
      </w:r>
    </w:p>
    <w:p w:rsidR="00426B1D" w:rsidRDefault="00426B1D">
      <w:pPr>
        <w:pStyle w:val="RKnormal"/>
        <w:tabs>
          <w:tab w:val="clear" w:pos="1843"/>
          <w:tab w:val="left" w:pos="0"/>
        </w:tabs>
        <w:ind w:left="0"/>
      </w:pPr>
    </w:p>
    <w:p w:rsidR="00426B1D" w:rsidRPr="007611F0" w:rsidRDefault="00426B1D" w:rsidP="007611F0">
      <w:r>
        <w:t>Ansvarigt departement: Utrikesdepartementet</w:t>
      </w:r>
    </w:p>
    <w:p w:rsidR="00426B1D" w:rsidRDefault="00426B1D">
      <w:pPr>
        <w:pStyle w:val="RKnormal"/>
        <w:tabs>
          <w:tab w:val="clear" w:pos="1843"/>
          <w:tab w:val="left" w:pos="0"/>
        </w:tabs>
        <w:ind w:left="0"/>
      </w:pPr>
    </w:p>
    <w:p w:rsidR="00426B1D" w:rsidRPr="007611F0" w:rsidRDefault="00426B1D" w:rsidP="007611F0">
      <w:r>
        <w:t>Ansvarigt statsråd: Birgitta Ohlsson</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835EB4">
      <w:r>
        <w:t xml:space="preserve">Föranleder ingen annotering </w:t>
      </w:r>
    </w:p>
    <w:p w:rsidR="00426B1D" w:rsidRPr="007611F0" w:rsidRDefault="00426B1D" w:rsidP="007611F0">
      <w:pPr>
        <w:pStyle w:val="Heading2"/>
      </w:pPr>
      <w:bookmarkStart w:id="58" w:name="_Toc311719019"/>
      <w:r>
        <w:t>2. Case before the General Court of the European Union- Case T-572/11 - Samir Hassan v. Council</w:t>
      </w:r>
      <w:bookmarkEnd w:id="58"/>
    </w:p>
    <w:p w:rsidR="00426B1D" w:rsidRPr="007611F0" w:rsidRDefault="00426B1D" w:rsidP="007611F0">
      <w:r>
        <w:t>18408/11</w:t>
      </w:r>
    </w:p>
    <w:p w:rsidR="00426B1D" w:rsidRDefault="00426B1D">
      <w:pPr>
        <w:pStyle w:val="RKnormal"/>
        <w:tabs>
          <w:tab w:val="clear" w:pos="1843"/>
          <w:tab w:val="left" w:pos="0"/>
        </w:tabs>
        <w:ind w:left="0"/>
      </w:pPr>
    </w:p>
    <w:p w:rsidR="00426B1D" w:rsidRPr="007611F0" w:rsidRDefault="00426B1D" w:rsidP="007611F0">
      <w:r>
        <w:t>Ansvarigt departement: Utrikesdepartementet</w:t>
      </w:r>
    </w:p>
    <w:p w:rsidR="00426B1D" w:rsidRDefault="00426B1D">
      <w:pPr>
        <w:pStyle w:val="RKnormal"/>
        <w:tabs>
          <w:tab w:val="clear" w:pos="1843"/>
          <w:tab w:val="left" w:pos="0"/>
        </w:tabs>
        <w:ind w:left="0"/>
      </w:pPr>
    </w:p>
    <w:p w:rsidR="00426B1D" w:rsidRPr="007611F0" w:rsidRDefault="00426B1D" w:rsidP="007611F0">
      <w:r>
        <w:t>Ansvarigt statsråd: Birgitta Ohlsson</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835EB4">
      <w:r>
        <w:t xml:space="preserve">Föranleder ingen annotering </w:t>
      </w:r>
    </w:p>
    <w:p w:rsidR="00426B1D" w:rsidRDefault="00426B1D">
      <w:pPr>
        <w:spacing w:line="240" w:lineRule="auto"/>
        <w:rPr>
          <w:rFonts w:ascii="Arial" w:hAnsi="Arial" w:cs="Arial"/>
          <w:b/>
          <w:i/>
          <w:iCs/>
          <w:kern w:val="28"/>
        </w:rPr>
      </w:pPr>
      <w:r>
        <w:br w:type="page"/>
      </w:r>
    </w:p>
    <w:p w:rsidR="00426B1D" w:rsidRPr="007611F0" w:rsidRDefault="00426B1D" w:rsidP="007611F0">
      <w:pPr>
        <w:pStyle w:val="Heading2"/>
      </w:pPr>
      <w:bookmarkStart w:id="59" w:name="_Toc311719020"/>
      <w:r>
        <w:t>3. Council Decision amending the Council's Rules of Procedure- Updating the table of the population of the Member States for 2012</w:t>
      </w:r>
      <w:bookmarkEnd w:id="59"/>
    </w:p>
    <w:p w:rsidR="00426B1D" w:rsidRPr="007611F0" w:rsidRDefault="00426B1D" w:rsidP="007611F0">
      <w:r>
        <w:t>17116/11, 17028/11</w:t>
      </w:r>
    </w:p>
    <w:p w:rsidR="00426B1D" w:rsidRDefault="00426B1D">
      <w:pPr>
        <w:pStyle w:val="RKnormal"/>
        <w:tabs>
          <w:tab w:val="clear" w:pos="1843"/>
          <w:tab w:val="left" w:pos="0"/>
        </w:tabs>
        <w:ind w:left="0"/>
      </w:pPr>
    </w:p>
    <w:p w:rsidR="00426B1D" w:rsidRPr="007611F0" w:rsidRDefault="00426B1D" w:rsidP="007611F0">
      <w:r>
        <w:t>Ansvarigt departement: Statsrådsberedningen</w:t>
      </w:r>
    </w:p>
    <w:p w:rsidR="00426B1D" w:rsidRDefault="00426B1D">
      <w:pPr>
        <w:pStyle w:val="RKnormal"/>
        <w:tabs>
          <w:tab w:val="clear" w:pos="1843"/>
          <w:tab w:val="left" w:pos="0"/>
        </w:tabs>
        <w:ind w:left="0"/>
      </w:pPr>
    </w:p>
    <w:p w:rsidR="00426B1D" w:rsidRPr="007611F0" w:rsidRDefault="00426B1D" w:rsidP="007611F0">
      <w:r>
        <w:t>Ansvarigt statsråd: Birgitta Ohlsson</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835EB4">
      <w:r>
        <w:t xml:space="preserve">I artikel 3.3 i protokollet (nr 36) om övergångsbestämmelser, fogat till fördragen, föreskrivas att fram till och med den 31 oktober 2014 gäller att då beslut antas i rådet med kvalificerad majoritet ska denna majoritet motsvara 62 % av unionen totala befolkningen. Enligt artikel 2.2 i bilaga III till rådets arbetsordning ska rådet med verkan från och med den 1 januari varje år, i enlighet med uppgifter som EU:s statistikkontor innehar den 30 september föregående år, anpassa befolkningsuppgifterna i artikel 1 i ovan nämnda bilaga. Arbetsordningen bör därför anpassas i enlighet med detta för år 2012.  </w:t>
      </w:r>
    </w:p>
    <w:p w:rsidR="00426B1D" w:rsidRPr="007611F0" w:rsidRDefault="00426B1D" w:rsidP="007611F0">
      <w:pPr>
        <w:pStyle w:val="Heading2"/>
      </w:pPr>
      <w:bookmarkStart w:id="60" w:name="_Toc311719021"/>
      <w:r>
        <w:t>4. Economic and Social Committee- Council Decision appointing a German member of the European Economic and Social Committee</w:t>
      </w:r>
      <w:bookmarkEnd w:id="60"/>
    </w:p>
    <w:p w:rsidR="00426B1D" w:rsidRPr="007611F0" w:rsidRDefault="00426B1D" w:rsidP="007611F0">
      <w:r>
        <w:t>17953/11, 17952/11</w:t>
      </w:r>
    </w:p>
    <w:p w:rsidR="00426B1D" w:rsidRDefault="00426B1D">
      <w:pPr>
        <w:pStyle w:val="RKnormal"/>
        <w:tabs>
          <w:tab w:val="clear" w:pos="1843"/>
          <w:tab w:val="left" w:pos="0"/>
        </w:tabs>
        <w:ind w:left="0"/>
      </w:pPr>
    </w:p>
    <w:p w:rsidR="00426B1D" w:rsidRPr="007611F0" w:rsidRDefault="00426B1D" w:rsidP="007611F0">
      <w:r>
        <w:t>Ansvarigt departement: Arbetsmarknadsdepartementet</w:t>
      </w:r>
    </w:p>
    <w:p w:rsidR="00426B1D" w:rsidRDefault="00426B1D">
      <w:pPr>
        <w:pStyle w:val="RKnormal"/>
        <w:tabs>
          <w:tab w:val="clear" w:pos="1843"/>
          <w:tab w:val="left" w:pos="0"/>
        </w:tabs>
        <w:ind w:left="0"/>
      </w:pPr>
    </w:p>
    <w:p w:rsidR="00426B1D" w:rsidRPr="007611F0" w:rsidRDefault="00426B1D" w:rsidP="007611F0">
      <w:r>
        <w:t>Ansvarigt statsråd: Hillevi Engström</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835EB4">
      <w:r>
        <w:t xml:space="preserve">Föranleder ingen annotering. </w:t>
      </w:r>
    </w:p>
    <w:p w:rsidR="00426B1D" w:rsidRPr="007611F0" w:rsidRDefault="00426B1D" w:rsidP="007611F0">
      <w:pPr>
        <w:pStyle w:val="Heading2"/>
      </w:pPr>
      <w:bookmarkStart w:id="61" w:name="_Toc311719022"/>
      <w:r>
        <w:t>5. Committee of the Regions- Council Decision appointing a Danish member of the Committee of the Regions</w:t>
      </w:r>
      <w:bookmarkEnd w:id="61"/>
    </w:p>
    <w:p w:rsidR="00426B1D" w:rsidRPr="007611F0" w:rsidRDefault="00426B1D" w:rsidP="007611F0">
      <w:r>
        <w:t>18317/11, 18316/11</w:t>
      </w:r>
    </w:p>
    <w:p w:rsidR="00426B1D" w:rsidRDefault="00426B1D">
      <w:pPr>
        <w:pStyle w:val="RKnormal"/>
        <w:tabs>
          <w:tab w:val="clear" w:pos="1843"/>
          <w:tab w:val="left" w:pos="0"/>
        </w:tabs>
        <w:ind w:left="0"/>
      </w:pPr>
    </w:p>
    <w:p w:rsidR="00426B1D" w:rsidRPr="007611F0" w:rsidRDefault="00426B1D" w:rsidP="007611F0">
      <w:r>
        <w:t>Ansvarigt departement: Finansdepartementet</w:t>
      </w:r>
    </w:p>
    <w:p w:rsidR="00426B1D" w:rsidRDefault="00426B1D">
      <w:pPr>
        <w:pStyle w:val="RKnormal"/>
        <w:tabs>
          <w:tab w:val="clear" w:pos="1843"/>
          <w:tab w:val="left" w:pos="0"/>
        </w:tabs>
        <w:ind w:left="0"/>
      </w:pPr>
    </w:p>
    <w:p w:rsidR="00426B1D" w:rsidRPr="007611F0" w:rsidRDefault="00426B1D" w:rsidP="007611F0">
      <w:r>
        <w:t>Ansvarigt statsråd: Peter Norman</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835EB4">
      <w:r>
        <w:t xml:space="preserve">Föranleder ingen annotering. </w:t>
      </w:r>
    </w:p>
    <w:p w:rsidR="00426B1D" w:rsidRPr="007611F0" w:rsidRDefault="00426B1D" w:rsidP="007611F0">
      <w:pPr>
        <w:pStyle w:val="Heading2"/>
      </w:pPr>
      <w:bookmarkStart w:id="62" w:name="_Toc311719023"/>
      <w:r>
        <w:t>6. Appointment of the members of the OLAF Supervisory Committee</w:t>
      </w:r>
      <w:bookmarkEnd w:id="62"/>
    </w:p>
    <w:p w:rsidR="00426B1D" w:rsidRPr="007611F0" w:rsidRDefault="00426B1D" w:rsidP="007611F0">
      <w:r>
        <w:t>18367/11</w:t>
      </w:r>
    </w:p>
    <w:p w:rsidR="00426B1D" w:rsidRDefault="00426B1D">
      <w:pPr>
        <w:pStyle w:val="RKnormal"/>
        <w:tabs>
          <w:tab w:val="clear" w:pos="1843"/>
          <w:tab w:val="left" w:pos="0"/>
        </w:tabs>
        <w:ind w:left="0"/>
      </w:pPr>
    </w:p>
    <w:p w:rsidR="00426B1D" w:rsidRPr="007611F0" w:rsidRDefault="00426B1D" w:rsidP="007611F0">
      <w:r>
        <w:t>Ansvarigt departement: Finansdepartementet</w:t>
      </w:r>
    </w:p>
    <w:p w:rsidR="00426B1D" w:rsidRDefault="00426B1D">
      <w:pPr>
        <w:pStyle w:val="RKnormal"/>
        <w:tabs>
          <w:tab w:val="clear" w:pos="1843"/>
          <w:tab w:val="left" w:pos="0"/>
        </w:tabs>
        <w:ind w:left="0"/>
      </w:pPr>
    </w:p>
    <w:p w:rsidR="00426B1D" w:rsidRPr="007611F0" w:rsidRDefault="00426B1D" w:rsidP="007611F0">
      <w:r>
        <w:t>Ansvarigt statsråd: Anders Borg</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7611F0">
      <w:r>
        <w:t>Enligt Europaparlamentets och rådets förordning (EG) Nr 1073/1999 av den 25 maj 1999 om utredningar som utförs av Europeiska byrån för bedrägeribekämpning ska övervakningskommittén:</w:t>
      </w:r>
    </w:p>
    <w:p w:rsidR="00426B1D" w:rsidRDefault="00426B1D" w:rsidP="007611F0">
      <w:r>
        <w:t>- genom regelbunden kontroll av utredningsarbetet stödja byråns oberoende</w:t>
      </w:r>
    </w:p>
    <w:p w:rsidR="00426B1D" w:rsidRDefault="00426B1D" w:rsidP="007611F0">
      <w:r>
        <w:t>- bestå av fem utomstående oberoende personer</w:t>
      </w:r>
    </w:p>
    <w:p w:rsidR="00426B1D" w:rsidRDefault="00426B1D" w:rsidP="007611F0">
      <w:r>
        <w:t>- utses av Europaparlamentet, rådet och kommissionen i samförstånd</w:t>
      </w:r>
    </w:p>
    <w:p w:rsidR="00426B1D" w:rsidRDefault="00426B1D" w:rsidP="007611F0">
      <w:r>
        <w:t>- utses för en period på tre år. Deras mandat kan förnyas en gång.</w:t>
      </w:r>
    </w:p>
    <w:p w:rsidR="00426B1D" w:rsidRDefault="00426B1D" w:rsidP="007611F0">
      <w:r>
        <w:t>- när mandattiden löper ut ska ledamöterna sitta kvar i avvaktan på att deras mandat förnyas eller till dess att ersättare har utsetts.</w:t>
      </w:r>
    </w:p>
    <w:p w:rsidR="00426B1D" w:rsidRDefault="00426B1D" w:rsidP="007611F0"/>
    <w:p w:rsidR="00426B1D" w:rsidRDefault="00426B1D" w:rsidP="007611F0">
      <w:r>
        <w:t>Övervakningskommittés mandat gick ut den 30 november i år.</w:t>
      </w:r>
    </w:p>
    <w:p w:rsidR="00426B1D" w:rsidRDefault="00426B1D" w:rsidP="007611F0"/>
    <w:p w:rsidR="00426B1D" w:rsidRDefault="00426B1D" w:rsidP="007611F0">
      <w:r>
        <w:t xml:space="preserve">Kommissionen lämnade tidigare ett förslag på tillvägagångssätt för att tillsätta en ny kommitté. Kommissionens förslag har behandlats av rådsarbetsgruppen Working Party on Combating Fraud (GAF) som har godkänt kommissionens förlag med några mindre ändringar. </w:t>
      </w:r>
    </w:p>
    <w:p w:rsidR="00426B1D" w:rsidRDefault="00426B1D" w:rsidP="007611F0"/>
    <w:p w:rsidR="00426B1D" w:rsidRDefault="00426B1D" w:rsidP="007611F0">
      <w:r>
        <w:t xml:space="preserve">Kommissionens förslag gick ut på att rådet, EP och KOM föreslår tre namn var. Av dessa nio namn ska en high level group (HLG) välja ut fem ordinarie ledamöter. De fyra som inte blir valda blir reserver som kan gå in för det fall att någon ordinarie ledamot lämnar sitt uppdrag i förtid. </w:t>
      </w:r>
    </w:p>
    <w:p w:rsidR="00426B1D" w:rsidRDefault="00426B1D" w:rsidP="007611F0">
      <w:r>
        <w:t>HLG består av representanter från rådet, EP och KOM. Tillvägagångssättet är samma som användes 2005 för att ta fram den innevarande övervakningskommittén.</w:t>
      </w:r>
    </w:p>
    <w:p w:rsidR="00426B1D" w:rsidRDefault="00426B1D" w:rsidP="007611F0"/>
    <w:p w:rsidR="00426B1D" w:rsidRDefault="00426B1D" w:rsidP="007611F0">
      <w:r>
        <w:t>HLG har enats om följande personer som ordinarie ledamöter:</w:t>
      </w:r>
    </w:p>
    <w:p w:rsidR="00426B1D" w:rsidRDefault="00426B1D" w:rsidP="007611F0">
      <w:r>
        <w:t xml:space="preserve">Herbert Bosch (AT) </w:t>
      </w:r>
    </w:p>
    <w:p w:rsidR="00426B1D" w:rsidRDefault="00426B1D" w:rsidP="007611F0">
      <w:r>
        <w:t>Johan Denolf (BE)</w:t>
      </w:r>
    </w:p>
    <w:p w:rsidR="00426B1D" w:rsidRDefault="00426B1D" w:rsidP="007611F0">
      <w:r>
        <w:t xml:space="preserve">Catherine Pignon (FR) </w:t>
      </w:r>
    </w:p>
    <w:p w:rsidR="00426B1D" w:rsidRDefault="00426B1D" w:rsidP="007611F0">
      <w:r>
        <w:t xml:space="preserve">Rita Schembri (MT) </w:t>
      </w:r>
    </w:p>
    <w:p w:rsidR="00426B1D" w:rsidRDefault="00426B1D" w:rsidP="007611F0">
      <w:r>
        <w:t xml:space="preserve">Christiaan Timmermans (NL) </w:t>
      </w:r>
    </w:p>
    <w:p w:rsidR="00426B1D" w:rsidRDefault="00426B1D" w:rsidP="007611F0">
      <w:r>
        <w:t xml:space="preserve"> </w:t>
      </w:r>
    </w:p>
    <w:p w:rsidR="00426B1D" w:rsidRDefault="00426B1D" w:rsidP="007611F0">
      <w:r>
        <w:t>HLG har även enats om följande personer som ersättare, i följande ordning:</w:t>
      </w:r>
    </w:p>
    <w:p w:rsidR="00426B1D" w:rsidRDefault="00426B1D" w:rsidP="007611F0">
      <w:r>
        <w:t>Jens Madsen (DK)</w:t>
      </w:r>
    </w:p>
    <w:p w:rsidR="00426B1D" w:rsidRDefault="00426B1D" w:rsidP="007611F0">
      <w:r>
        <w:t xml:space="preserve">Cristina Nicoara (RO) </w:t>
      </w:r>
    </w:p>
    <w:p w:rsidR="00426B1D" w:rsidRDefault="00426B1D" w:rsidP="007611F0">
      <w:r>
        <w:t>Tuomas Henrik Poysti (FI)</w:t>
      </w:r>
    </w:p>
    <w:p w:rsidR="00426B1D" w:rsidRDefault="00426B1D" w:rsidP="007611F0">
      <w:r>
        <w:t>Dimitrios Zimantis (EL)</w:t>
      </w:r>
    </w:p>
    <w:p w:rsidR="00426B1D" w:rsidRDefault="00426B1D" w:rsidP="007611F0"/>
    <w:p w:rsidR="00426B1D" w:rsidRDefault="00426B1D" w:rsidP="00835EB4">
      <w:r>
        <w:t xml:space="preserve">Dokumenten är godkända.  </w:t>
      </w:r>
    </w:p>
    <w:p w:rsidR="00426B1D" w:rsidRPr="007611F0" w:rsidRDefault="00426B1D" w:rsidP="007611F0">
      <w:pPr>
        <w:pStyle w:val="Heading2"/>
      </w:pPr>
      <w:bookmarkStart w:id="63" w:name="_Toc311719024"/>
      <w:r>
        <w:t>7. Integrated Maritime Policy - Draft Council conclusions</w:t>
      </w:r>
      <w:bookmarkEnd w:id="63"/>
    </w:p>
    <w:p w:rsidR="00426B1D" w:rsidRPr="007611F0" w:rsidRDefault="00426B1D" w:rsidP="007611F0">
      <w:r>
        <w:t>18356/11, 18279/11</w:t>
      </w:r>
    </w:p>
    <w:p w:rsidR="00426B1D" w:rsidRDefault="00426B1D">
      <w:pPr>
        <w:pStyle w:val="RKnormal"/>
        <w:tabs>
          <w:tab w:val="clear" w:pos="1843"/>
          <w:tab w:val="left" w:pos="0"/>
        </w:tabs>
        <w:ind w:left="0"/>
      </w:pPr>
    </w:p>
    <w:p w:rsidR="00426B1D" w:rsidRPr="007611F0" w:rsidRDefault="00426B1D" w:rsidP="007611F0">
      <w:r>
        <w:t>Ansvarigt departement: Näringsdepartementet</w:t>
      </w:r>
    </w:p>
    <w:p w:rsidR="00426B1D" w:rsidRDefault="00426B1D">
      <w:pPr>
        <w:pStyle w:val="RKnormal"/>
        <w:tabs>
          <w:tab w:val="clear" w:pos="1843"/>
          <w:tab w:val="left" w:pos="0"/>
        </w:tabs>
        <w:ind w:left="0"/>
      </w:pPr>
    </w:p>
    <w:p w:rsidR="00426B1D" w:rsidRPr="007611F0" w:rsidRDefault="00426B1D" w:rsidP="007611F0">
      <w:r>
        <w:t>Ansvarigt statsråd: Catharina Elmsäter-Svärd</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835EB4">
      <w:r>
        <w:t xml:space="preserve">Den integrerade havspolitiken inrättades i utgången av 2007 genom att Europeiska rådet antog slutsatser med anledning av en vitbok från kommissionen om detta tvärsektoriella politikområde.  Det polska ordförandeskapet har valt att ta fram rådslutsatser som återger rådets syn på utvecklingen av den integrerade havspolitiken. De flesta tvärsektoriella angreppssätten inom politikområdet liksom de regionala strategiernas status kommenteras i slutsatserna. Exempel på tvärsektoriella angreppssätt är havsplanering, sjöövervakning och marint kunnande. Exempel på regionala strategier är Östersjöstrategin där en halvtidsöversyn just genomförts och Atlantstrategin som nyligen presenterats av kommissionen. </w:t>
      </w:r>
    </w:p>
    <w:p w:rsidR="00426B1D" w:rsidRPr="007611F0" w:rsidRDefault="00426B1D" w:rsidP="007611F0">
      <w:pPr>
        <w:pStyle w:val="Heading2"/>
      </w:pPr>
      <w:bookmarkStart w:id="64" w:name="_Toc311719025"/>
      <w:r>
        <w:t>8. Council Regulation temporarily suspending autonomous Common Customs Tariff duties on imports of certain industrial products into the Canary Islands</w:t>
      </w:r>
      <w:bookmarkEnd w:id="64"/>
    </w:p>
    <w:p w:rsidR="00426B1D" w:rsidRPr="007611F0" w:rsidRDefault="00426B1D" w:rsidP="007611F0">
      <w:r>
        <w:t>18202/11, 17977/11</w:t>
      </w:r>
    </w:p>
    <w:p w:rsidR="00426B1D" w:rsidRDefault="00426B1D">
      <w:pPr>
        <w:pStyle w:val="RKnormal"/>
        <w:tabs>
          <w:tab w:val="clear" w:pos="1843"/>
          <w:tab w:val="left" w:pos="0"/>
        </w:tabs>
        <w:ind w:left="0"/>
      </w:pPr>
    </w:p>
    <w:p w:rsidR="00426B1D" w:rsidRPr="007611F0" w:rsidRDefault="00426B1D" w:rsidP="007611F0">
      <w:r>
        <w:t>Ansvarigt departement: Näringsdepartementet</w:t>
      </w:r>
    </w:p>
    <w:p w:rsidR="00426B1D" w:rsidRDefault="00426B1D">
      <w:pPr>
        <w:pStyle w:val="RKnormal"/>
        <w:tabs>
          <w:tab w:val="clear" w:pos="1843"/>
          <w:tab w:val="left" w:pos="0"/>
        </w:tabs>
        <w:ind w:left="0"/>
      </w:pPr>
    </w:p>
    <w:p w:rsidR="00426B1D" w:rsidRPr="007611F0" w:rsidRDefault="00426B1D" w:rsidP="007611F0">
      <w:r>
        <w:t>Ansvarigt statsråd: Annie Lööf</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7611F0">
      <w:r>
        <w:t>Genom beslut år 2002 fattades motsvarande beslut, som löper ut den sista december i år. De nya förslaget innebär att bestämmelserna förlängs för ytterligare en tioårsperiod.</w:t>
      </w:r>
    </w:p>
    <w:p w:rsidR="00426B1D" w:rsidRDefault="00426B1D" w:rsidP="007611F0"/>
    <w:p w:rsidR="00426B1D" w:rsidRDefault="00426B1D" w:rsidP="007611F0">
      <w:r>
        <w:t>Förslaget baseras på artikel 349 i fördraget som medger särskilda åtgärder med anledning av de ultraperifera regionernas ekonomiska och geografiska nackdelar. Vidare hänvisas till att den ekonomiska krisen drabbat Kanarieöarna hårt och att arbetslösheten är den högsta i Spanien</w:t>
      </w:r>
    </w:p>
    <w:p w:rsidR="00426B1D" w:rsidRDefault="00426B1D" w:rsidP="007611F0"/>
    <w:p w:rsidR="00426B1D" w:rsidRDefault="00426B1D" w:rsidP="00835EB4">
      <w:r>
        <w:t xml:space="preserve">Förslaget innebär att de lokala aktörerna på Kanarieöarna tullfritt kan importera vissa råvaror, delar, komponenter och insatsvaror. </w:t>
      </w:r>
    </w:p>
    <w:p w:rsidR="00426B1D" w:rsidRPr="007611F0" w:rsidRDefault="00426B1D" w:rsidP="007611F0">
      <w:pPr>
        <w:pStyle w:val="Heading2"/>
      </w:pPr>
      <w:bookmarkStart w:id="65" w:name="_Toc311719026"/>
      <w:r>
        <w:t>9. Proposal for a Council Decision amending Decision 2002/546/EC as regards its period of application</w:t>
      </w:r>
      <w:bookmarkEnd w:id="65"/>
      <w:r>
        <w:t xml:space="preserve"> </w:t>
      </w:r>
    </w:p>
    <w:p w:rsidR="00426B1D" w:rsidRPr="007611F0" w:rsidRDefault="00426B1D" w:rsidP="007611F0">
      <w:r>
        <w:t>18200/11, 13316/11, 17993/11</w:t>
      </w:r>
    </w:p>
    <w:p w:rsidR="00426B1D" w:rsidRDefault="00426B1D">
      <w:pPr>
        <w:pStyle w:val="RKnormal"/>
        <w:tabs>
          <w:tab w:val="clear" w:pos="1843"/>
          <w:tab w:val="left" w:pos="0"/>
        </w:tabs>
        <w:ind w:left="0"/>
      </w:pPr>
    </w:p>
    <w:p w:rsidR="00426B1D" w:rsidRPr="007611F0" w:rsidRDefault="00426B1D" w:rsidP="007611F0">
      <w:r>
        <w:t>Ansvarigt departement: Näringsdepartementet</w:t>
      </w:r>
    </w:p>
    <w:p w:rsidR="00426B1D" w:rsidRDefault="00426B1D">
      <w:pPr>
        <w:pStyle w:val="RKnormal"/>
        <w:tabs>
          <w:tab w:val="clear" w:pos="1843"/>
          <w:tab w:val="left" w:pos="0"/>
        </w:tabs>
        <w:ind w:left="0"/>
      </w:pPr>
    </w:p>
    <w:p w:rsidR="00426B1D" w:rsidRPr="007611F0" w:rsidRDefault="00426B1D" w:rsidP="007611F0">
      <w:r>
        <w:t>Ansvarigt statsråd: Annie Lööf</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7611F0">
      <w:r>
        <w:t>Genom rådets beslut 2002 fick Spanien möjlighet att belägga drygt 100 produkter med en särskild skatt (AIEM), samtidigt som lokal produktion sedan helt eller delvis kunde undantas från denna skatt. Beslutet gäller t.o.m. den 31 december 2011. Syftet är att stärka de lokala producenternas konkurrenskraft, som brottas med en liten och utspridd hemmamarknad, höga transportkostnader, dyra råvaror och stora lagringskostnader m.m. Den legala basen är artikel 349 i fördraget (med kvalificerad majoritet), som medger specifika åtgärder för de ultraperifera regionerna bl.a. inom skattepolitiken.</w:t>
      </w:r>
    </w:p>
    <w:p w:rsidR="00426B1D" w:rsidRDefault="00426B1D" w:rsidP="007611F0"/>
    <w:p w:rsidR="00426B1D" w:rsidRDefault="00426B1D" w:rsidP="00835EB4">
      <w:r>
        <w:t xml:space="preserve">Det nya förslaget innebär en förlängning till utgången av år 2013. Motivet är att den ekonomiska krisen drabbat öarna hårt, men också att få samma utgångsdatum som för riktlinjerna för statligt regionalstöd. </w:t>
      </w:r>
    </w:p>
    <w:p w:rsidR="00426B1D" w:rsidRDefault="00426B1D">
      <w:pPr>
        <w:spacing w:line="240" w:lineRule="auto"/>
        <w:rPr>
          <w:rFonts w:ascii="Arial" w:hAnsi="Arial" w:cs="Arial"/>
          <w:b/>
          <w:i/>
          <w:iCs/>
          <w:kern w:val="28"/>
        </w:rPr>
      </w:pPr>
      <w:r>
        <w:br w:type="page"/>
      </w:r>
    </w:p>
    <w:p w:rsidR="00426B1D" w:rsidRPr="007611F0" w:rsidRDefault="00426B1D" w:rsidP="007611F0">
      <w:pPr>
        <w:pStyle w:val="Heading2"/>
      </w:pPr>
      <w:bookmarkStart w:id="66" w:name="_Toc311719027"/>
      <w:r>
        <w:t>10. Proposal for a Council Decision amending Decision 2007/659/EC as regards its period of application and the annual quota benefiting from a reduced rate of excise duty</w:t>
      </w:r>
      <w:bookmarkEnd w:id="66"/>
    </w:p>
    <w:p w:rsidR="00426B1D" w:rsidRPr="007611F0" w:rsidRDefault="00426B1D" w:rsidP="007611F0">
      <w:r>
        <w:t>18199/11, 14775/11, 17995/11</w:t>
      </w:r>
    </w:p>
    <w:p w:rsidR="00426B1D" w:rsidRDefault="00426B1D">
      <w:pPr>
        <w:pStyle w:val="RKnormal"/>
        <w:tabs>
          <w:tab w:val="clear" w:pos="1843"/>
          <w:tab w:val="left" w:pos="0"/>
        </w:tabs>
        <w:ind w:left="0"/>
      </w:pPr>
    </w:p>
    <w:p w:rsidR="00426B1D" w:rsidRPr="007611F0" w:rsidRDefault="00426B1D" w:rsidP="007611F0">
      <w:r>
        <w:t>Ansvarigt departement: Näringsdepartementet</w:t>
      </w:r>
    </w:p>
    <w:p w:rsidR="00426B1D" w:rsidRDefault="00426B1D">
      <w:pPr>
        <w:pStyle w:val="RKnormal"/>
        <w:tabs>
          <w:tab w:val="clear" w:pos="1843"/>
          <w:tab w:val="left" w:pos="0"/>
        </w:tabs>
        <w:ind w:left="0"/>
      </w:pPr>
    </w:p>
    <w:p w:rsidR="00426B1D" w:rsidRPr="007611F0" w:rsidRDefault="00426B1D" w:rsidP="007611F0">
      <w:r>
        <w:t>Ansvarigt statsråd: Annie Lööf</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7611F0">
      <w:r>
        <w:t xml:space="preserve">Genom rådets beslut 2007 fick Frankrike tillstånd att på det franska fastlandet tillämpa en lägre punktskattesats för traditionell rom som framställs i landets utomeuropeiska departement; punktskattesatsen får understiga den minimiskattesats som fastställs i direktiv 92/84/EG men får inte vara mer än 50 procent lägre än den nationella grundskattesatsen för alkohol. Den nedsatta punktskatten är begränsad till en årlig kvot på 108 000 hektoliter ren alkohol. Undantaget löper ut den 31 december 2012. </w:t>
      </w:r>
    </w:p>
    <w:p w:rsidR="00426B1D" w:rsidRDefault="00426B1D" w:rsidP="007611F0"/>
    <w:p w:rsidR="00426B1D" w:rsidRDefault="00426B1D" w:rsidP="007611F0">
      <w:r>
        <w:t>I en rapport från de franska myndigheterna begärs dels en utökning av den årliga kvoten för att anpassa denna till utvecklingen på unionens marknad för rom, dels att tillämpningstiden förlängs med ett år, dvs. till och med den 31 december 2013.</w:t>
      </w:r>
    </w:p>
    <w:p w:rsidR="00426B1D" w:rsidRDefault="00426B1D" w:rsidP="007611F0"/>
    <w:p w:rsidR="00426B1D" w:rsidRDefault="00426B1D" w:rsidP="007611F0">
      <w:r>
        <w:t>Det nya förslaget innebär en ökning av kvoten till 120 000 hektoliter samt förlängning t.o.m. år 2013.</w:t>
      </w:r>
    </w:p>
    <w:p w:rsidR="00426B1D" w:rsidRDefault="00426B1D" w:rsidP="007611F0"/>
    <w:p w:rsidR="00426B1D" w:rsidRDefault="00426B1D" w:rsidP="00835EB4">
      <w:r>
        <w:t xml:space="preserve">Den legala basen är artikel 349 i fördraget och förslaget påverkar inte EU-budgeten. </w:t>
      </w:r>
    </w:p>
    <w:p w:rsidR="00426B1D" w:rsidRPr="007611F0" w:rsidRDefault="00426B1D" w:rsidP="007611F0">
      <w:pPr>
        <w:pStyle w:val="Heading2"/>
      </w:pPr>
      <w:bookmarkStart w:id="67" w:name="_Toc311719028"/>
      <w:r>
        <w:t>11. Proposal for a Regulation of the European Parliament and of the Council laying down general provisions for Macro-Financial Assistance to third countries- General Approach</w:t>
      </w:r>
      <w:bookmarkEnd w:id="67"/>
    </w:p>
    <w:p w:rsidR="00426B1D" w:rsidRPr="007611F0" w:rsidRDefault="00426B1D" w:rsidP="007611F0">
      <w:r>
        <w:t>18234/11</w:t>
      </w:r>
    </w:p>
    <w:p w:rsidR="00426B1D" w:rsidRDefault="00426B1D">
      <w:pPr>
        <w:pStyle w:val="RKnormal"/>
        <w:tabs>
          <w:tab w:val="clear" w:pos="1843"/>
          <w:tab w:val="left" w:pos="0"/>
        </w:tabs>
        <w:ind w:left="0"/>
      </w:pPr>
    </w:p>
    <w:p w:rsidR="00426B1D" w:rsidRPr="007611F0" w:rsidRDefault="00426B1D" w:rsidP="007611F0">
      <w:r>
        <w:t>Ansvarigt departement: Finansdepartementet</w:t>
      </w:r>
    </w:p>
    <w:p w:rsidR="00426B1D" w:rsidRDefault="00426B1D">
      <w:pPr>
        <w:pStyle w:val="RKnormal"/>
        <w:tabs>
          <w:tab w:val="clear" w:pos="1843"/>
          <w:tab w:val="left" w:pos="0"/>
        </w:tabs>
        <w:ind w:left="0"/>
      </w:pPr>
    </w:p>
    <w:p w:rsidR="00426B1D" w:rsidRPr="007611F0" w:rsidRDefault="00426B1D" w:rsidP="007611F0">
      <w:r>
        <w:t>Ansvarigt statsråd: Anders Borg</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7611F0">
      <w:r>
        <w:t xml:space="preserve">Kommissionen lämnade i juli 2011 ett förslag om en ramförordning för makrofinansiellt stöd. Medlemsstaterna kom överens om liggande text vid finansrådgivarna 1 december. </w:t>
      </w:r>
    </w:p>
    <w:p w:rsidR="00426B1D" w:rsidRDefault="00426B1D" w:rsidP="007611F0"/>
    <w:p w:rsidR="00426B1D" w:rsidRDefault="00426B1D" w:rsidP="007611F0">
      <w:r>
        <w:t xml:space="preserve">Den föreslagna förordningen säkerställer att nuvarande beslutsordning gällande makrofinansiellt stöd bibehålls, att kriterier och syfte för att tillämpa makrofinansiellt stöd tydliggörs samt medför tydligare riktlinjer för hur finansiering genom makrofinansiellt stöd ska ske. </w:t>
      </w:r>
    </w:p>
    <w:p w:rsidR="00426B1D" w:rsidRDefault="00426B1D" w:rsidP="007611F0"/>
    <w:p w:rsidR="00426B1D" w:rsidRDefault="00426B1D" w:rsidP="00F950B4">
      <w:r>
        <w:t xml:space="preserve">Regeringen ställer sig bakom beslutet. </w:t>
      </w:r>
    </w:p>
    <w:p w:rsidR="00426B1D" w:rsidRPr="007611F0" w:rsidRDefault="00426B1D" w:rsidP="007611F0">
      <w:pPr>
        <w:pStyle w:val="Heading2"/>
      </w:pPr>
      <w:bookmarkStart w:id="68" w:name="_Toc311719029"/>
      <w:r>
        <w:t>12. Anti dumping- Proposal for a Council Implementing Regulation imposing a definitive anti-dumping duty on imports of trichloroisocyanuric acid originating in the People's Republic of China following an expiry review pursuant to Article 11(2) of Regulation (EC) No 1225/2009</w:t>
      </w:r>
      <w:bookmarkEnd w:id="68"/>
    </w:p>
    <w:p w:rsidR="00426B1D" w:rsidRPr="007611F0" w:rsidRDefault="00426B1D" w:rsidP="007611F0">
      <w:r>
        <w:t>17738/11, 17739/11</w:t>
      </w:r>
    </w:p>
    <w:p w:rsidR="00426B1D" w:rsidRDefault="00426B1D">
      <w:pPr>
        <w:pStyle w:val="RKnormal"/>
        <w:tabs>
          <w:tab w:val="clear" w:pos="1843"/>
          <w:tab w:val="left" w:pos="0"/>
        </w:tabs>
        <w:ind w:left="0"/>
      </w:pPr>
    </w:p>
    <w:p w:rsidR="00426B1D" w:rsidRPr="007611F0" w:rsidRDefault="00426B1D" w:rsidP="007611F0">
      <w:r>
        <w:t>Ansvarigt departement: Utrikesdepartementet</w:t>
      </w:r>
    </w:p>
    <w:p w:rsidR="00426B1D" w:rsidRDefault="00426B1D">
      <w:pPr>
        <w:pStyle w:val="RKnormal"/>
        <w:tabs>
          <w:tab w:val="clear" w:pos="1843"/>
          <w:tab w:val="left" w:pos="0"/>
        </w:tabs>
        <w:ind w:left="0"/>
      </w:pPr>
    </w:p>
    <w:p w:rsidR="00426B1D" w:rsidRPr="007611F0" w:rsidRDefault="00426B1D" w:rsidP="007611F0">
      <w:r>
        <w:t>Ansvarigt statsråd: Ewa Björling</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835EB4">
      <w:r>
        <w:t xml:space="preserve">Antidumpningsåtgärder är i kraft mot triklorisocyanursyra från Kina sedan 2005, i form av tullar på mellan 7,3 och 42,6 procent. Efter en översyn vid åtgärdstidens utgång har kommissionen föreslagit att åtgärderna förlängs. Vid antidumpningskommitténs möte den 17 november 2011 motsatte sig regeringen att åtgärderna förlängs, med motiveringen att skadan industrin lider inte är orsakad av importen från Kina, och att det inte är i unionens intresse att fortsätta åtgärderna. Ingen majoritet mot förslaget uppnåddes vid mötet. </w:t>
      </w:r>
    </w:p>
    <w:p w:rsidR="00426B1D" w:rsidRPr="007611F0" w:rsidRDefault="00426B1D" w:rsidP="007611F0">
      <w:pPr>
        <w:pStyle w:val="Heading2"/>
      </w:pPr>
      <w:bookmarkStart w:id="69" w:name="_Toc311719030"/>
      <w:r>
        <w:t>13. - Council Decision amending Decision 2010/232/CFSP renewing restrictive measures against Burma/Myanmar- Council Implementing Regulation implementing Regulation (EC) No 194/2008 renewing and strengthening the restrictive measures in respect of Burma/Myanmar</w:t>
      </w:r>
      <w:bookmarkEnd w:id="69"/>
      <w:r>
        <w:t xml:space="preserve"> </w:t>
      </w:r>
    </w:p>
    <w:p w:rsidR="00426B1D" w:rsidRPr="007611F0" w:rsidRDefault="00426B1D" w:rsidP="007611F0">
      <w:r>
        <w:t>18306/11, 17911/11, 18125/11</w:t>
      </w:r>
    </w:p>
    <w:p w:rsidR="00426B1D" w:rsidRDefault="00426B1D">
      <w:pPr>
        <w:pStyle w:val="RKnormal"/>
        <w:tabs>
          <w:tab w:val="clear" w:pos="1843"/>
          <w:tab w:val="left" w:pos="0"/>
        </w:tabs>
        <w:ind w:left="0"/>
      </w:pPr>
    </w:p>
    <w:p w:rsidR="00426B1D" w:rsidRPr="007611F0" w:rsidRDefault="00426B1D" w:rsidP="007611F0">
      <w:r>
        <w:t>Ansvarigt departement: Utrikesdepartementet</w:t>
      </w:r>
    </w:p>
    <w:p w:rsidR="00426B1D" w:rsidRDefault="00426B1D">
      <w:pPr>
        <w:pStyle w:val="RKnormal"/>
        <w:tabs>
          <w:tab w:val="clear" w:pos="1843"/>
          <w:tab w:val="left" w:pos="0"/>
        </w:tabs>
        <w:ind w:left="0"/>
      </w:pPr>
    </w:p>
    <w:p w:rsidR="00426B1D" w:rsidRPr="007611F0" w:rsidRDefault="00426B1D" w:rsidP="007611F0">
      <w:r>
        <w:t>Ansvarigt statsråd: Bildt</w:t>
      </w:r>
    </w:p>
    <w:p w:rsidR="00426B1D" w:rsidRDefault="00426B1D">
      <w:pPr>
        <w:pStyle w:val="RKnormal"/>
        <w:tabs>
          <w:tab w:val="clear" w:pos="1843"/>
          <w:tab w:val="left" w:pos="0"/>
        </w:tabs>
        <w:ind w:left="0"/>
      </w:pPr>
    </w:p>
    <w:p w:rsidR="00426B1D" w:rsidRPr="007611F0" w:rsidRDefault="00426B1D" w:rsidP="007611F0">
      <w:r>
        <w:t>Förväntas godkännas av Coreper den 15 december 2011</w:t>
      </w:r>
    </w:p>
    <w:p w:rsidR="00426B1D" w:rsidRDefault="00426B1D">
      <w:pPr>
        <w:pStyle w:val="RKnormal"/>
        <w:tabs>
          <w:tab w:val="clear" w:pos="1843"/>
          <w:tab w:val="left" w:pos="0"/>
        </w:tabs>
        <w:ind w:left="0"/>
      </w:pPr>
    </w:p>
    <w:p w:rsidR="00426B1D" w:rsidRDefault="00426B1D" w:rsidP="007611F0">
      <w:r>
        <w:t xml:space="preserve">Inom ramen för samarbetet inom Europeiska unionens gemensamma utrikes- och säkerhetspolitik antogs år 2010 ett rådsbeslut om vissa restriktiva åtgärder mot Burma, i vilket de av EU tidigare införda och successivt utökade restriktiva åtgärderna mot Burma samlades. Dessa innefattar i dagsläget bl.a. import-, export- och investeringsrestriktioner mot Burmas timmerindustri. Enligt ett rådsbeslut från april i år (2011/239/GUSP) förlängdes tillämpningen av de restriktiva åtgärderna till den 30 april 2012. Åtgärderna, inklusive förteckningarna över personer och enheter som är föremål för individuellt inriktade åtgärder, är dock föremål för löpande översyn och ändring vid behov. </w:t>
      </w:r>
    </w:p>
    <w:p w:rsidR="00426B1D" w:rsidRDefault="00426B1D" w:rsidP="007611F0"/>
    <w:p w:rsidR="00426B1D" w:rsidRDefault="00426B1D" w:rsidP="007611F0">
      <w:r>
        <w:t xml:space="preserve">Ett indiskt företag som genom sitt Hongkongbaserade kontor (Mayar H.K. Ltd) finns med på EU:s förteckning över företag i Burmas timmerbransch som är föremål för restriktiva åtgärder, har begärt att det ska tas bort från förteckningen då det inte har någon aktivitet i Burma. </w:t>
      </w:r>
    </w:p>
    <w:p w:rsidR="00426B1D" w:rsidRDefault="00426B1D" w:rsidP="007611F0"/>
    <w:p w:rsidR="00426B1D" w:rsidRDefault="00426B1D" w:rsidP="00835EB4">
      <w:r>
        <w:t xml:space="preserve">Europeiska unionens råd förväntas nu, vid ett kommande ministerrådsmöte, anta ett rådsbeslut om att en förteckning till rådsbeslut 2010/232/GUSP ska ändras på så sätt att ovan nämnda företag i förteckningen byts ut mot ett annat företag med liknande namn (Mayar India Ltd, Yangon Branch), vilket är verksamt i samma bransch.  </w:t>
      </w:r>
    </w:p>
    <w:p w:rsidR="00426B1D" w:rsidRDefault="00426B1D" w:rsidP="00835EB4">
      <w:pPr>
        <w:pStyle w:val="Heading2"/>
      </w:pPr>
      <w:bookmarkStart w:id="70" w:name="_Toc311719031"/>
      <w:r>
        <w:t>14. Council Decision amending Decision 2010/800/CFSP concerning restrictive measures against the Democratic People's Republic of Korea</w:t>
      </w:r>
      <w:bookmarkEnd w:id="70"/>
    </w:p>
    <w:p w:rsidR="00426B1D" w:rsidRPr="007611F0" w:rsidRDefault="00426B1D" w:rsidP="007611F0">
      <w:r>
        <w:t>18327/11, 18069/11</w:t>
      </w:r>
    </w:p>
    <w:p w:rsidR="00426B1D" w:rsidRDefault="00426B1D" w:rsidP="007611F0"/>
    <w:p w:rsidR="00426B1D" w:rsidRPr="007611F0" w:rsidRDefault="00426B1D" w:rsidP="007611F0">
      <w:r>
        <w:t>Ansvarigt departement: Utrikesdepartementet</w:t>
      </w:r>
    </w:p>
    <w:p w:rsidR="00426B1D" w:rsidRDefault="00426B1D" w:rsidP="007611F0"/>
    <w:p w:rsidR="00426B1D" w:rsidRPr="007611F0" w:rsidRDefault="00426B1D" w:rsidP="007611F0">
      <w:r>
        <w:t>Ansvarigt statsråd: Carl Bildt</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Default="00426B1D" w:rsidP="007611F0">
      <w:r>
        <w:t xml:space="preserve">Mot bakgrund av att Nordkorea i strid med internationella överenskommelser har utvecklat kärnvapen och genomfört kärnsprängningar har FN:s säkerhetsråd antagit resolution 1718 (2006) om sanktioner mot Demokratiska folkrepubliken Korea (Nordkorea), och resolution 1874 (2009) med ytterligare skärpta sanktioner mot landet. </w:t>
      </w:r>
    </w:p>
    <w:p w:rsidR="00426B1D" w:rsidRDefault="00426B1D" w:rsidP="007611F0"/>
    <w:p w:rsidR="00426B1D" w:rsidRDefault="00426B1D" w:rsidP="007611F0">
      <w:r>
        <w:t>För att genomföra FN:s säkerhetsrådsresolution 1718 antog Europeiska unionens råd en gemensam ståndpunkt 2006/795/GUSP, vilken, efter att säkerhetsrådet 2009 antog resolution 1874, ändrades genom den gemensamma ståndpunkten 2009/573/GUSP och rådets beslut 2009/1002/GUSP.</w:t>
      </w:r>
    </w:p>
    <w:p w:rsidR="00426B1D" w:rsidRDefault="00426B1D" w:rsidP="007611F0"/>
    <w:p w:rsidR="00426B1D" w:rsidRDefault="00426B1D" w:rsidP="007611F0">
      <w:r>
        <w:t>I samband med denna ändring beslutade Europeiska rådet om frysning av tillgångar och reserestriktioner mot ytterligare personer och enheter, utöver vad FN beslutat. Samtidigt beslutade rådet att en översyn av dessa åtgärder skulle göras regelbundet, minst var tolfte månad.</w:t>
      </w:r>
    </w:p>
    <w:p w:rsidR="00426B1D" w:rsidRDefault="00426B1D" w:rsidP="007611F0"/>
    <w:p w:rsidR="00426B1D" w:rsidRDefault="00426B1D" w:rsidP="007611F0">
      <w:r>
        <w:t xml:space="preserve">Efter att en ny översyn nu har genomförts, föreslås att rådet ska anta ett beslut som innebär att ytterligare namn läggs till på listorna över personer och enheter som har anknytning till Nordkoreas kärn- och vapentekniska program. Dessa personer och enheter kommer att omfattas av EU:s autonoma restriktiva åtgärder. </w:t>
      </w:r>
    </w:p>
    <w:p w:rsidR="00426B1D" w:rsidRPr="007611F0" w:rsidRDefault="00426B1D" w:rsidP="007611F0">
      <w:pPr>
        <w:pStyle w:val="Heading2"/>
      </w:pPr>
      <w:bookmarkStart w:id="71" w:name="_Toc311719032"/>
      <w:r>
        <w:t>15. Proposition de directive du Conseil fixant des exigences pour la protection de la santé de la population en ce qui concerne les substances radioactives dans les eaux destinées à la consommation humaine- Préparation de l'accord politique</w:t>
      </w:r>
      <w:bookmarkEnd w:id="71"/>
    </w:p>
    <w:p w:rsidR="00426B1D" w:rsidRPr="007611F0" w:rsidRDefault="00426B1D" w:rsidP="007611F0">
      <w:r>
        <w:t>18388/11</w:t>
      </w:r>
    </w:p>
    <w:p w:rsidR="00426B1D" w:rsidRDefault="00426B1D" w:rsidP="007611F0"/>
    <w:p w:rsidR="00426B1D" w:rsidRPr="007611F0" w:rsidRDefault="00426B1D" w:rsidP="007611F0">
      <w:r>
        <w:t>Ansvarigt departement: Miljödepartementet</w:t>
      </w:r>
    </w:p>
    <w:p w:rsidR="00426B1D" w:rsidRDefault="00426B1D" w:rsidP="007611F0"/>
    <w:p w:rsidR="00426B1D" w:rsidRPr="007611F0" w:rsidRDefault="00426B1D" w:rsidP="007611F0">
      <w:r>
        <w:t>Ansvarigt statsråd: Lena Ek</w:t>
      </w:r>
    </w:p>
    <w:p w:rsidR="00426B1D" w:rsidRDefault="00426B1D" w:rsidP="007611F0"/>
    <w:p w:rsidR="00426B1D" w:rsidRPr="007611F0" w:rsidRDefault="00426B1D" w:rsidP="007611F0">
      <w:r>
        <w:t>Tidigare behandling vid rådsmöte: Miljörådet</w:t>
      </w:r>
    </w:p>
    <w:p w:rsidR="00426B1D" w:rsidRDefault="00426B1D" w:rsidP="007611F0"/>
    <w:p w:rsidR="00426B1D" w:rsidRDefault="00426B1D" w:rsidP="007611F0">
      <w:r>
        <w:t>Förväntas godkännas av Coreper den 15 december 2011</w:t>
      </w:r>
    </w:p>
    <w:p w:rsidR="00426B1D" w:rsidRPr="007611F0" w:rsidRDefault="00426B1D" w:rsidP="007611F0"/>
    <w:p w:rsidR="00426B1D" w:rsidRDefault="00426B1D" w:rsidP="00835EB4">
      <w:r>
        <w:t xml:space="preserve">Kommissionen presenterade den 5 juni ett förslag till direktiv om radioaktiva ämnen i dricksvatten. Syftet med förslaget är att lyfta ur de delar som rör radioaktiva ämnen ur direktivet 98/83/EG av den 3 november 1998 om kvaliteten på dricksvatten och därmed skapa ett särskilt direktiv under Euratomfördraget. I förhandlingarna har MS även utvidgat innehållet och lagt till nya ämnen såsom radon och långlivade radondöttrar till direktiv-förslaget. </w:t>
      </w:r>
    </w:p>
    <w:p w:rsidR="00426B1D" w:rsidRDefault="00426B1D">
      <w:pPr>
        <w:spacing w:line="240" w:lineRule="auto"/>
        <w:rPr>
          <w:rFonts w:ascii="Arial" w:hAnsi="Arial" w:cs="Arial"/>
          <w:b/>
          <w:i/>
          <w:iCs/>
          <w:kern w:val="28"/>
        </w:rPr>
      </w:pPr>
      <w:r>
        <w:br w:type="page"/>
      </w:r>
    </w:p>
    <w:p w:rsidR="00426B1D" w:rsidRPr="007611F0" w:rsidRDefault="00426B1D" w:rsidP="007611F0">
      <w:pPr>
        <w:pStyle w:val="Heading2"/>
      </w:pPr>
      <w:bookmarkStart w:id="72" w:name="_Toc311719033"/>
      <w:r>
        <w:t>16. Council Decision concerning the Framework Programme of the European Atomic Energy Community for nuclear research and training activities (2012-2013) - Adoption</w:t>
      </w:r>
      <w:bookmarkEnd w:id="72"/>
      <w:r>
        <w:t xml:space="preserve"> </w:t>
      </w:r>
    </w:p>
    <w:p w:rsidR="00426B1D" w:rsidRPr="007611F0" w:rsidRDefault="00426B1D" w:rsidP="007611F0">
      <w:r>
        <w:t>7421/11, 17503/11</w:t>
      </w:r>
    </w:p>
    <w:p w:rsidR="00426B1D" w:rsidRDefault="00426B1D" w:rsidP="007611F0"/>
    <w:p w:rsidR="00426B1D" w:rsidRPr="007611F0" w:rsidRDefault="00426B1D" w:rsidP="007611F0">
      <w:r>
        <w:t>Ansvarigt departement: Utbildningsdepartementet</w:t>
      </w:r>
    </w:p>
    <w:p w:rsidR="00426B1D" w:rsidRDefault="00426B1D" w:rsidP="007611F0"/>
    <w:p w:rsidR="00426B1D" w:rsidRPr="007611F0" w:rsidRDefault="00426B1D" w:rsidP="007611F0">
      <w:r>
        <w:t>Ansvarigt statsråd: Jan Björklund</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Pr="007611F0" w:rsidRDefault="00426B1D" w:rsidP="007611F0">
      <w:r>
        <w:t>Avser formellt beslut om Euratoms ramprogram för forskning och utbildning (2012-2013). Beslutet har varit avhängigt en finansieringslösning för ITER.</w:t>
      </w:r>
    </w:p>
    <w:p w:rsidR="00426B1D" w:rsidRPr="007611F0" w:rsidRDefault="00426B1D" w:rsidP="007611F0">
      <w:pPr>
        <w:pStyle w:val="Heading2"/>
      </w:pPr>
      <w:bookmarkStart w:id="73" w:name="_Toc311719034"/>
      <w:r>
        <w:t>17. Council Decision concerning the specific programme, to be carried out by means of indirect actions, implementing the Framework Programme of the European Atomic Energy Community for nuclear research and training activities (2012-2013) - Adoption</w:t>
      </w:r>
      <w:bookmarkEnd w:id="73"/>
    </w:p>
    <w:p w:rsidR="00426B1D" w:rsidRPr="007611F0" w:rsidRDefault="00426B1D" w:rsidP="007611F0">
      <w:r>
        <w:t>7402/11, 17504/11</w:t>
      </w:r>
    </w:p>
    <w:p w:rsidR="00426B1D" w:rsidRDefault="00426B1D" w:rsidP="007611F0"/>
    <w:p w:rsidR="00426B1D" w:rsidRPr="007611F0" w:rsidRDefault="00426B1D" w:rsidP="007611F0">
      <w:r>
        <w:t>Ansvarigt departement: Utbildningsdepartementet</w:t>
      </w:r>
    </w:p>
    <w:p w:rsidR="00426B1D" w:rsidRDefault="00426B1D" w:rsidP="007611F0"/>
    <w:p w:rsidR="00426B1D" w:rsidRPr="007611F0" w:rsidRDefault="00426B1D" w:rsidP="007611F0">
      <w:r>
        <w:t>Ansvarigt statsråd: Jan Björklund</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Pr="007611F0" w:rsidRDefault="00426B1D" w:rsidP="007611F0">
      <w:r>
        <w:t>Avser formellt beslut om delprogrammet för indirekta åtgärder inom ramen för Euratoms ramprogram för forskning och utbildning (2012-2013). Beslutet har varit avhängigt en finansieringslösning för ITER.</w:t>
      </w:r>
    </w:p>
    <w:p w:rsidR="00426B1D" w:rsidRPr="007611F0" w:rsidRDefault="00426B1D" w:rsidP="007611F0">
      <w:pPr>
        <w:pStyle w:val="Heading2"/>
      </w:pPr>
      <w:bookmarkStart w:id="74" w:name="_Toc311719035"/>
      <w:r>
        <w:t>18. Council Decision concerning the specific programme, to be carried out by means of direct actions by the Joint Research Centre, implementing the Framework Programme of the European Atomic Energy Community for nuclear research and training activities (2012 to 2013) - Adoption</w:t>
      </w:r>
      <w:bookmarkEnd w:id="74"/>
    </w:p>
    <w:p w:rsidR="00426B1D" w:rsidRPr="007611F0" w:rsidRDefault="00426B1D" w:rsidP="007611F0">
      <w:r>
        <w:t>7404/11, 17505/11</w:t>
      </w:r>
    </w:p>
    <w:p w:rsidR="00426B1D" w:rsidRDefault="00426B1D" w:rsidP="007611F0"/>
    <w:p w:rsidR="00426B1D" w:rsidRPr="007611F0" w:rsidRDefault="00426B1D" w:rsidP="007611F0">
      <w:r>
        <w:t>Ansvarigt departement: Utbildningsdepartementet</w:t>
      </w:r>
    </w:p>
    <w:p w:rsidR="00426B1D" w:rsidRDefault="00426B1D" w:rsidP="007611F0"/>
    <w:p w:rsidR="00426B1D" w:rsidRPr="007611F0" w:rsidRDefault="00426B1D" w:rsidP="007611F0">
      <w:r>
        <w:t>Ansvarigt statsråd: Jan Björklund</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Pr="007611F0" w:rsidRDefault="00426B1D" w:rsidP="007611F0">
      <w:r>
        <w:t>Avser formellt beslut om delprogrammet för direkta åtgärder inom ramen för Euratoms ramprogram för forskning och utbildning (2012-2013). Beslutet har varit avhängigt en finansieringslösning för ITER.</w:t>
      </w:r>
    </w:p>
    <w:p w:rsidR="00426B1D" w:rsidRPr="007611F0" w:rsidRDefault="00426B1D" w:rsidP="007611F0">
      <w:pPr>
        <w:pStyle w:val="Heading2"/>
      </w:pPr>
      <w:bookmarkStart w:id="75" w:name="_Toc311719036"/>
      <w:r>
        <w:t>19. Council Regulation (Euratom) laying down the rules for the participation of undertakings, research centres and universities in indirect actions under the Framework Programme of the European Atomic Energy Community and for the dissemination of research results (2012-2013) - Adoption</w:t>
      </w:r>
      <w:bookmarkEnd w:id="75"/>
    </w:p>
    <w:p w:rsidR="00426B1D" w:rsidRPr="007611F0" w:rsidRDefault="00426B1D" w:rsidP="007611F0">
      <w:r>
        <w:t>7418/11, 17506/11</w:t>
      </w:r>
    </w:p>
    <w:p w:rsidR="00426B1D" w:rsidRDefault="00426B1D" w:rsidP="007611F0"/>
    <w:p w:rsidR="00426B1D" w:rsidRPr="007611F0" w:rsidRDefault="00426B1D" w:rsidP="007611F0">
      <w:r>
        <w:t>Ansvarigt departement: Utbildningsdepartementet</w:t>
      </w:r>
    </w:p>
    <w:p w:rsidR="00426B1D" w:rsidRDefault="00426B1D" w:rsidP="007611F0"/>
    <w:p w:rsidR="00426B1D" w:rsidRPr="007611F0" w:rsidRDefault="00426B1D" w:rsidP="007611F0">
      <w:r>
        <w:t>Ansvarigt statsråd: Jan Björklund</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Pr="007611F0" w:rsidRDefault="00426B1D" w:rsidP="007611F0">
      <w:r>
        <w:t>Avser formellt beslut om regler för deltagande inom ramen för Euratoms ramprogram för forskning och utbildning (2012-2013). Beslutet har varit avhängigt en finansieringslösning för ITER.</w:t>
      </w:r>
    </w:p>
    <w:p w:rsidR="00426B1D" w:rsidRPr="007611F0" w:rsidRDefault="00426B1D" w:rsidP="007611F0">
      <w:pPr>
        <w:pStyle w:val="Heading2"/>
      </w:pPr>
      <w:bookmarkStart w:id="76" w:name="_Toc311719037"/>
      <w:r>
        <w:t>20. Case before the General Court of the European Union- Case T-503/11 (Stichting Al-Aqsa v Council)</w:t>
      </w:r>
      <w:bookmarkEnd w:id="76"/>
    </w:p>
    <w:p w:rsidR="00426B1D" w:rsidRPr="007611F0" w:rsidRDefault="00426B1D" w:rsidP="007611F0">
      <w:r>
        <w:t>18510/11</w:t>
      </w:r>
    </w:p>
    <w:p w:rsidR="00426B1D" w:rsidRDefault="00426B1D" w:rsidP="007611F0"/>
    <w:p w:rsidR="00426B1D" w:rsidRPr="007611F0" w:rsidRDefault="00426B1D" w:rsidP="007611F0">
      <w:r>
        <w:t>Ansvarigt departement: Utrikesdepartementet</w:t>
      </w:r>
    </w:p>
    <w:p w:rsidR="00426B1D" w:rsidRDefault="00426B1D" w:rsidP="007611F0"/>
    <w:p w:rsidR="00426B1D" w:rsidRPr="007611F0" w:rsidRDefault="00426B1D" w:rsidP="007611F0">
      <w:r>
        <w:t>Ansvarigt statsråd: Birgitta Ohlsson</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Pr="007611F0" w:rsidRDefault="00426B1D" w:rsidP="007611F0">
      <w:r>
        <w:t>Föranleder ingen annotering</w:t>
      </w:r>
    </w:p>
    <w:p w:rsidR="00426B1D" w:rsidRDefault="00426B1D">
      <w:pPr>
        <w:spacing w:line="240" w:lineRule="auto"/>
        <w:rPr>
          <w:rFonts w:ascii="Arial" w:hAnsi="Arial" w:cs="Arial"/>
          <w:b/>
          <w:i/>
          <w:iCs/>
          <w:kern w:val="28"/>
        </w:rPr>
      </w:pPr>
      <w:r>
        <w:br w:type="page"/>
      </w:r>
    </w:p>
    <w:p w:rsidR="00426B1D" w:rsidRPr="007611F0" w:rsidRDefault="00426B1D" w:rsidP="007611F0">
      <w:pPr>
        <w:pStyle w:val="Heading2"/>
      </w:pPr>
      <w:bookmarkStart w:id="77" w:name="_Toc311719038"/>
      <w:r>
        <w:t>21. Case before the General Court of the European Union:- Case C-581/11 P (Muhamad MUGRABY v Council)</w:t>
      </w:r>
      <w:bookmarkEnd w:id="77"/>
    </w:p>
    <w:p w:rsidR="00426B1D" w:rsidRPr="007611F0" w:rsidRDefault="00426B1D" w:rsidP="007611F0">
      <w:r>
        <w:t>18569/11</w:t>
      </w:r>
    </w:p>
    <w:p w:rsidR="00426B1D" w:rsidRDefault="00426B1D" w:rsidP="007611F0"/>
    <w:p w:rsidR="00426B1D" w:rsidRPr="007611F0" w:rsidRDefault="00426B1D" w:rsidP="007611F0">
      <w:r>
        <w:t>Ansvarigt departement: Utrikesdepartementet</w:t>
      </w:r>
    </w:p>
    <w:p w:rsidR="00426B1D" w:rsidRDefault="00426B1D" w:rsidP="007611F0"/>
    <w:p w:rsidR="00426B1D" w:rsidRPr="007611F0" w:rsidRDefault="00426B1D" w:rsidP="007611F0">
      <w:r>
        <w:t>Ansvarigt statsråd: Birgitta Ohlsson</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Pr="007611F0" w:rsidRDefault="00426B1D" w:rsidP="007611F0">
      <w:r>
        <w:t>Föranleder ingen annotering</w:t>
      </w:r>
    </w:p>
    <w:p w:rsidR="00426B1D" w:rsidRPr="007611F0" w:rsidRDefault="00426B1D" w:rsidP="007611F0">
      <w:pPr>
        <w:pStyle w:val="Heading2"/>
      </w:pPr>
      <w:bookmarkStart w:id="78" w:name="_Toc311719039"/>
      <w:r>
        <w:t>22. Financial assistance to Portugal - Adoption of linguistic versions not available at the time of adoption of the act by the Council:-  Council Implementing Decision amending Implementing Decision 2011/344/EU on  granting Union financial assistance to Portugal</w:t>
      </w:r>
      <w:bookmarkEnd w:id="78"/>
    </w:p>
    <w:p w:rsidR="00426B1D" w:rsidRPr="007611F0" w:rsidRDefault="00426B1D" w:rsidP="007611F0">
      <w:r>
        <w:t>18543/11, 16669/11</w:t>
      </w:r>
    </w:p>
    <w:p w:rsidR="00426B1D" w:rsidRDefault="00426B1D" w:rsidP="007611F0"/>
    <w:p w:rsidR="00426B1D" w:rsidRPr="007611F0" w:rsidRDefault="00426B1D" w:rsidP="007611F0">
      <w:r>
        <w:t>Ansvarigt departement: Finansdepartementet</w:t>
      </w:r>
    </w:p>
    <w:p w:rsidR="00426B1D" w:rsidRDefault="00426B1D" w:rsidP="007611F0"/>
    <w:p w:rsidR="00426B1D" w:rsidRPr="007611F0" w:rsidRDefault="00426B1D" w:rsidP="007611F0">
      <w:r>
        <w:t>Ansvarigt statsråd: Anders Borg</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Pr="007611F0" w:rsidRDefault="00426B1D" w:rsidP="007611F0">
      <w:r>
        <w:t xml:space="preserve">Föranleder ingen annotering. </w:t>
      </w:r>
    </w:p>
    <w:p w:rsidR="00426B1D" w:rsidRPr="007611F0" w:rsidRDefault="00426B1D" w:rsidP="007611F0">
      <w:pPr>
        <w:pStyle w:val="Heading2"/>
      </w:pPr>
      <w:bookmarkStart w:id="79" w:name="_Toc311719040"/>
      <w:r>
        <w:t>23. Code of Conduct (Business Taxation) - Report to the Council - Council Conclusions = Adoption</w:t>
      </w:r>
      <w:bookmarkEnd w:id="79"/>
    </w:p>
    <w:p w:rsidR="00426B1D" w:rsidRPr="007611F0" w:rsidRDefault="00426B1D" w:rsidP="007611F0">
      <w:r>
        <w:t>18398/11, 17081/1/11</w:t>
      </w:r>
    </w:p>
    <w:p w:rsidR="00426B1D" w:rsidRDefault="00426B1D" w:rsidP="007611F0"/>
    <w:p w:rsidR="00426B1D" w:rsidRPr="007611F0" w:rsidRDefault="00426B1D" w:rsidP="007611F0">
      <w:r>
        <w:t>Ansvarigt departement: Finansdepartementet</w:t>
      </w:r>
    </w:p>
    <w:p w:rsidR="00426B1D" w:rsidRDefault="00426B1D" w:rsidP="007611F0"/>
    <w:p w:rsidR="00426B1D" w:rsidRPr="007611F0" w:rsidRDefault="00426B1D" w:rsidP="007611F0">
      <w:r>
        <w:t>Ansvarigt statsråd: Anders Borg</w:t>
      </w:r>
    </w:p>
    <w:p w:rsidR="00426B1D" w:rsidRDefault="00426B1D" w:rsidP="007611F0"/>
    <w:p w:rsidR="00426B1D" w:rsidRPr="007611F0" w:rsidRDefault="00426B1D" w:rsidP="007611F0">
      <w:r>
        <w:t>Förväntas godkännas av Coreper den 15 december 2011</w:t>
      </w:r>
    </w:p>
    <w:p w:rsidR="00426B1D" w:rsidRDefault="00426B1D" w:rsidP="007611F0"/>
    <w:p w:rsidR="00426B1D" w:rsidRDefault="00426B1D" w:rsidP="007611F0">
      <w:r>
        <w:t>Vid uppförandekodgruppens (företagsbeskattning) möte den 16 november 2011 kom delegationerna överens om gruppens rapport till rådet om sitt arbete under det polska ordförandeskapet i enlighet med dok. 17081/11/REV 1 FISC 144 och om gruppens nya arbetsprogram som framgår av bilagan till rapporten. Utkast till rådets slutsatser (dok. 17090/11 FISC 147) diskuterades vid möte i Coreper den 23 november 2011. Samtliga medlemsstater utom en medlemsstat kunde godta slutsatserna. Tanken var att slutsatserna skulle antas vid Ekofinrådets möte den 30 november 2011 men samma dag togs frågan bort från dagordningen. Ordförandeskapet har nu lagt fram ett reviderat utkast till slutsatser.</w:t>
      </w:r>
    </w:p>
    <w:p w:rsidR="00426B1D" w:rsidRDefault="00426B1D" w:rsidP="007611F0"/>
    <w:p w:rsidR="00426B1D" w:rsidRDefault="00426B1D" w:rsidP="007611F0">
      <w:r>
        <w:t>Vid möte i Coreper den 15 december 2011 föreslogs att rådet som en A-punkt på dagordningen för ett kommande möte ska anta slutsatserna om uppförandekodgruppens rapport i enlighet med vad som framgår av dok. 18398/11 FISC 167.</w:t>
      </w:r>
    </w:p>
    <w:p w:rsidR="00426B1D" w:rsidRDefault="00426B1D" w:rsidP="007611F0"/>
    <w:p w:rsidR="00426B1D" w:rsidRDefault="00426B1D" w:rsidP="007611F0">
      <w:r>
        <w:t>I det reviderade utkastet till rådets slutsatser föreslås att rådet:</w:t>
      </w:r>
    </w:p>
    <w:p w:rsidR="00426B1D" w:rsidRDefault="00426B1D" w:rsidP="007611F0">
      <w:r>
        <w:t>•</w:t>
      </w:r>
      <w:r>
        <w:tab/>
        <w:t>välkomnar de framsteg som uppnåtts av uppförandekodgruppen (företagsbeskattning) under det polska ordförandeskapet i enlighet med gruppens rapport (dok. 17081/11/REV 1 FISC 144);</w:t>
      </w:r>
    </w:p>
    <w:p w:rsidR="00426B1D" w:rsidRDefault="00426B1D" w:rsidP="007611F0">
      <w:r>
        <w:t>•</w:t>
      </w:r>
      <w:r>
        <w:tab/>
        <w:t>anmodar gruppen att fortsätta att övervaka frysningen och genomförandet av avvecklingen;</w:t>
      </w:r>
    </w:p>
    <w:p w:rsidR="00426B1D" w:rsidRDefault="00426B1D" w:rsidP="007611F0">
      <w:r>
        <w:t>•</w:t>
      </w:r>
      <w:r>
        <w:tab/>
        <w:t>godkänner uppförandekodgruppens arbetsprogram 2011 i enlighet med bilagan till dok. 17081/11/REV 1 FISC 144) samt anmodar gruppen att påbörja arbetet med detta arbetsprogram under det danska ordförandeskapet;</w:t>
      </w:r>
    </w:p>
    <w:p w:rsidR="00426B1D" w:rsidRDefault="00426B1D" w:rsidP="007611F0">
      <w:r>
        <w:t>•</w:t>
      </w:r>
      <w:r>
        <w:tab/>
        <w:t>uppmuntrar kommissionen att fortsätta diskussionerna med tredje länder i syfte att tillämpa principerna och alla kriterier i koden i enlighet med gruppens rapport och att regelbundet informera gruppen om de framsteg som görs;</w:t>
      </w:r>
    </w:p>
    <w:p w:rsidR="00426B1D" w:rsidRPr="007611F0" w:rsidRDefault="00426B1D" w:rsidP="007611F0">
      <w:r>
        <w:t>•</w:t>
      </w:r>
      <w:r>
        <w:tab/>
        <w:t>uppmanar gruppen att rapportera till rådet om sitt arbete före utgången av det danska ordförandeskapet.</w:t>
      </w:r>
    </w:p>
    <w:p w:rsidR="00426B1D" w:rsidRPr="007611F0" w:rsidRDefault="00426B1D" w:rsidP="0078694E">
      <w:pPr>
        <w:pStyle w:val="Heading2"/>
      </w:pPr>
      <w:bookmarkStart w:id="80" w:name="_Toc311719041"/>
      <w:r>
        <w:t>24. Propositions de directive et de règlement du Conseil concernant le régime de TVA applicable aux services d'assurance et aux services financiers - Rapport de la présidence sur l'état d'avancement des travaux</w:t>
      </w:r>
      <w:bookmarkEnd w:id="80"/>
    </w:p>
    <w:p w:rsidR="00426B1D" w:rsidRPr="007611F0" w:rsidRDefault="00426B1D" w:rsidP="007611F0">
      <w:r>
        <w:t>18650/11</w:t>
      </w:r>
    </w:p>
    <w:p w:rsidR="00426B1D" w:rsidRDefault="00426B1D" w:rsidP="007611F0"/>
    <w:p w:rsidR="00426B1D" w:rsidRPr="007611F0" w:rsidRDefault="00426B1D" w:rsidP="007611F0">
      <w:r>
        <w:t>Ansvarigt departement: Finansdepartementet</w:t>
      </w:r>
    </w:p>
    <w:p w:rsidR="00426B1D" w:rsidRDefault="00426B1D" w:rsidP="007611F0"/>
    <w:p w:rsidR="00426B1D" w:rsidRPr="007611F0" w:rsidRDefault="00426B1D" w:rsidP="007611F0">
      <w:r>
        <w:t>Ansvarigt statsråd: Anders Borg</w:t>
      </w:r>
    </w:p>
    <w:p w:rsidR="00426B1D" w:rsidRDefault="00426B1D" w:rsidP="007611F0"/>
    <w:p w:rsidR="00426B1D" w:rsidRDefault="00426B1D" w:rsidP="007611F0">
      <w:r>
        <w:t>Förväntas godkännas av Coreper den 15 december 2011</w:t>
      </w:r>
    </w:p>
    <w:p w:rsidR="00426B1D" w:rsidRDefault="00426B1D" w:rsidP="007611F0"/>
    <w:p w:rsidR="00426B1D" w:rsidRDefault="00426B1D" w:rsidP="00B95CAC">
      <w:r w:rsidRPr="00B95CAC">
        <w:t xml:space="preserve">Kommissionen lade i december 2007 fram ett lagförslag som rör undantaget från mervärdesskatt för försäkringstjänster och finansiella tjänster. Syftet är att modernisera och öka förutsebarheten i regelverket avseende undantaget. Förslaget består av två delar, ett direktivförslag och ett förordningsförslag. I direktivet räknas de olika tjänster upp som ska omfattas av undantaget och ges en närmare definition. I förordningen ges utfyllande exempel på de enligt direktivet undantagna tjänsterna. </w:t>
      </w:r>
    </w:p>
    <w:p w:rsidR="00426B1D" w:rsidRPr="00B95CAC" w:rsidRDefault="00426B1D" w:rsidP="00B95CAC"/>
    <w:p w:rsidR="00426B1D" w:rsidRDefault="00426B1D" w:rsidP="00B95CAC">
      <w:pPr>
        <w:rPr>
          <w:b/>
          <w:i/>
          <w:iCs/>
        </w:rPr>
      </w:pPr>
      <w:r w:rsidRPr="00B95CAC">
        <w:t xml:space="preserve">Coreper inbjuds att föreslå att rådet noterar lägesrapporten som en A-punkt på sin agenda. </w:t>
      </w:r>
    </w:p>
    <w:p w:rsidR="00426B1D" w:rsidRPr="007611F0" w:rsidRDefault="00426B1D" w:rsidP="00B95CAC">
      <w:pPr>
        <w:pStyle w:val="Heading2"/>
      </w:pPr>
      <w:bookmarkStart w:id="81" w:name="_Toc311719042"/>
      <w:r>
        <w:t>25. Protocole fixant les possibilités de pêche et la contrepartie financière prévues par l'accord de partenariat dans le secteur de la pêche entre la Communauté européenne et le Royaume du Maroc- Suspension définitive de l'application provisoire</w:t>
      </w:r>
      <w:bookmarkEnd w:id="81"/>
    </w:p>
    <w:p w:rsidR="00426B1D" w:rsidRPr="007611F0" w:rsidRDefault="00426B1D" w:rsidP="007611F0">
      <w:r>
        <w:t>18678/11</w:t>
      </w:r>
    </w:p>
    <w:p w:rsidR="00426B1D" w:rsidRDefault="00426B1D" w:rsidP="007611F0"/>
    <w:p w:rsidR="00426B1D" w:rsidRPr="007611F0" w:rsidRDefault="00426B1D" w:rsidP="007611F0">
      <w:r>
        <w:t>Ansvarigt departement: Landsbygdsdepartementet</w:t>
      </w:r>
    </w:p>
    <w:p w:rsidR="00426B1D" w:rsidRDefault="00426B1D" w:rsidP="007611F0"/>
    <w:p w:rsidR="00426B1D" w:rsidRDefault="00426B1D" w:rsidP="007611F0">
      <w:r>
        <w:t>Förväntas godkännas av Coreper den 15 december 2011</w:t>
      </w:r>
    </w:p>
    <w:p w:rsidR="00426B1D" w:rsidRPr="007611F0" w:rsidRDefault="00426B1D" w:rsidP="007611F0"/>
    <w:p w:rsidR="00426B1D" w:rsidRDefault="00426B1D" w:rsidP="007611F0">
      <w:r>
        <w:t xml:space="preserve">I juli 2011 röstade ministerrådet för att EU och Marocko skulle ingå en provisorisk tillämpning av protokollet om fiskemöjligheter och finansiell kompensation för detta. SE röstade vid detta tillfälle nej. Den 14 december angav parlamentet, i enlighet med art. 218.6 TFEU, inte sitt medgivande till tillämpning av det provisoriska protokollet. Med anledning av detta kan inte rådet anta protokollet och skall därmed avsluta dess provisoriska tillämpning. Rådet behöver således meddela Marocko detta snarast. </w:t>
      </w:r>
    </w:p>
    <w:p w:rsidR="00426B1D" w:rsidRDefault="00426B1D" w:rsidP="007611F0"/>
    <w:p w:rsidR="00426B1D" w:rsidRPr="007611F0" w:rsidRDefault="00426B1D" w:rsidP="007611F0">
      <w:r>
        <w:t>Coreper uppmanas, med anledning av ovanstående, att inbjuda rådet att godkänna det brev där ordförandeskapet, å rådets vägnar, meddelar Marocko att den provisoriska tillämpningen av protokollet upphör omedelbart.</w:t>
      </w:r>
    </w:p>
    <w:sectPr w:rsidR="00426B1D" w:rsidRPr="007611F0" w:rsidSect="00057548">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B1D" w:rsidRDefault="00426B1D">
      <w:r>
        <w:separator/>
      </w:r>
    </w:p>
  </w:endnote>
  <w:endnote w:type="continuationSeparator" w:id="0">
    <w:p w:rsidR="00426B1D" w:rsidRDefault="00426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1D" w:rsidRDefault="00426B1D">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18</w:t>
    </w:r>
    <w:r>
      <w:rPr>
        <w:rStyle w:val="PageNumber"/>
        <w:sz w:val="16"/>
      </w:rPr>
      <w:fldChar w:fldCharType="end"/>
    </w:r>
    <w:r>
      <w:rPr>
        <w:rStyle w:val="PageNumber"/>
        <w:sz w:val="16"/>
      </w:rPr>
      <w:t>)</w:t>
    </w:r>
  </w:p>
  <w:p w:rsidR="00426B1D" w:rsidRDefault="00426B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1D" w:rsidRDefault="00426B1D">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18</w:t>
    </w:r>
    <w:r>
      <w:rPr>
        <w:rStyle w:val="PageNumber"/>
        <w:sz w:val="16"/>
      </w:rPr>
      <w:fldChar w:fldCharType="end"/>
    </w:r>
    <w:r>
      <w:rPr>
        <w:rStyle w:val="PageNumber"/>
        <w:sz w:val="16"/>
      </w:rPr>
      <w:t>)</w:t>
    </w:r>
  </w:p>
  <w:p w:rsidR="00426B1D" w:rsidRDefault="00426B1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1D" w:rsidRDefault="00426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B1D" w:rsidRDefault="00426B1D">
      <w:r>
        <w:separator/>
      </w:r>
    </w:p>
  </w:footnote>
  <w:footnote w:type="continuationSeparator" w:id="0">
    <w:p w:rsidR="00426B1D" w:rsidRDefault="00426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1D" w:rsidRDefault="00426B1D">
    <w:pPr>
      <w:pStyle w:val="Header"/>
      <w:framePr w:wrap="around" w:vAnchor="text" w:hAnchor="margin" w:xAlign="right" w:y="1"/>
      <w:rPr>
        <w:rStyle w:val="PageNumber"/>
      </w:rPr>
    </w:pPr>
  </w:p>
  <w:p w:rsidR="00426B1D" w:rsidRDefault="00426B1D">
    <w:pPr>
      <w:pStyle w:val="Header"/>
      <w:ind w:right="360"/>
    </w:pPr>
  </w:p>
  <w:p w:rsidR="00426B1D" w:rsidRDefault="00426B1D">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1D" w:rsidRDefault="00426B1D">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426B1D" w:rsidRDefault="00426B1D">
    <w:pPr>
      <w:pStyle w:val="Header"/>
    </w:pPr>
  </w:p>
  <w:p w:rsidR="00426B1D" w:rsidRDefault="00426B1D">
    <w:pPr>
      <w:pStyle w:val="Header"/>
      <w:ind w:right="360"/>
    </w:pPr>
  </w:p>
  <w:p w:rsidR="00426B1D" w:rsidRDefault="00426B1D">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B1D" w:rsidRDefault="00426B1D">
    <w:pPr>
      <w:framePr w:w="2948" w:h="1321" w:hRule="exact" w:wrap="notBeside" w:vAnchor="page" w:hAnchor="page" w:x="1362" w:y="653"/>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5.25pt;visibility:visible">
          <v:imagedata r:id="rId1" o:title=""/>
        </v:shape>
      </w:pict>
    </w:r>
  </w:p>
  <w:p w:rsidR="00426B1D" w:rsidRDefault="00426B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744EFA6"/>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0"/>
  </w:num>
  <w:num w:numId="4">
    <w:abstractNumId w:val="0"/>
  </w:num>
  <w:num w:numId="5">
    <w:abstractNumId w:val="11"/>
  </w:num>
  <w:num w:numId="6">
    <w:abstractNumId w:val="9"/>
  </w:num>
  <w:num w:numId="7">
    <w:abstractNumId w:val="5"/>
  </w:num>
  <w:num w:numId="8">
    <w:abstractNumId w:val="10"/>
  </w:num>
  <w:num w:numId="9">
    <w:abstractNumId w:val="1"/>
  </w:num>
  <w:num w:numId="10">
    <w:abstractNumId w:val="2"/>
  </w:num>
  <w:num w:numId="11">
    <w:abstractNumId w:val="7"/>
  </w:num>
  <w:num w:numId="12">
    <w:abstractNumId w:val="3"/>
  </w:num>
  <w:num w:numId="13">
    <w:abstractNumId w:val="4"/>
  </w:num>
  <w:num w:numId="14">
    <w:abstractNumId w:val="6"/>
  </w:num>
  <w:num w:numId="1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7611F0"/>
    <w:rsid w:val="00057548"/>
    <w:rsid w:val="00084B7D"/>
    <w:rsid w:val="00096A3C"/>
    <w:rsid w:val="00426B1D"/>
    <w:rsid w:val="00512241"/>
    <w:rsid w:val="005773A1"/>
    <w:rsid w:val="005A23F9"/>
    <w:rsid w:val="005C212F"/>
    <w:rsid w:val="005F1820"/>
    <w:rsid w:val="00685ADE"/>
    <w:rsid w:val="006A4EC8"/>
    <w:rsid w:val="006B2344"/>
    <w:rsid w:val="007611F0"/>
    <w:rsid w:val="0078694E"/>
    <w:rsid w:val="007A4FCD"/>
    <w:rsid w:val="008235E8"/>
    <w:rsid w:val="00835EB4"/>
    <w:rsid w:val="0084413B"/>
    <w:rsid w:val="00847B54"/>
    <w:rsid w:val="00870CF3"/>
    <w:rsid w:val="00936272"/>
    <w:rsid w:val="00A34AF4"/>
    <w:rsid w:val="00A72123"/>
    <w:rsid w:val="00AF0928"/>
    <w:rsid w:val="00B95CAC"/>
    <w:rsid w:val="00BA6B91"/>
    <w:rsid w:val="00DF4DBF"/>
    <w:rsid w:val="00E62EA6"/>
    <w:rsid w:val="00EB5BC1"/>
    <w:rsid w:val="00EC3C7C"/>
    <w:rsid w:val="00ED5DCC"/>
    <w:rsid w:val="00F056A7"/>
    <w:rsid w:val="00F320D7"/>
    <w:rsid w:val="00F732C7"/>
    <w:rsid w:val="00F950B4"/>
    <w:rsid w:val="00FC078C"/>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48"/>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057548"/>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057548"/>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057548"/>
    <w:pPr>
      <w:spacing w:after="120" w:line="240" w:lineRule="atLeast"/>
      <w:outlineLvl w:val="2"/>
    </w:pPr>
    <w:rPr>
      <w:b w:val="0"/>
    </w:rPr>
  </w:style>
  <w:style w:type="paragraph" w:styleId="Heading4">
    <w:name w:val="heading 4"/>
    <w:basedOn w:val="Heading3"/>
    <w:next w:val="RKnormal"/>
    <w:link w:val="Heading4Char"/>
    <w:uiPriority w:val="99"/>
    <w:qFormat/>
    <w:rsid w:val="00057548"/>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057548"/>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paragraph" w:customStyle="1" w:styleId="RKnormal">
    <w:name w:val="RKnormal"/>
    <w:basedOn w:val="Normal"/>
    <w:uiPriority w:val="99"/>
    <w:rsid w:val="00057548"/>
    <w:pPr>
      <w:tabs>
        <w:tab w:val="left" w:pos="1843"/>
        <w:tab w:val="left" w:pos="2835"/>
      </w:tabs>
      <w:spacing w:line="240" w:lineRule="atLeast"/>
      <w:ind w:left="1843"/>
    </w:pPr>
  </w:style>
  <w:style w:type="paragraph" w:customStyle="1" w:styleId="Avsndare">
    <w:name w:val="Avsändare"/>
    <w:basedOn w:val="Normal"/>
    <w:uiPriority w:val="99"/>
    <w:rsid w:val="00057548"/>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057548"/>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locked/>
    <w:rPr>
      <w:rFonts w:ascii="OrigGarmnd BT" w:hAnsi="OrigGarmnd BT" w:cs="Times New Roman"/>
      <w:sz w:val="20"/>
      <w:szCs w:val="20"/>
      <w:lang w:eastAsia="en-US"/>
    </w:rPr>
  </w:style>
  <w:style w:type="paragraph" w:styleId="Header">
    <w:name w:val="header"/>
    <w:basedOn w:val="Normal"/>
    <w:link w:val="HeaderChar"/>
    <w:uiPriority w:val="99"/>
    <w:rsid w:val="00057548"/>
    <w:pPr>
      <w:tabs>
        <w:tab w:val="center" w:pos="4153"/>
        <w:tab w:val="right" w:pos="8306"/>
      </w:tabs>
    </w:pPr>
  </w:style>
  <w:style w:type="character" w:customStyle="1" w:styleId="HeaderChar">
    <w:name w:val="Header Char"/>
    <w:basedOn w:val="DefaultParagraphFont"/>
    <w:link w:val="Header"/>
    <w:uiPriority w:val="99"/>
    <w:semiHidden/>
    <w:locked/>
    <w:rPr>
      <w:rFonts w:ascii="OrigGarmnd BT" w:hAnsi="OrigGarmnd BT" w:cs="Times New Roman"/>
      <w:sz w:val="20"/>
      <w:szCs w:val="20"/>
      <w:lang w:eastAsia="en-US"/>
    </w:rPr>
  </w:style>
  <w:style w:type="paragraph" w:customStyle="1" w:styleId="RKrubrik">
    <w:name w:val="RKrubrik"/>
    <w:basedOn w:val="RKnormal"/>
    <w:next w:val="RKnormal"/>
    <w:uiPriority w:val="99"/>
    <w:rsid w:val="00057548"/>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057548"/>
    <w:rPr>
      <w:rFonts w:cs="Times New Roman"/>
    </w:rPr>
  </w:style>
  <w:style w:type="paragraph" w:styleId="BodyText">
    <w:name w:val="Body Text"/>
    <w:basedOn w:val="Normal"/>
    <w:link w:val="BodyTextChar"/>
    <w:uiPriority w:val="99"/>
    <w:rsid w:val="00057548"/>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locked/>
    <w:rPr>
      <w:rFonts w:ascii="OrigGarmnd BT" w:hAnsi="OrigGarmnd BT" w:cs="Times New Roman"/>
      <w:sz w:val="20"/>
      <w:szCs w:val="20"/>
      <w:lang w:eastAsia="en-US"/>
    </w:rPr>
  </w:style>
  <w:style w:type="paragraph" w:styleId="FootnoteText">
    <w:name w:val="footnote text"/>
    <w:basedOn w:val="Normal"/>
    <w:link w:val="FootnoteTextChar"/>
    <w:uiPriority w:val="99"/>
    <w:semiHidden/>
    <w:rsid w:val="00057548"/>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locked/>
    <w:rPr>
      <w:rFonts w:ascii="OrigGarmnd BT" w:hAnsi="OrigGarmnd BT" w:cs="Times New Roman"/>
      <w:sz w:val="20"/>
      <w:szCs w:val="20"/>
      <w:lang w:eastAsia="en-US"/>
    </w:rPr>
  </w:style>
  <w:style w:type="paragraph" w:customStyle="1" w:styleId="UDrubrik">
    <w:name w:val="UDrubrik"/>
    <w:basedOn w:val="Normal"/>
    <w:next w:val="BodyText"/>
    <w:uiPriority w:val="99"/>
    <w:rsid w:val="00057548"/>
    <w:pPr>
      <w:spacing w:line="320" w:lineRule="exact"/>
    </w:pPr>
    <w:rPr>
      <w:rFonts w:ascii="Arial" w:hAnsi="Arial"/>
      <w:b/>
      <w:sz w:val="22"/>
    </w:rPr>
  </w:style>
  <w:style w:type="paragraph" w:styleId="TOC1">
    <w:name w:val="toc 1"/>
    <w:basedOn w:val="Normal"/>
    <w:next w:val="Normal"/>
    <w:autoRedefine/>
    <w:uiPriority w:val="99"/>
    <w:rsid w:val="00057548"/>
    <w:pPr>
      <w:spacing w:before="360"/>
    </w:pPr>
    <w:rPr>
      <w:rFonts w:ascii="Arial" w:hAnsi="Arial"/>
      <w:b/>
      <w:bCs/>
      <w:caps/>
      <w:szCs w:val="28"/>
    </w:rPr>
  </w:style>
  <w:style w:type="paragraph" w:styleId="TOC2">
    <w:name w:val="toc 2"/>
    <w:basedOn w:val="Normal"/>
    <w:next w:val="Normal"/>
    <w:autoRedefine/>
    <w:uiPriority w:val="99"/>
    <w:rsid w:val="00057548"/>
    <w:pPr>
      <w:spacing w:before="240"/>
    </w:pPr>
    <w:rPr>
      <w:rFonts w:ascii="Times New Roman" w:hAnsi="Times New Roman"/>
      <w:b/>
      <w:bCs/>
      <w:szCs w:val="24"/>
    </w:rPr>
  </w:style>
  <w:style w:type="paragraph" w:styleId="TOC3">
    <w:name w:val="toc 3"/>
    <w:basedOn w:val="Normal"/>
    <w:next w:val="Normal"/>
    <w:autoRedefine/>
    <w:uiPriority w:val="99"/>
    <w:semiHidden/>
    <w:rsid w:val="00057548"/>
    <w:pPr>
      <w:ind w:left="240"/>
    </w:pPr>
    <w:rPr>
      <w:rFonts w:ascii="Times New Roman" w:hAnsi="Times New Roman"/>
      <w:szCs w:val="24"/>
    </w:rPr>
  </w:style>
  <w:style w:type="paragraph" w:styleId="TOC4">
    <w:name w:val="toc 4"/>
    <w:basedOn w:val="Normal"/>
    <w:next w:val="Normal"/>
    <w:autoRedefine/>
    <w:uiPriority w:val="99"/>
    <w:semiHidden/>
    <w:rsid w:val="00057548"/>
    <w:pPr>
      <w:ind w:left="480"/>
    </w:pPr>
    <w:rPr>
      <w:rFonts w:ascii="Times New Roman" w:hAnsi="Times New Roman"/>
      <w:szCs w:val="24"/>
    </w:rPr>
  </w:style>
  <w:style w:type="paragraph" w:styleId="TOC5">
    <w:name w:val="toc 5"/>
    <w:basedOn w:val="Normal"/>
    <w:next w:val="Normal"/>
    <w:autoRedefine/>
    <w:uiPriority w:val="99"/>
    <w:semiHidden/>
    <w:rsid w:val="00057548"/>
    <w:pPr>
      <w:ind w:left="720"/>
    </w:pPr>
    <w:rPr>
      <w:rFonts w:ascii="Times New Roman" w:hAnsi="Times New Roman"/>
      <w:szCs w:val="24"/>
    </w:rPr>
  </w:style>
  <w:style w:type="paragraph" w:styleId="TOC6">
    <w:name w:val="toc 6"/>
    <w:basedOn w:val="Normal"/>
    <w:next w:val="Normal"/>
    <w:autoRedefine/>
    <w:uiPriority w:val="99"/>
    <w:semiHidden/>
    <w:rsid w:val="00057548"/>
    <w:pPr>
      <w:ind w:left="960"/>
    </w:pPr>
    <w:rPr>
      <w:rFonts w:ascii="Times New Roman" w:hAnsi="Times New Roman"/>
      <w:szCs w:val="24"/>
    </w:rPr>
  </w:style>
  <w:style w:type="paragraph" w:styleId="TOC7">
    <w:name w:val="toc 7"/>
    <w:basedOn w:val="Normal"/>
    <w:next w:val="Normal"/>
    <w:autoRedefine/>
    <w:uiPriority w:val="99"/>
    <w:semiHidden/>
    <w:rsid w:val="00057548"/>
    <w:pPr>
      <w:ind w:left="1200"/>
    </w:pPr>
    <w:rPr>
      <w:rFonts w:ascii="Times New Roman" w:hAnsi="Times New Roman"/>
      <w:szCs w:val="24"/>
    </w:rPr>
  </w:style>
  <w:style w:type="paragraph" w:styleId="TOC8">
    <w:name w:val="toc 8"/>
    <w:basedOn w:val="Normal"/>
    <w:next w:val="Normal"/>
    <w:autoRedefine/>
    <w:uiPriority w:val="99"/>
    <w:semiHidden/>
    <w:rsid w:val="00057548"/>
    <w:pPr>
      <w:ind w:left="1440"/>
    </w:pPr>
    <w:rPr>
      <w:rFonts w:ascii="Times New Roman" w:hAnsi="Times New Roman"/>
      <w:szCs w:val="24"/>
    </w:rPr>
  </w:style>
  <w:style w:type="paragraph" w:styleId="TOC9">
    <w:name w:val="toc 9"/>
    <w:basedOn w:val="Normal"/>
    <w:next w:val="Normal"/>
    <w:autoRedefine/>
    <w:uiPriority w:val="99"/>
    <w:semiHidden/>
    <w:rsid w:val="00057548"/>
    <w:pPr>
      <w:ind w:left="1680"/>
    </w:pPr>
    <w:rPr>
      <w:rFonts w:ascii="Times New Roman" w:hAnsi="Times New Roman"/>
      <w:szCs w:val="24"/>
    </w:rPr>
  </w:style>
  <w:style w:type="paragraph" w:customStyle="1" w:styleId="Text1">
    <w:name w:val="Text 1"/>
    <w:basedOn w:val="Normal"/>
    <w:uiPriority w:val="99"/>
    <w:rsid w:val="00057548"/>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057548"/>
    <w:rPr>
      <w:rFonts w:cs="Times New Roman"/>
      <w:vertAlign w:val="superscript"/>
    </w:rPr>
  </w:style>
  <w:style w:type="paragraph" w:styleId="Index1">
    <w:name w:val="index 1"/>
    <w:basedOn w:val="Normal"/>
    <w:next w:val="Normal"/>
    <w:autoRedefine/>
    <w:uiPriority w:val="99"/>
    <w:semiHidden/>
    <w:rsid w:val="00057548"/>
    <w:pPr>
      <w:ind w:left="240" w:hanging="240"/>
    </w:pPr>
    <w:rPr>
      <w:rFonts w:ascii="Times New Roman" w:hAnsi="Times New Roman"/>
      <w:szCs w:val="24"/>
    </w:rPr>
  </w:style>
  <w:style w:type="paragraph" w:styleId="Index2">
    <w:name w:val="index 2"/>
    <w:basedOn w:val="Normal"/>
    <w:next w:val="Normal"/>
    <w:autoRedefine/>
    <w:uiPriority w:val="99"/>
    <w:semiHidden/>
    <w:rsid w:val="00057548"/>
    <w:pPr>
      <w:ind w:left="480" w:hanging="240"/>
    </w:pPr>
    <w:rPr>
      <w:rFonts w:ascii="Times New Roman" w:hAnsi="Times New Roman"/>
      <w:szCs w:val="24"/>
    </w:rPr>
  </w:style>
  <w:style w:type="paragraph" w:styleId="Index3">
    <w:name w:val="index 3"/>
    <w:basedOn w:val="Normal"/>
    <w:next w:val="Normal"/>
    <w:autoRedefine/>
    <w:uiPriority w:val="99"/>
    <w:semiHidden/>
    <w:rsid w:val="00057548"/>
    <w:pPr>
      <w:ind w:left="720" w:hanging="240"/>
    </w:pPr>
    <w:rPr>
      <w:rFonts w:ascii="Times New Roman" w:hAnsi="Times New Roman"/>
      <w:szCs w:val="24"/>
    </w:rPr>
  </w:style>
  <w:style w:type="paragraph" w:styleId="Index4">
    <w:name w:val="index 4"/>
    <w:basedOn w:val="Normal"/>
    <w:next w:val="Normal"/>
    <w:autoRedefine/>
    <w:uiPriority w:val="99"/>
    <w:semiHidden/>
    <w:rsid w:val="00057548"/>
    <w:pPr>
      <w:ind w:left="960" w:hanging="240"/>
    </w:pPr>
    <w:rPr>
      <w:rFonts w:ascii="Times New Roman" w:hAnsi="Times New Roman"/>
      <w:szCs w:val="24"/>
    </w:rPr>
  </w:style>
  <w:style w:type="paragraph" w:styleId="Index5">
    <w:name w:val="index 5"/>
    <w:basedOn w:val="Normal"/>
    <w:next w:val="Normal"/>
    <w:autoRedefine/>
    <w:uiPriority w:val="99"/>
    <w:semiHidden/>
    <w:rsid w:val="00057548"/>
    <w:pPr>
      <w:ind w:left="1200" w:hanging="240"/>
    </w:pPr>
    <w:rPr>
      <w:rFonts w:ascii="Times New Roman" w:hAnsi="Times New Roman"/>
      <w:szCs w:val="24"/>
    </w:rPr>
  </w:style>
  <w:style w:type="paragraph" w:styleId="Index6">
    <w:name w:val="index 6"/>
    <w:basedOn w:val="Normal"/>
    <w:next w:val="Normal"/>
    <w:autoRedefine/>
    <w:uiPriority w:val="99"/>
    <w:semiHidden/>
    <w:rsid w:val="00057548"/>
    <w:pPr>
      <w:ind w:left="1440" w:hanging="240"/>
    </w:pPr>
    <w:rPr>
      <w:rFonts w:ascii="Times New Roman" w:hAnsi="Times New Roman"/>
      <w:szCs w:val="24"/>
    </w:rPr>
  </w:style>
  <w:style w:type="paragraph" w:styleId="Index7">
    <w:name w:val="index 7"/>
    <w:basedOn w:val="Normal"/>
    <w:next w:val="Normal"/>
    <w:autoRedefine/>
    <w:uiPriority w:val="99"/>
    <w:semiHidden/>
    <w:rsid w:val="00057548"/>
    <w:pPr>
      <w:ind w:left="1680" w:hanging="240"/>
    </w:pPr>
    <w:rPr>
      <w:rFonts w:ascii="Times New Roman" w:hAnsi="Times New Roman"/>
      <w:szCs w:val="24"/>
    </w:rPr>
  </w:style>
  <w:style w:type="paragraph" w:styleId="Index8">
    <w:name w:val="index 8"/>
    <w:basedOn w:val="Normal"/>
    <w:next w:val="Normal"/>
    <w:autoRedefine/>
    <w:uiPriority w:val="99"/>
    <w:semiHidden/>
    <w:rsid w:val="00057548"/>
    <w:pPr>
      <w:ind w:left="1920" w:hanging="240"/>
    </w:pPr>
    <w:rPr>
      <w:rFonts w:ascii="Times New Roman" w:hAnsi="Times New Roman"/>
      <w:szCs w:val="24"/>
    </w:rPr>
  </w:style>
  <w:style w:type="paragraph" w:styleId="Index9">
    <w:name w:val="index 9"/>
    <w:basedOn w:val="Normal"/>
    <w:next w:val="Normal"/>
    <w:autoRedefine/>
    <w:uiPriority w:val="99"/>
    <w:semiHidden/>
    <w:rsid w:val="00057548"/>
    <w:pPr>
      <w:ind w:left="2160" w:hanging="240"/>
    </w:pPr>
    <w:rPr>
      <w:rFonts w:ascii="Times New Roman" w:hAnsi="Times New Roman"/>
      <w:szCs w:val="24"/>
    </w:rPr>
  </w:style>
  <w:style w:type="paragraph" w:styleId="IndexHeading">
    <w:name w:val="index heading"/>
    <w:basedOn w:val="Normal"/>
    <w:next w:val="Index1"/>
    <w:uiPriority w:val="99"/>
    <w:semiHidden/>
    <w:rsid w:val="00057548"/>
    <w:pPr>
      <w:spacing w:before="120" w:after="120"/>
    </w:pPr>
    <w:rPr>
      <w:rFonts w:ascii="Times New Roman" w:hAnsi="Times New Roman"/>
      <w:b/>
      <w:bCs/>
      <w:i/>
      <w:iCs/>
      <w:szCs w:val="24"/>
    </w:rPr>
  </w:style>
  <w:style w:type="paragraph" w:customStyle="1" w:styleId="EntEmet">
    <w:name w:val="EntEmet"/>
    <w:basedOn w:val="Normal"/>
    <w:uiPriority w:val="99"/>
    <w:rsid w:val="00057548"/>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057548"/>
    <w:pPr>
      <w:spacing w:line="240" w:lineRule="auto"/>
    </w:pPr>
    <w:rPr>
      <w:rFonts w:ascii="Arial" w:hAnsi="Arial"/>
      <w:lang w:val="en-GB"/>
    </w:rPr>
  </w:style>
  <w:style w:type="paragraph" w:customStyle="1" w:styleId="Avsndare0">
    <w:name w:val="Avsndare"/>
    <w:basedOn w:val="Normal"/>
    <w:next w:val="Normal"/>
    <w:uiPriority w:val="99"/>
    <w:rsid w:val="00057548"/>
    <w:pPr>
      <w:spacing w:line="240" w:lineRule="auto"/>
    </w:pPr>
    <w:rPr>
      <w:rFonts w:ascii="Arial" w:hAnsi="Arial"/>
      <w:i/>
      <w:lang w:val="en-GB"/>
    </w:rPr>
  </w:style>
  <w:style w:type="character" w:styleId="Hyperlink">
    <w:name w:val="Hyperlink"/>
    <w:basedOn w:val="DefaultParagraphFont"/>
    <w:uiPriority w:val="99"/>
    <w:rsid w:val="00057548"/>
    <w:rPr>
      <w:rFonts w:cs="Times New Roman"/>
      <w:color w:val="0000FF"/>
      <w:u w:val="single"/>
    </w:rPr>
  </w:style>
  <w:style w:type="paragraph" w:styleId="DocumentMap">
    <w:name w:val="Document Map"/>
    <w:basedOn w:val="Normal"/>
    <w:link w:val="DocumentMapChar"/>
    <w:uiPriority w:val="99"/>
    <w:semiHidden/>
    <w:rsid w:val="0005754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lang w:eastAsia="en-US"/>
    </w:rPr>
  </w:style>
  <w:style w:type="character" w:styleId="FollowedHyperlink">
    <w:name w:val="FollowedHyperlink"/>
    <w:basedOn w:val="DefaultParagraphFont"/>
    <w:uiPriority w:val="99"/>
    <w:rsid w:val="00057548"/>
    <w:rPr>
      <w:rFonts w:cs="Times New Roman"/>
      <w:color w:val="800080"/>
      <w:u w:val="single"/>
    </w:rPr>
  </w:style>
  <w:style w:type="paragraph" w:customStyle="1" w:styleId="Par-number10">
    <w:name w:val="Par-number 1)"/>
    <w:basedOn w:val="Normal"/>
    <w:next w:val="Normal"/>
    <w:uiPriority w:val="99"/>
    <w:rsid w:val="00057548"/>
    <w:pPr>
      <w:widowControl w:val="0"/>
      <w:numPr>
        <w:numId w:val="11"/>
      </w:numPr>
      <w:spacing w:line="360" w:lineRule="auto"/>
    </w:pPr>
    <w:rPr>
      <w:rFonts w:ascii="Times New Roman" w:hAnsi="Times New Roman"/>
      <w:lang w:eastAsia="fr-BE"/>
    </w:rPr>
  </w:style>
  <w:style w:type="paragraph" w:customStyle="1" w:styleId="Par-equal">
    <w:name w:val="Par-equal"/>
    <w:basedOn w:val="Normal"/>
    <w:next w:val="Normal"/>
    <w:uiPriority w:val="99"/>
    <w:rsid w:val="00057548"/>
    <w:pPr>
      <w:widowControl w:val="0"/>
      <w:numPr>
        <w:numId w:val="6"/>
      </w:numPr>
      <w:spacing w:line="360" w:lineRule="auto"/>
    </w:pPr>
    <w:rPr>
      <w:rFonts w:ascii="Times New Roman" w:hAnsi="Times New Roman"/>
      <w:lang w:eastAsia="fr-BE"/>
    </w:rPr>
  </w:style>
  <w:style w:type="paragraph" w:customStyle="1" w:styleId="Par-number1">
    <w:name w:val="Par-number (1)"/>
    <w:basedOn w:val="Normal"/>
    <w:next w:val="Normal"/>
    <w:uiPriority w:val="99"/>
    <w:rsid w:val="00057548"/>
    <w:pPr>
      <w:widowControl w:val="0"/>
      <w:numPr>
        <w:numId w:val="7"/>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057548"/>
    <w:pPr>
      <w:widowControl w:val="0"/>
      <w:numPr>
        <w:numId w:val="8"/>
      </w:numPr>
      <w:spacing w:line="360" w:lineRule="auto"/>
    </w:pPr>
    <w:rPr>
      <w:rFonts w:ascii="Times New Roman" w:hAnsi="Times New Roman"/>
      <w:lang w:eastAsia="fr-BE"/>
    </w:rPr>
  </w:style>
  <w:style w:type="paragraph" w:customStyle="1" w:styleId="Par-numberI">
    <w:name w:val="Par-number I."/>
    <w:basedOn w:val="Normal"/>
    <w:next w:val="Normal"/>
    <w:uiPriority w:val="99"/>
    <w:rsid w:val="00057548"/>
    <w:pPr>
      <w:widowControl w:val="0"/>
      <w:numPr>
        <w:numId w:val="9"/>
      </w:numPr>
      <w:spacing w:line="360" w:lineRule="auto"/>
    </w:pPr>
    <w:rPr>
      <w:rFonts w:ascii="Times New Roman" w:hAnsi="Times New Roman"/>
      <w:lang w:eastAsia="fr-BE"/>
    </w:rPr>
  </w:style>
  <w:style w:type="paragraph" w:customStyle="1" w:styleId="Par-dash">
    <w:name w:val="Par-dash"/>
    <w:basedOn w:val="Normal"/>
    <w:next w:val="Normal"/>
    <w:uiPriority w:val="99"/>
    <w:rsid w:val="00057548"/>
    <w:pPr>
      <w:widowControl w:val="0"/>
      <w:numPr>
        <w:numId w:val="10"/>
      </w:numPr>
      <w:spacing w:line="360" w:lineRule="auto"/>
    </w:pPr>
    <w:rPr>
      <w:rFonts w:ascii="Times New Roman" w:hAnsi="Times New Roman"/>
      <w:lang w:eastAsia="fr-BE"/>
    </w:rPr>
  </w:style>
  <w:style w:type="paragraph" w:customStyle="1" w:styleId="Par-numberA">
    <w:name w:val="Par-number A."/>
    <w:basedOn w:val="Normal"/>
    <w:next w:val="Normal"/>
    <w:uiPriority w:val="99"/>
    <w:rsid w:val="00057548"/>
    <w:pPr>
      <w:widowControl w:val="0"/>
      <w:numPr>
        <w:numId w:val="12"/>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057548"/>
    <w:pPr>
      <w:widowControl w:val="0"/>
      <w:numPr>
        <w:numId w:val="13"/>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057548"/>
    <w:pPr>
      <w:widowControl w:val="0"/>
      <w:numPr>
        <w:numId w:val="14"/>
      </w:numPr>
      <w:spacing w:line="360" w:lineRule="auto"/>
    </w:pPr>
    <w:rPr>
      <w:rFonts w:ascii="Times New Roman" w:hAnsi="Times New Roman"/>
      <w:lang w:eastAsia="fr-BE"/>
    </w:rPr>
  </w:style>
  <w:style w:type="paragraph" w:customStyle="1" w:styleId="Considrant">
    <w:name w:val="Considérant"/>
    <w:basedOn w:val="Normal"/>
    <w:uiPriority w:val="99"/>
    <w:rsid w:val="00057548"/>
    <w:pPr>
      <w:numPr>
        <w:numId w:val="15"/>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057548"/>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057548"/>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locked/>
    <w:rPr>
      <w:rFonts w:ascii="OrigGarmnd BT" w:hAnsi="OrigGarmnd BT" w:cs="Times New Roman"/>
      <w:sz w:val="20"/>
      <w:szCs w:val="20"/>
      <w:lang w:eastAsia="en-US"/>
    </w:rPr>
  </w:style>
  <w:style w:type="paragraph" w:customStyle="1" w:styleId="EntRefer">
    <w:name w:val="EntRefer"/>
    <w:basedOn w:val="Normal"/>
    <w:uiPriority w:val="99"/>
    <w:rsid w:val="00057548"/>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057548"/>
    <w:pPr>
      <w:spacing w:line="240" w:lineRule="auto"/>
    </w:pPr>
    <w:rPr>
      <w:rFonts w:ascii="Times New Roman" w:hAnsi="Times New Roman"/>
      <w:lang w:val="en-GB" w:eastAsia="fr-BE"/>
    </w:rPr>
  </w:style>
  <w:style w:type="paragraph" w:customStyle="1" w:styleId="Tiret1">
    <w:name w:val="Tiret 1"/>
    <w:basedOn w:val="Normal"/>
    <w:uiPriority w:val="99"/>
    <w:rsid w:val="00057548"/>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057548"/>
    <w:pPr>
      <w:widowControl w:val="0"/>
      <w:numPr>
        <w:numId w:val="5"/>
      </w:numPr>
      <w:spacing w:line="360" w:lineRule="auto"/>
    </w:pPr>
    <w:rPr>
      <w:rFonts w:ascii="Times New Roman" w:hAnsi="Times New Roman"/>
      <w:lang w:eastAsia="fr-BE"/>
    </w:rPr>
  </w:style>
  <w:style w:type="paragraph" w:styleId="ListBullet">
    <w:name w:val="List Bullet"/>
    <w:basedOn w:val="Normal"/>
    <w:autoRedefine/>
    <w:uiPriority w:val="99"/>
    <w:rsid w:val="00057548"/>
    <w:pPr>
      <w:overflowPunct w:val="0"/>
      <w:autoSpaceDE w:val="0"/>
      <w:autoSpaceDN w:val="0"/>
      <w:adjustRightInd w:val="0"/>
      <w:ind w:left="1843"/>
      <w:textAlignment w:val="baseline"/>
    </w:pPr>
  </w:style>
  <w:style w:type="paragraph" w:customStyle="1" w:styleId="Brdtext0">
    <w:name w:val="Brˆdtext"/>
    <w:basedOn w:val="Normal"/>
    <w:uiPriority w:val="99"/>
    <w:rsid w:val="00057548"/>
    <w:pPr>
      <w:spacing w:line="320" w:lineRule="exact"/>
    </w:pPr>
    <w:rPr>
      <w:rFonts w:ascii="Times New Roman" w:hAnsi="Times New Roman"/>
    </w:rPr>
  </w:style>
  <w:style w:type="character" w:customStyle="1" w:styleId="term">
    <w:name w:val="term"/>
    <w:basedOn w:val="DefaultParagraphFont"/>
    <w:uiPriority w:val="99"/>
    <w:rsid w:val="00057548"/>
    <w:rPr>
      <w:rFonts w:cs="Times New Roman"/>
    </w:rPr>
  </w:style>
  <w:style w:type="paragraph" w:customStyle="1" w:styleId="Brdtexthuvud">
    <w:name w:val="Brödtext huvud"/>
    <w:basedOn w:val="Normal"/>
    <w:uiPriority w:val="99"/>
    <w:rsid w:val="00057548"/>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835E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35EB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3924</Words>
  <Characters>24212</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Agota Földes</cp:lastModifiedBy>
  <cp:revision>2</cp:revision>
  <cp:lastPrinted>2011-12-15T12:23:00Z</cp:lastPrinted>
  <dcterms:created xsi:type="dcterms:W3CDTF">2012-01-27T14:22:00Z</dcterms:created>
  <dcterms:modified xsi:type="dcterms:W3CDTF">2012-01-27T14:22:00Z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0x010100D4E2D80DC721422ABBDF033BB3857F4903009AD199C305D5474D8748D4BE706B4122</vt:lpwstr>
  </property>
  <property fmtid="{D5CDD505-2E9C-101B-9397-08002B2CF9AE}" pid="9" name="RKOrdnaSarskildSkyddsvard">
    <vt:lpwstr>false</vt:lpwstr>
  </property>
  <property fmtid="{D5CDD505-2E9C-101B-9397-08002B2CF9AE}" pid="10" name="RKOrdnaCheckInComment">
    <vt:lpwstr/>
  </property>
  <property fmtid="{D5CDD505-2E9C-101B-9397-08002B2CF9AE}" pid="11" name="RKOrdnaSearchKeywords">
    <vt:lpwstr/>
  </property>
  <property fmtid="{D5CDD505-2E9C-101B-9397-08002B2CF9AE}" pid="12" name="RKOrdnaDepartement">
    <vt:lpwstr>EU-representationen</vt:lpwstr>
  </property>
  <property fmtid="{D5CDD505-2E9C-101B-9397-08002B2CF9AE}" pid="13" name="RKOrdnaClass">
    <vt:lpwstr/>
  </property>
  <property fmtid="{D5CDD505-2E9C-101B-9397-08002B2CF9AE}" pid="14" name="RKOrdnaActivityCategory">
    <vt:lpwstr>4.1. Europeiska unionen</vt:lpwstr>
  </property>
  <property fmtid="{D5CDD505-2E9C-101B-9397-08002B2CF9AE}" pid="15" name="RKOrdnaDiarienummer">
    <vt:lpwstr/>
  </property>
</Properties>
</file>