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1B6F" w:rsidRPr="00EF077F" w:rsidRDefault="00EE1B6F">
      <w:pPr>
        <w:pStyle w:val="Hemstlrubrik"/>
        <w:shd w:val="clear" w:color="000000" w:fill="auto"/>
      </w:pPr>
      <w:r w:rsidRPr="00EF077F">
        <w:t>Förslag till riksdagsbeslut</w:t>
      </w:r>
    </w:p>
    <w:p w:rsidR="00EE1B6F" w:rsidRPr="00EF077F" w:rsidRDefault="00EE1B6F">
      <w:pPr>
        <w:pStyle w:val="Hemstlatt"/>
        <w:numPr>
          <w:ilvl w:val="0"/>
          <w:numId w:val="0"/>
        </w:numPr>
        <w:shd w:val="clear" w:color="000000" w:fill="auto"/>
      </w:pPr>
      <w:r w:rsidRPr="00EF077F">
        <w:t>Riksdagen anvisar med följande ändringar i förhålla</w:t>
      </w:r>
      <w:r w:rsidRPr="00EF077F">
        <w:t>n</w:t>
      </w:r>
      <w:r w:rsidRPr="00EF077F">
        <w:t>de till regeringens förslag anslagen under utgiftsområde 21 Energi enligt uppställning:</w:t>
      </w:r>
    </w:p>
    <w:tbl>
      <w:tblPr>
        <w:tblW w:w="5897" w:type="dxa"/>
        <w:tblInd w:w="55" w:type="dxa"/>
        <w:tblLayout w:type="fixed"/>
        <w:tblCellMar>
          <w:left w:w="70" w:type="dxa"/>
          <w:right w:w="70" w:type="dxa"/>
        </w:tblCellMar>
        <w:tblLook w:val="0000" w:firstRow="0" w:lastRow="0" w:firstColumn="0" w:lastColumn="0" w:noHBand="0" w:noVBand="0"/>
      </w:tblPr>
      <w:tblGrid>
        <w:gridCol w:w="695"/>
        <w:gridCol w:w="2722"/>
        <w:gridCol w:w="1240"/>
        <w:gridCol w:w="1240"/>
      </w:tblGrid>
      <w:tr w:rsidR="00000000" w:rsidRPr="00EF077F">
        <w:trPr>
          <w:trHeight w:val="20"/>
        </w:trPr>
        <w:tc>
          <w:tcPr>
            <w:tcW w:w="695" w:type="dxa"/>
            <w:tcBorders>
              <w:top w:val="single" w:sz="4" w:space="0" w:color="auto"/>
              <w:bottom w:val="single" w:sz="4" w:space="0" w:color="auto"/>
            </w:tcBorders>
          </w:tcPr>
          <w:p w:rsidR="00EE1B6F" w:rsidRPr="00EF077F" w:rsidRDefault="00EE1B6F">
            <w:pPr>
              <w:shd w:val="clear" w:color="000000" w:fill="auto"/>
              <w:spacing w:before="60" w:line="200" w:lineRule="exact"/>
              <w:rPr>
                <w:b/>
                <w:sz w:val="16"/>
                <w:szCs w:val="22"/>
              </w:rPr>
            </w:pPr>
            <w:r w:rsidRPr="00EF077F">
              <w:rPr>
                <w:b/>
                <w:sz w:val="16"/>
                <w:szCs w:val="22"/>
              </w:rPr>
              <w:t>Anslag</w:t>
            </w:r>
          </w:p>
        </w:tc>
        <w:tc>
          <w:tcPr>
            <w:tcW w:w="2722" w:type="dxa"/>
            <w:tcBorders>
              <w:top w:val="single" w:sz="4" w:space="0" w:color="auto"/>
              <w:bottom w:val="single" w:sz="4" w:space="0" w:color="auto"/>
            </w:tcBorders>
            <w:vAlign w:val="bottom"/>
          </w:tcPr>
          <w:p w:rsidR="00EE1B6F" w:rsidRPr="00EF077F" w:rsidRDefault="00EE1B6F">
            <w:pPr>
              <w:shd w:val="clear" w:color="000000" w:fill="auto"/>
              <w:spacing w:before="60" w:line="200" w:lineRule="exact"/>
              <w:rPr>
                <w:sz w:val="16"/>
                <w:szCs w:val="22"/>
              </w:rPr>
            </w:pPr>
          </w:p>
        </w:tc>
        <w:tc>
          <w:tcPr>
            <w:tcW w:w="1240" w:type="dxa"/>
            <w:tcBorders>
              <w:top w:val="single" w:sz="4" w:space="0" w:color="auto"/>
              <w:bottom w:val="single" w:sz="4" w:space="0" w:color="auto"/>
            </w:tcBorders>
          </w:tcPr>
          <w:p w:rsidR="00EE1B6F" w:rsidRPr="00EF077F" w:rsidRDefault="00EE1B6F">
            <w:pPr>
              <w:shd w:val="clear" w:color="000000" w:fill="auto"/>
              <w:spacing w:before="60" w:line="200" w:lineRule="exact"/>
              <w:jc w:val="right"/>
              <w:rPr>
                <w:b/>
                <w:sz w:val="16"/>
                <w:szCs w:val="22"/>
              </w:rPr>
            </w:pPr>
            <w:r w:rsidRPr="00EF077F">
              <w:rPr>
                <w:b/>
                <w:sz w:val="16"/>
                <w:szCs w:val="22"/>
              </w:rPr>
              <w:t>Regeringens förslag (tkr)</w:t>
            </w:r>
          </w:p>
        </w:tc>
        <w:tc>
          <w:tcPr>
            <w:tcW w:w="1240" w:type="dxa"/>
            <w:tcBorders>
              <w:top w:val="single" w:sz="4" w:space="0" w:color="auto"/>
              <w:bottom w:val="single" w:sz="4" w:space="0" w:color="auto"/>
            </w:tcBorders>
          </w:tcPr>
          <w:p w:rsidR="00EE1B6F" w:rsidRPr="00EF077F" w:rsidRDefault="00EE1B6F">
            <w:pPr>
              <w:shd w:val="clear" w:color="000000" w:fill="auto"/>
              <w:spacing w:before="60" w:line="200" w:lineRule="exact"/>
              <w:jc w:val="right"/>
              <w:rPr>
                <w:b/>
                <w:sz w:val="16"/>
                <w:szCs w:val="22"/>
              </w:rPr>
            </w:pPr>
            <w:r w:rsidRPr="00EF077F">
              <w:rPr>
                <w:b/>
                <w:sz w:val="16"/>
                <w:szCs w:val="22"/>
              </w:rPr>
              <w:t>Förändring (tkr)</w:t>
            </w:r>
          </w:p>
        </w:tc>
      </w:tr>
      <w:tr w:rsidR="00000000" w:rsidRPr="00EF077F">
        <w:trPr>
          <w:trHeight w:val="20"/>
        </w:trPr>
        <w:tc>
          <w:tcPr>
            <w:tcW w:w="695" w:type="dxa"/>
            <w:tcBorders>
              <w:top w:val="single" w:sz="4" w:space="0" w:color="auto"/>
            </w:tcBorders>
          </w:tcPr>
          <w:p w:rsidR="00EE1B6F" w:rsidRPr="00EF077F" w:rsidRDefault="00EE1B6F">
            <w:pPr>
              <w:shd w:val="clear" w:color="000000" w:fill="auto"/>
              <w:spacing w:before="60" w:line="200" w:lineRule="exact"/>
              <w:rPr>
                <w:color w:val="000000"/>
                <w:sz w:val="16"/>
                <w:szCs w:val="22"/>
              </w:rPr>
            </w:pPr>
            <w:r w:rsidRPr="00EF077F">
              <w:rPr>
                <w:color w:val="000000"/>
                <w:sz w:val="16"/>
                <w:szCs w:val="22"/>
              </w:rPr>
              <w:t>35:2</w:t>
            </w:r>
          </w:p>
        </w:tc>
        <w:tc>
          <w:tcPr>
            <w:tcW w:w="2722" w:type="dxa"/>
            <w:tcBorders>
              <w:top w:val="single" w:sz="4" w:space="0" w:color="auto"/>
            </w:tcBorders>
            <w:vAlign w:val="bottom"/>
          </w:tcPr>
          <w:p w:rsidR="00EE1B6F" w:rsidRPr="00EF077F" w:rsidRDefault="00EE1B6F">
            <w:pPr>
              <w:shd w:val="clear" w:color="000000" w:fill="auto"/>
              <w:spacing w:before="60" w:line="200" w:lineRule="exact"/>
              <w:rPr>
                <w:sz w:val="16"/>
                <w:szCs w:val="22"/>
              </w:rPr>
            </w:pPr>
            <w:r w:rsidRPr="00EF077F">
              <w:rPr>
                <w:sz w:val="16"/>
                <w:szCs w:val="22"/>
              </w:rPr>
              <w:t>Regionala och lokala insatser för ene</w:t>
            </w:r>
            <w:r w:rsidRPr="00EF077F">
              <w:rPr>
                <w:sz w:val="16"/>
                <w:szCs w:val="22"/>
              </w:rPr>
              <w:t>r</w:t>
            </w:r>
            <w:r w:rsidRPr="00EF077F">
              <w:rPr>
                <w:sz w:val="16"/>
                <w:szCs w:val="22"/>
              </w:rPr>
              <w:t>gieffektivisering m.m.</w:t>
            </w:r>
          </w:p>
        </w:tc>
        <w:tc>
          <w:tcPr>
            <w:tcW w:w="1240" w:type="dxa"/>
            <w:tcBorders>
              <w:top w:val="single" w:sz="4" w:space="0" w:color="auto"/>
            </w:tcBorders>
            <w:vAlign w:val="bottom"/>
          </w:tcPr>
          <w:p w:rsidR="00EE1B6F" w:rsidRPr="00EF077F" w:rsidRDefault="00EE1B6F">
            <w:pPr>
              <w:shd w:val="clear" w:color="000000" w:fill="auto"/>
              <w:spacing w:before="60" w:line="200" w:lineRule="exact"/>
              <w:ind w:left="574"/>
              <w:jc w:val="right"/>
              <w:rPr>
                <w:color w:val="000000"/>
                <w:sz w:val="16"/>
                <w:szCs w:val="22"/>
              </w:rPr>
            </w:pPr>
            <w:r w:rsidRPr="00EF077F">
              <w:rPr>
                <w:color w:val="000000"/>
                <w:sz w:val="16"/>
                <w:szCs w:val="22"/>
              </w:rPr>
              <w:t>140 000</w:t>
            </w:r>
          </w:p>
        </w:tc>
        <w:tc>
          <w:tcPr>
            <w:tcW w:w="1240" w:type="dxa"/>
            <w:tcBorders>
              <w:top w:val="single" w:sz="4" w:space="0" w:color="auto"/>
            </w:tcBorders>
            <w:vAlign w:val="bottom"/>
          </w:tcPr>
          <w:p w:rsidR="00EE1B6F" w:rsidRPr="00EF077F" w:rsidRDefault="00EE1B6F">
            <w:pPr>
              <w:shd w:val="clear" w:color="000000" w:fill="auto"/>
              <w:spacing w:before="60" w:line="200" w:lineRule="exact"/>
              <w:ind w:left="-34"/>
              <w:jc w:val="right"/>
              <w:rPr>
                <w:color w:val="000000"/>
                <w:sz w:val="16"/>
                <w:szCs w:val="22"/>
              </w:rPr>
            </w:pPr>
            <w:r w:rsidRPr="00EF077F">
              <w:rPr>
                <w:color w:val="000000"/>
                <w:sz w:val="16"/>
                <w:szCs w:val="22"/>
              </w:rPr>
              <w:t>–140 000</w:t>
            </w:r>
          </w:p>
        </w:tc>
      </w:tr>
      <w:tr w:rsidR="00000000" w:rsidRPr="00EF077F">
        <w:trPr>
          <w:trHeight w:val="20"/>
        </w:trPr>
        <w:tc>
          <w:tcPr>
            <w:tcW w:w="695" w:type="dxa"/>
          </w:tcPr>
          <w:p w:rsidR="00EE1B6F" w:rsidRPr="00EF077F" w:rsidRDefault="00EE1B6F">
            <w:pPr>
              <w:shd w:val="clear" w:color="000000" w:fill="auto"/>
              <w:spacing w:before="60" w:line="200" w:lineRule="exact"/>
              <w:rPr>
                <w:color w:val="000000"/>
                <w:sz w:val="16"/>
                <w:szCs w:val="22"/>
              </w:rPr>
            </w:pPr>
            <w:r w:rsidRPr="00EF077F">
              <w:rPr>
                <w:color w:val="000000"/>
                <w:sz w:val="16"/>
                <w:szCs w:val="22"/>
              </w:rPr>
              <w:t>35:9</w:t>
            </w:r>
          </w:p>
        </w:tc>
        <w:tc>
          <w:tcPr>
            <w:tcW w:w="2722" w:type="dxa"/>
            <w:vAlign w:val="bottom"/>
          </w:tcPr>
          <w:p w:rsidR="00EE1B6F" w:rsidRPr="00EF077F" w:rsidRDefault="00EE1B6F">
            <w:pPr>
              <w:shd w:val="clear" w:color="000000" w:fill="auto"/>
              <w:spacing w:before="60" w:line="200" w:lineRule="exact"/>
              <w:rPr>
                <w:sz w:val="16"/>
                <w:szCs w:val="22"/>
              </w:rPr>
            </w:pPr>
            <w:r w:rsidRPr="00EF077F">
              <w:rPr>
                <w:sz w:val="16"/>
                <w:szCs w:val="22"/>
              </w:rPr>
              <w:t>Stöd för energiinvesteringar i offentliga lokaler</w:t>
            </w:r>
          </w:p>
        </w:tc>
        <w:tc>
          <w:tcPr>
            <w:tcW w:w="1240" w:type="dxa"/>
            <w:vAlign w:val="bottom"/>
          </w:tcPr>
          <w:p w:rsidR="00EE1B6F" w:rsidRPr="00EF077F" w:rsidRDefault="00EE1B6F">
            <w:pPr>
              <w:shd w:val="clear" w:color="000000" w:fill="auto"/>
              <w:spacing w:before="60" w:line="200" w:lineRule="exact"/>
              <w:ind w:left="574"/>
              <w:jc w:val="right"/>
              <w:rPr>
                <w:color w:val="000000"/>
                <w:sz w:val="16"/>
                <w:szCs w:val="22"/>
              </w:rPr>
            </w:pPr>
            <w:r w:rsidRPr="00EF077F">
              <w:rPr>
                <w:color w:val="000000"/>
                <w:sz w:val="16"/>
                <w:szCs w:val="22"/>
              </w:rPr>
              <w:t>700 000</w:t>
            </w:r>
          </w:p>
        </w:tc>
        <w:tc>
          <w:tcPr>
            <w:tcW w:w="1240" w:type="dxa"/>
            <w:vAlign w:val="bottom"/>
          </w:tcPr>
          <w:p w:rsidR="00EE1B6F" w:rsidRPr="00EF077F" w:rsidRDefault="00EE1B6F">
            <w:pPr>
              <w:shd w:val="clear" w:color="000000" w:fill="auto"/>
              <w:spacing w:before="60" w:line="200" w:lineRule="exact"/>
              <w:ind w:left="-34"/>
              <w:jc w:val="right"/>
              <w:rPr>
                <w:color w:val="000000"/>
                <w:sz w:val="16"/>
                <w:szCs w:val="22"/>
              </w:rPr>
            </w:pPr>
            <w:r w:rsidRPr="00EF077F">
              <w:rPr>
                <w:color w:val="000000"/>
                <w:sz w:val="16"/>
                <w:szCs w:val="22"/>
              </w:rPr>
              <w:t>–700 000</w:t>
            </w:r>
          </w:p>
        </w:tc>
      </w:tr>
      <w:tr w:rsidR="00000000" w:rsidRPr="00EF077F">
        <w:trPr>
          <w:trHeight w:val="20"/>
        </w:trPr>
        <w:tc>
          <w:tcPr>
            <w:tcW w:w="695" w:type="dxa"/>
          </w:tcPr>
          <w:p w:rsidR="00EE1B6F" w:rsidRPr="00EF077F" w:rsidRDefault="00EE1B6F">
            <w:pPr>
              <w:shd w:val="clear" w:color="000000" w:fill="auto"/>
              <w:spacing w:before="60" w:line="200" w:lineRule="exact"/>
              <w:rPr>
                <w:color w:val="000000"/>
                <w:sz w:val="16"/>
                <w:szCs w:val="22"/>
              </w:rPr>
            </w:pPr>
            <w:r w:rsidRPr="00EF077F">
              <w:rPr>
                <w:color w:val="000000"/>
                <w:sz w:val="16"/>
                <w:szCs w:val="22"/>
              </w:rPr>
              <w:t>35:10</w:t>
            </w:r>
          </w:p>
        </w:tc>
        <w:tc>
          <w:tcPr>
            <w:tcW w:w="2722" w:type="dxa"/>
            <w:vAlign w:val="bottom"/>
          </w:tcPr>
          <w:p w:rsidR="00EE1B6F" w:rsidRPr="00EF077F" w:rsidRDefault="00EE1B6F">
            <w:pPr>
              <w:shd w:val="clear" w:color="000000" w:fill="auto"/>
              <w:spacing w:before="60" w:line="200" w:lineRule="exact"/>
              <w:rPr>
                <w:color w:val="000000"/>
                <w:sz w:val="16"/>
                <w:szCs w:val="22"/>
              </w:rPr>
            </w:pPr>
            <w:r w:rsidRPr="00EF077F">
              <w:rPr>
                <w:color w:val="000000"/>
                <w:sz w:val="16"/>
                <w:szCs w:val="22"/>
              </w:rPr>
              <w:t>Stöd för konvertering från direktve</w:t>
            </w:r>
            <w:r w:rsidRPr="00EF077F">
              <w:rPr>
                <w:color w:val="000000"/>
                <w:sz w:val="16"/>
                <w:szCs w:val="22"/>
              </w:rPr>
              <w:t>r</w:t>
            </w:r>
            <w:r w:rsidRPr="00EF077F">
              <w:rPr>
                <w:color w:val="000000"/>
                <w:sz w:val="16"/>
                <w:szCs w:val="22"/>
              </w:rPr>
              <w:t>kande elvärme m.m.</w:t>
            </w:r>
          </w:p>
        </w:tc>
        <w:tc>
          <w:tcPr>
            <w:tcW w:w="1240" w:type="dxa"/>
            <w:vAlign w:val="bottom"/>
          </w:tcPr>
          <w:p w:rsidR="00EE1B6F" w:rsidRPr="00EF077F" w:rsidRDefault="00EE1B6F">
            <w:pPr>
              <w:shd w:val="clear" w:color="000000" w:fill="auto"/>
              <w:spacing w:before="60" w:line="200" w:lineRule="exact"/>
              <w:ind w:left="574"/>
              <w:jc w:val="right"/>
              <w:rPr>
                <w:color w:val="000000"/>
                <w:sz w:val="16"/>
                <w:szCs w:val="22"/>
              </w:rPr>
            </w:pPr>
            <w:r w:rsidRPr="00EF077F">
              <w:rPr>
                <w:color w:val="000000"/>
                <w:sz w:val="16"/>
                <w:szCs w:val="22"/>
              </w:rPr>
              <w:t>330 000</w:t>
            </w:r>
          </w:p>
        </w:tc>
        <w:tc>
          <w:tcPr>
            <w:tcW w:w="1240" w:type="dxa"/>
            <w:vAlign w:val="bottom"/>
          </w:tcPr>
          <w:p w:rsidR="00EE1B6F" w:rsidRPr="00EF077F" w:rsidRDefault="00EE1B6F">
            <w:pPr>
              <w:shd w:val="clear" w:color="000000" w:fill="auto"/>
              <w:spacing w:before="60" w:line="200" w:lineRule="exact"/>
              <w:ind w:left="-34"/>
              <w:jc w:val="right"/>
              <w:rPr>
                <w:color w:val="000000"/>
                <w:sz w:val="16"/>
                <w:szCs w:val="22"/>
              </w:rPr>
            </w:pPr>
            <w:r w:rsidRPr="00EF077F">
              <w:rPr>
                <w:color w:val="000000"/>
                <w:sz w:val="16"/>
                <w:szCs w:val="22"/>
              </w:rPr>
              <w:t>–330 000</w:t>
            </w:r>
          </w:p>
        </w:tc>
      </w:tr>
      <w:tr w:rsidR="00000000" w:rsidRPr="00EF077F">
        <w:trPr>
          <w:trHeight w:val="20"/>
        </w:trPr>
        <w:tc>
          <w:tcPr>
            <w:tcW w:w="695" w:type="dxa"/>
          </w:tcPr>
          <w:p w:rsidR="00EE1B6F" w:rsidRPr="00EF077F" w:rsidRDefault="00EE1B6F">
            <w:pPr>
              <w:shd w:val="clear" w:color="000000" w:fill="auto"/>
              <w:spacing w:before="60" w:line="200" w:lineRule="exact"/>
              <w:rPr>
                <w:bCs/>
                <w:color w:val="000000"/>
                <w:sz w:val="16"/>
                <w:szCs w:val="22"/>
              </w:rPr>
            </w:pPr>
            <w:r w:rsidRPr="00EF077F">
              <w:rPr>
                <w:bCs/>
                <w:color w:val="000000"/>
                <w:sz w:val="16"/>
                <w:szCs w:val="22"/>
              </w:rPr>
              <w:t>35:11</w:t>
            </w:r>
          </w:p>
        </w:tc>
        <w:tc>
          <w:tcPr>
            <w:tcW w:w="2722" w:type="dxa"/>
            <w:vAlign w:val="bottom"/>
          </w:tcPr>
          <w:p w:rsidR="00EE1B6F" w:rsidRPr="00EF077F" w:rsidRDefault="00EE1B6F">
            <w:pPr>
              <w:shd w:val="clear" w:color="000000" w:fill="auto"/>
              <w:spacing w:before="60" w:line="200" w:lineRule="exact"/>
              <w:rPr>
                <w:sz w:val="16"/>
                <w:szCs w:val="22"/>
              </w:rPr>
            </w:pPr>
            <w:r w:rsidRPr="00EF077F">
              <w:rPr>
                <w:sz w:val="16"/>
                <w:szCs w:val="22"/>
              </w:rPr>
              <w:t>Stöd för installation av solvärme</w:t>
            </w:r>
          </w:p>
        </w:tc>
        <w:tc>
          <w:tcPr>
            <w:tcW w:w="1240" w:type="dxa"/>
            <w:vAlign w:val="bottom"/>
          </w:tcPr>
          <w:p w:rsidR="00EE1B6F" w:rsidRPr="00EF077F" w:rsidRDefault="00EE1B6F">
            <w:pPr>
              <w:shd w:val="clear" w:color="000000" w:fill="auto"/>
              <w:spacing w:before="60" w:line="200" w:lineRule="exact"/>
              <w:ind w:left="574"/>
              <w:jc w:val="right"/>
              <w:rPr>
                <w:bCs/>
                <w:color w:val="000000"/>
                <w:sz w:val="16"/>
                <w:szCs w:val="22"/>
              </w:rPr>
            </w:pPr>
            <w:r w:rsidRPr="00EF077F">
              <w:rPr>
                <w:bCs/>
                <w:color w:val="000000"/>
                <w:sz w:val="16"/>
                <w:szCs w:val="22"/>
              </w:rPr>
              <w:t>27 000</w:t>
            </w:r>
          </w:p>
        </w:tc>
        <w:tc>
          <w:tcPr>
            <w:tcW w:w="1240" w:type="dxa"/>
            <w:vAlign w:val="bottom"/>
          </w:tcPr>
          <w:p w:rsidR="00EE1B6F" w:rsidRPr="00EF077F" w:rsidRDefault="00EE1B6F">
            <w:pPr>
              <w:shd w:val="clear" w:color="000000" w:fill="auto"/>
              <w:spacing w:before="60" w:line="200" w:lineRule="exact"/>
              <w:ind w:left="-34"/>
              <w:jc w:val="right"/>
              <w:rPr>
                <w:bCs/>
                <w:color w:val="000000"/>
                <w:sz w:val="16"/>
                <w:szCs w:val="22"/>
              </w:rPr>
            </w:pPr>
            <w:r w:rsidRPr="00EF077F">
              <w:rPr>
                <w:color w:val="000000"/>
                <w:sz w:val="16"/>
                <w:szCs w:val="22"/>
              </w:rPr>
              <w:t>–</w:t>
            </w:r>
            <w:r w:rsidRPr="00EF077F">
              <w:rPr>
                <w:sz w:val="16"/>
                <w:szCs w:val="22"/>
              </w:rPr>
              <w:t>27 000</w:t>
            </w:r>
          </w:p>
        </w:tc>
      </w:tr>
      <w:tr w:rsidR="00000000" w:rsidRPr="00EF077F">
        <w:trPr>
          <w:trHeight w:val="20"/>
        </w:trPr>
        <w:tc>
          <w:tcPr>
            <w:tcW w:w="695" w:type="dxa"/>
          </w:tcPr>
          <w:p w:rsidR="00EE1B6F" w:rsidRPr="00EF077F" w:rsidRDefault="00EE1B6F">
            <w:pPr>
              <w:shd w:val="clear" w:color="000000" w:fill="auto"/>
              <w:spacing w:before="60" w:line="200" w:lineRule="exact"/>
              <w:rPr>
                <w:bCs/>
                <w:color w:val="000000"/>
                <w:sz w:val="16"/>
                <w:szCs w:val="22"/>
              </w:rPr>
            </w:pPr>
            <w:r w:rsidRPr="00EF077F">
              <w:rPr>
                <w:bCs/>
                <w:color w:val="000000"/>
                <w:sz w:val="16"/>
                <w:szCs w:val="22"/>
              </w:rPr>
              <w:t>35:12</w:t>
            </w:r>
          </w:p>
        </w:tc>
        <w:tc>
          <w:tcPr>
            <w:tcW w:w="2722" w:type="dxa"/>
            <w:vAlign w:val="bottom"/>
          </w:tcPr>
          <w:p w:rsidR="00EE1B6F" w:rsidRPr="00EF077F" w:rsidRDefault="00EE1B6F">
            <w:pPr>
              <w:shd w:val="clear" w:color="000000" w:fill="auto"/>
              <w:spacing w:before="60" w:line="200" w:lineRule="exact"/>
              <w:rPr>
                <w:sz w:val="16"/>
                <w:szCs w:val="22"/>
              </w:rPr>
            </w:pPr>
            <w:r w:rsidRPr="00EF077F">
              <w:rPr>
                <w:sz w:val="16"/>
                <w:szCs w:val="22"/>
              </w:rPr>
              <w:t>Stöd för installation av energieffektiva fönster m.m. i småhus</w:t>
            </w:r>
          </w:p>
        </w:tc>
        <w:tc>
          <w:tcPr>
            <w:tcW w:w="1240" w:type="dxa"/>
            <w:vAlign w:val="bottom"/>
          </w:tcPr>
          <w:p w:rsidR="00EE1B6F" w:rsidRPr="00EF077F" w:rsidRDefault="00EE1B6F">
            <w:pPr>
              <w:shd w:val="clear" w:color="000000" w:fill="auto"/>
              <w:spacing w:before="60" w:line="200" w:lineRule="exact"/>
              <w:ind w:left="574"/>
              <w:jc w:val="right"/>
              <w:rPr>
                <w:bCs/>
                <w:color w:val="000000"/>
                <w:sz w:val="16"/>
                <w:szCs w:val="22"/>
              </w:rPr>
            </w:pPr>
            <w:r w:rsidRPr="00EF077F">
              <w:rPr>
                <w:bCs/>
                <w:color w:val="000000"/>
                <w:sz w:val="16"/>
                <w:szCs w:val="22"/>
              </w:rPr>
              <w:t>50 000</w:t>
            </w:r>
          </w:p>
        </w:tc>
        <w:tc>
          <w:tcPr>
            <w:tcW w:w="1240" w:type="dxa"/>
            <w:vAlign w:val="bottom"/>
          </w:tcPr>
          <w:p w:rsidR="00EE1B6F" w:rsidRPr="00EF077F" w:rsidRDefault="00EE1B6F">
            <w:pPr>
              <w:shd w:val="clear" w:color="000000" w:fill="auto"/>
              <w:spacing w:before="60" w:line="200" w:lineRule="exact"/>
              <w:ind w:left="-34"/>
              <w:jc w:val="right"/>
              <w:rPr>
                <w:bCs/>
                <w:color w:val="000000"/>
                <w:sz w:val="16"/>
                <w:szCs w:val="22"/>
              </w:rPr>
            </w:pPr>
            <w:r w:rsidRPr="00EF077F">
              <w:rPr>
                <w:color w:val="000000"/>
                <w:sz w:val="16"/>
                <w:szCs w:val="22"/>
              </w:rPr>
              <w:t>–</w:t>
            </w:r>
            <w:r w:rsidRPr="00EF077F">
              <w:rPr>
                <w:bCs/>
                <w:color w:val="000000"/>
                <w:sz w:val="16"/>
                <w:szCs w:val="22"/>
              </w:rPr>
              <w:t>50 000</w:t>
            </w:r>
          </w:p>
        </w:tc>
      </w:tr>
      <w:tr w:rsidR="00000000" w:rsidRPr="00EF077F">
        <w:trPr>
          <w:trHeight w:val="20"/>
        </w:trPr>
        <w:tc>
          <w:tcPr>
            <w:tcW w:w="695" w:type="dxa"/>
          </w:tcPr>
          <w:p w:rsidR="00EE1B6F" w:rsidRPr="00EF077F" w:rsidRDefault="00EE1B6F">
            <w:pPr>
              <w:shd w:val="clear" w:color="000000" w:fill="auto"/>
              <w:spacing w:before="60" w:line="200" w:lineRule="exact"/>
              <w:rPr>
                <w:bCs/>
                <w:color w:val="000000"/>
                <w:sz w:val="16"/>
                <w:szCs w:val="22"/>
              </w:rPr>
            </w:pPr>
            <w:r w:rsidRPr="00EF077F">
              <w:rPr>
                <w:bCs/>
                <w:color w:val="000000"/>
                <w:sz w:val="16"/>
                <w:szCs w:val="22"/>
              </w:rPr>
              <w:t>35:5</w:t>
            </w:r>
          </w:p>
        </w:tc>
        <w:tc>
          <w:tcPr>
            <w:tcW w:w="2722" w:type="dxa"/>
            <w:vAlign w:val="bottom"/>
          </w:tcPr>
          <w:p w:rsidR="00EE1B6F" w:rsidRPr="00EF077F" w:rsidRDefault="00EE1B6F">
            <w:pPr>
              <w:shd w:val="clear" w:color="000000" w:fill="auto"/>
              <w:spacing w:before="60" w:line="200" w:lineRule="exact"/>
              <w:rPr>
                <w:sz w:val="16"/>
                <w:szCs w:val="22"/>
              </w:rPr>
            </w:pPr>
            <w:r w:rsidRPr="00EF077F">
              <w:rPr>
                <w:sz w:val="16"/>
                <w:szCs w:val="22"/>
              </w:rPr>
              <w:t xml:space="preserve">Energiforskning </w:t>
            </w:r>
          </w:p>
        </w:tc>
        <w:tc>
          <w:tcPr>
            <w:tcW w:w="1240" w:type="dxa"/>
            <w:vAlign w:val="bottom"/>
          </w:tcPr>
          <w:p w:rsidR="00EE1B6F" w:rsidRPr="00EF077F" w:rsidRDefault="00EE1B6F">
            <w:pPr>
              <w:shd w:val="clear" w:color="000000" w:fill="auto"/>
              <w:spacing w:before="60" w:line="200" w:lineRule="exact"/>
              <w:ind w:left="574"/>
              <w:jc w:val="right"/>
              <w:rPr>
                <w:bCs/>
                <w:color w:val="000000"/>
                <w:sz w:val="16"/>
                <w:szCs w:val="22"/>
              </w:rPr>
            </w:pPr>
            <w:r w:rsidRPr="00EF077F">
              <w:rPr>
                <w:bCs/>
                <w:color w:val="000000"/>
                <w:sz w:val="16"/>
                <w:szCs w:val="22"/>
              </w:rPr>
              <w:t>875 000</w:t>
            </w:r>
          </w:p>
        </w:tc>
        <w:tc>
          <w:tcPr>
            <w:tcW w:w="1240" w:type="dxa"/>
            <w:vAlign w:val="bottom"/>
          </w:tcPr>
          <w:p w:rsidR="00EE1B6F" w:rsidRPr="00EF077F" w:rsidRDefault="00EE1B6F">
            <w:pPr>
              <w:shd w:val="clear" w:color="000000" w:fill="auto"/>
              <w:spacing w:before="60" w:line="200" w:lineRule="exact"/>
              <w:ind w:left="-34"/>
              <w:jc w:val="right"/>
              <w:rPr>
                <w:bCs/>
                <w:color w:val="000000"/>
                <w:sz w:val="16"/>
                <w:szCs w:val="22"/>
              </w:rPr>
            </w:pPr>
            <w:r w:rsidRPr="00EF077F">
              <w:rPr>
                <w:bCs/>
                <w:color w:val="000000"/>
                <w:sz w:val="16"/>
                <w:szCs w:val="22"/>
              </w:rPr>
              <w:t>200 000</w:t>
            </w:r>
          </w:p>
        </w:tc>
      </w:tr>
      <w:tr w:rsidR="00000000" w:rsidRPr="00EF077F">
        <w:trPr>
          <w:trHeight w:val="20"/>
        </w:trPr>
        <w:tc>
          <w:tcPr>
            <w:tcW w:w="695" w:type="dxa"/>
          </w:tcPr>
          <w:p w:rsidR="00EE1B6F" w:rsidRPr="00EF077F" w:rsidRDefault="00EE1B6F">
            <w:pPr>
              <w:shd w:val="clear" w:color="000000" w:fill="auto"/>
              <w:spacing w:before="60" w:line="200" w:lineRule="exact"/>
              <w:rPr>
                <w:bCs/>
                <w:color w:val="000000"/>
                <w:sz w:val="16"/>
                <w:szCs w:val="22"/>
              </w:rPr>
            </w:pPr>
            <w:r w:rsidRPr="00EF077F">
              <w:rPr>
                <w:bCs/>
                <w:color w:val="000000"/>
                <w:sz w:val="16"/>
                <w:szCs w:val="22"/>
              </w:rPr>
              <w:t>Nytt</w:t>
            </w:r>
          </w:p>
        </w:tc>
        <w:tc>
          <w:tcPr>
            <w:tcW w:w="2722" w:type="dxa"/>
            <w:vAlign w:val="bottom"/>
          </w:tcPr>
          <w:p w:rsidR="00EE1B6F" w:rsidRPr="00EF077F" w:rsidRDefault="00EE1B6F">
            <w:pPr>
              <w:shd w:val="clear" w:color="000000" w:fill="auto"/>
              <w:spacing w:before="60" w:line="200" w:lineRule="exact"/>
              <w:rPr>
                <w:sz w:val="16"/>
                <w:szCs w:val="22"/>
              </w:rPr>
            </w:pPr>
            <w:r w:rsidRPr="00EF077F">
              <w:rPr>
                <w:sz w:val="16"/>
                <w:szCs w:val="22"/>
              </w:rPr>
              <w:t>Centrum för energieffektivisering</w:t>
            </w:r>
          </w:p>
        </w:tc>
        <w:tc>
          <w:tcPr>
            <w:tcW w:w="1240" w:type="dxa"/>
            <w:vAlign w:val="bottom"/>
          </w:tcPr>
          <w:p w:rsidR="00EE1B6F" w:rsidRPr="00EF077F" w:rsidRDefault="00EE1B6F">
            <w:pPr>
              <w:shd w:val="clear" w:color="000000" w:fill="auto"/>
              <w:spacing w:before="60" w:line="200" w:lineRule="exact"/>
              <w:ind w:left="574"/>
              <w:jc w:val="right"/>
              <w:rPr>
                <w:bCs/>
                <w:color w:val="000000"/>
                <w:sz w:val="16"/>
                <w:szCs w:val="22"/>
              </w:rPr>
            </w:pPr>
          </w:p>
        </w:tc>
        <w:tc>
          <w:tcPr>
            <w:tcW w:w="1240" w:type="dxa"/>
            <w:vAlign w:val="bottom"/>
          </w:tcPr>
          <w:p w:rsidR="00EE1B6F" w:rsidRPr="00EF077F" w:rsidRDefault="00EE1B6F">
            <w:pPr>
              <w:shd w:val="clear" w:color="000000" w:fill="auto"/>
              <w:spacing w:before="60" w:line="200" w:lineRule="exact"/>
              <w:ind w:left="-34"/>
              <w:jc w:val="right"/>
              <w:rPr>
                <w:bCs/>
                <w:color w:val="000000"/>
                <w:sz w:val="16"/>
                <w:szCs w:val="22"/>
              </w:rPr>
            </w:pPr>
            <w:r w:rsidRPr="00EF077F">
              <w:rPr>
                <w:bCs/>
                <w:color w:val="000000"/>
                <w:sz w:val="16"/>
                <w:szCs w:val="22"/>
              </w:rPr>
              <w:t>1 547 000</w:t>
            </w:r>
          </w:p>
        </w:tc>
      </w:tr>
      <w:tr w:rsidR="00000000" w:rsidRPr="00EF077F">
        <w:trPr>
          <w:trHeight w:val="20"/>
        </w:trPr>
        <w:tc>
          <w:tcPr>
            <w:tcW w:w="695" w:type="dxa"/>
            <w:tcBorders>
              <w:bottom w:val="single" w:sz="4" w:space="0" w:color="auto"/>
            </w:tcBorders>
          </w:tcPr>
          <w:p w:rsidR="00EE1B6F" w:rsidRPr="00EF077F" w:rsidRDefault="00EE1B6F">
            <w:pPr>
              <w:shd w:val="clear" w:color="000000" w:fill="auto"/>
              <w:spacing w:before="60" w:line="200" w:lineRule="exact"/>
              <w:rPr>
                <w:b/>
                <w:bCs/>
                <w:color w:val="000000"/>
                <w:sz w:val="16"/>
                <w:szCs w:val="22"/>
              </w:rPr>
            </w:pPr>
          </w:p>
        </w:tc>
        <w:tc>
          <w:tcPr>
            <w:tcW w:w="2722" w:type="dxa"/>
            <w:tcBorders>
              <w:bottom w:val="single" w:sz="4" w:space="0" w:color="auto"/>
            </w:tcBorders>
            <w:vAlign w:val="bottom"/>
          </w:tcPr>
          <w:p w:rsidR="00EE1B6F" w:rsidRPr="00EF077F" w:rsidRDefault="00EE1B6F">
            <w:pPr>
              <w:shd w:val="clear" w:color="000000" w:fill="auto"/>
              <w:spacing w:before="60" w:line="200" w:lineRule="exact"/>
              <w:rPr>
                <w:b/>
                <w:bCs/>
                <w:color w:val="000000"/>
                <w:sz w:val="16"/>
                <w:szCs w:val="22"/>
              </w:rPr>
            </w:pPr>
            <w:r w:rsidRPr="00EF077F">
              <w:rPr>
                <w:b/>
                <w:bCs/>
                <w:color w:val="000000"/>
                <w:sz w:val="16"/>
                <w:szCs w:val="22"/>
              </w:rPr>
              <w:t>Summa:</w:t>
            </w:r>
          </w:p>
        </w:tc>
        <w:tc>
          <w:tcPr>
            <w:tcW w:w="1240" w:type="dxa"/>
            <w:tcBorders>
              <w:bottom w:val="single" w:sz="4" w:space="0" w:color="auto"/>
            </w:tcBorders>
            <w:vAlign w:val="bottom"/>
          </w:tcPr>
          <w:p w:rsidR="00EE1B6F" w:rsidRPr="00EF077F" w:rsidRDefault="00EE1B6F">
            <w:pPr>
              <w:shd w:val="clear" w:color="000000" w:fill="auto"/>
              <w:spacing w:before="60" w:line="200" w:lineRule="exact"/>
              <w:ind w:left="574"/>
              <w:jc w:val="right"/>
              <w:rPr>
                <w:sz w:val="16"/>
                <w:szCs w:val="22"/>
              </w:rPr>
            </w:pPr>
          </w:p>
        </w:tc>
        <w:tc>
          <w:tcPr>
            <w:tcW w:w="1240" w:type="dxa"/>
            <w:tcBorders>
              <w:bottom w:val="single" w:sz="4" w:space="0" w:color="auto"/>
            </w:tcBorders>
            <w:vAlign w:val="bottom"/>
          </w:tcPr>
          <w:p w:rsidR="00EE1B6F" w:rsidRPr="00EF077F" w:rsidRDefault="00EE1B6F">
            <w:pPr>
              <w:shd w:val="clear" w:color="000000" w:fill="auto"/>
              <w:spacing w:before="60" w:line="200" w:lineRule="exact"/>
              <w:ind w:left="-34"/>
              <w:jc w:val="right"/>
              <w:rPr>
                <w:b/>
                <w:sz w:val="16"/>
                <w:szCs w:val="22"/>
              </w:rPr>
            </w:pPr>
            <w:r w:rsidRPr="00EF077F">
              <w:rPr>
                <w:b/>
                <w:sz w:val="16"/>
                <w:szCs w:val="22"/>
              </w:rPr>
              <w:t>500 000</w:t>
            </w:r>
          </w:p>
        </w:tc>
      </w:tr>
    </w:tbl>
    <w:p w:rsidR="00EE1B6F" w:rsidRPr="00EF077F" w:rsidRDefault="00EE1B6F">
      <w:pPr>
        <w:shd w:val="clear" w:color="000000" w:fill="auto"/>
      </w:pPr>
    </w:p>
    <w:p w:rsidR="00EE1B6F" w:rsidRPr="00EF077F" w:rsidRDefault="00EE1B6F">
      <w:pPr>
        <w:pStyle w:val="Rubrik1"/>
        <w:shd w:val="clear" w:color="000000" w:fill="auto"/>
        <w:spacing w:before="360"/>
      </w:pPr>
      <w:r w:rsidRPr="00EF077F">
        <w:t>Sammanfattning</w:t>
      </w:r>
    </w:p>
    <w:p w:rsidR="00EE1B6F" w:rsidRPr="00EF077F" w:rsidRDefault="00EE1B6F">
      <w:pPr>
        <w:shd w:val="clear" w:color="000000" w:fill="auto"/>
      </w:pPr>
      <w:r w:rsidRPr="00EF077F">
        <w:t>Regeringen saknar en trovärdig energipolitik. Särskilt allvarligt är detta när det saknas klara mål och planer för energieffektivisering. Vänsterpartiet anser att målsättningen måste vara att minska förbrukningen av el med 30 % och 35 % av den fossila energin, samt öka elproduktionen från vindkraft och bi</w:t>
      </w:r>
      <w:r w:rsidRPr="00EF077F">
        <w:t>o</w:t>
      </w:r>
      <w:r w:rsidRPr="00EF077F">
        <w:t>energi med minst 30 TWh till år 2020, vilket möjliggör att klimatmål på minst 35 % minskning av växthusgaserna kan uppnås till år 2020 och att förutsät</w:t>
      </w:r>
      <w:r w:rsidRPr="00EF077F">
        <w:t>t</w:t>
      </w:r>
      <w:r w:rsidRPr="00EF077F">
        <w:t>ningar skapas för att avveckla kärnkraften 2025 och därmed undanröja det på kort sikt allvarligaste hotet mot vår framtida välfärd och hälsa.</w:t>
      </w:r>
    </w:p>
    <w:p w:rsidR="00EE1B6F" w:rsidRPr="00EF077F" w:rsidRDefault="00EE1B6F">
      <w:pPr>
        <w:pStyle w:val="Normaltindrag"/>
        <w:shd w:val="clear" w:color="000000" w:fill="auto"/>
      </w:pPr>
      <w:r w:rsidRPr="00EF077F">
        <w:lastRenderedPageBreak/>
        <w:t xml:space="preserve">Till skillnad från regeringen föreslår vi kraftigt ökade resurser med 3,4 miljarder kronor under en treårsperiod jämfört med regeringens förslag.  </w:t>
      </w:r>
    </w:p>
    <w:p w:rsidR="00EE1B6F" w:rsidRPr="00EF077F" w:rsidRDefault="00EE1B6F">
      <w:pPr>
        <w:pStyle w:val="Rubrik1"/>
        <w:shd w:val="clear" w:color="000000" w:fill="auto"/>
      </w:pPr>
      <w:r w:rsidRPr="00EF077F">
        <w:t>Centrum för energieffektivisering</w:t>
      </w:r>
    </w:p>
    <w:p w:rsidR="00EE1B6F" w:rsidRPr="00EF077F" w:rsidRDefault="00EE1B6F">
      <w:pPr>
        <w:shd w:val="clear" w:color="000000" w:fill="auto"/>
        <w:autoSpaceDE w:val="0"/>
        <w:autoSpaceDN w:val="0"/>
        <w:adjustRightInd w:val="0"/>
      </w:pPr>
      <w:r w:rsidRPr="00EF077F">
        <w:t>All energiproduktion påverkar vår omgivning på ett negativt sätt. Den värd</w:t>
      </w:r>
      <w:r w:rsidRPr="00EF077F">
        <w:t>e</w:t>
      </w:r>
      <w:r w:rsidRPr="00EF077F">
        <w:t xml:space="preserve">fullaste kWh är därför alltid en </w:t>
      </w:r>
      <w:r w:rsidRPr="00EF077F">
        <w:rPr>
          <w:iCs/>
        </w:rPr>
        <w:t xml:space="preserve">negawattimme, </w:t>
      </w:r>
      <w:r w:rsidRPr="00EF077F">
        <w:t xml:space="preserve">dvs. en </w:t>
      </w:r>
      <w:r w:rsidRPr="00EF077F">
        <w:rPr>
          <w:iCs/>
        </w:rPr>
        <w:t xml:space="preserve">sparad kW. </w:t>
      </w:r>
      <w:r w:rsidRPr="00EF077F">
        <w:t>Den kWh som aldrig behöver tillverkas! Så länge kostnaden för en sparad kWh är lägre än att producera en ny kWh bör effektiviseringsåtgärder genomföras. I dag fördelas ansvaret för energieffektivisering på flera olika statliga myndigheter. Denna uppdelning på flera olika myndigheter har gjort att ansvaret för up</w:t>
      </w:r>
      <w:r w:rsidRPr="00EF077F">
        <w:t>p</w:t>
      </w:r>
      <w:r w:rsidRPr="00EF077F">
        <w:t xml:space="preserve">följning av mål och insatser fallit mellan stolarna. Vänsterpartiet delar </w:t>
      </w:r>
      <w:r w:rsidRPr="00EF077F">
        <w:rPr>
          <w:color w:val="231F20"/>
        </w:rPr>
        <w:t>Ko</w:t>
      </w:r>
      <w:r w:rsidRPr="00EF077F">
        <w:rPr>
          <w:color w:val="231F20"/>
        </w:rPr>
        <w:t>m</w:t>
      </w:r>
      <w:r w:rsidRPr="00EF077F">
        <w:rPr>
          <w:color w:val="231F20"/>
        </w:rPr>
        <w:t xml:space="preserve">missionen mot oljeberoendes uppfattning </w:t>
      </w:r>
      <w:r w:rsidRPr="00EF077F">
        <w:t>och föreslår a</w:t>
      </w:r>
      <w:r w:rsidRPr="00EF077F">
        <w:t>tt en programmyndi</w:t>
      </w:r>
      <w:r w:rsidRPr="00EF077F">
        <w:t>g</w:t>
      </w:r>
      <w:r w:rsidRPr="00EF077F">
        <w:t>het inrättas, ”C</w:t>
      </w:r>
      <w:r w:rsidRPr="00EF077F">
        <w:rPr>
          <w:bCs/>
        </w:rPr>
        <w:t>entrum för energieffektivisering”,</w:t>
      </w:r>
      <w:r w:rsidRPr="00EF077F">
        <w:t xml:space="preserve"> i samverkan med berörda myndigheter. Dess uppgift föreslås vara att inom bostads- och lokalsektorn minska bruket av fossila bränslen med 35 % och att minska elförbrukningen med 30 % till år 2020 utifrån dagens nivå. Centrumet bör också ha uppdraget att följa energieffektiviseringen inom denna och andra sektorer samt årligen lämna en redovisning av hur målen uppnåtts och ge förslag till åtgärder för fortlöpande höjda målsättningar till rik</w:t>
      </w:r>
      <w:r w:rsidRPr="00EF077F">
        <w:t>sdag och regering. Stödet för energi</w:t>
      </w:r>
      <w:r w:rsidRPr="00EF077F">
        <w:softHyphen/>
        <w:t>investeringar i offentliga lokaler utgår från ett helhetsperspektiv. Dagens stöd för konvertering från direktverkande el, stöd för solvärme och energieffektiva fönster är punktvisa insatser och ger begränsade incitament för att tillvarata en fastighets hela spar- och energieffektiviseringspotential. Ett sätt att kanske förbättra incitamenten till genomgripande energieffektiviseringsåtgärder kan vara långsiktiga lån med låg ränta. Ett annat är att delar av kostnaderna åte</w:t>
      </w:r>
      <w:r w:rsidRPr="00EF077F">
        <w:t>r</w:t>
      </w:r>
      <w:r w:rsidRPr="00EF077F">
        <w:t>betalas i form av bidrag. C</w:t>
      </w:r>
      <w:r w:rsidRPr="00EF077F">
        <w:rPr>
          <w:bCs/>
        </w:rPr>
        <w:t>entrum för energieffektivisering</w:t>
      </w:r>
      <w:r w:rsidRPr="00EF077F">
        <w:t xml:space="preserve"> bör utarbeta läm</w:t>
      </w:r>
      <w:r w:rsidRPr="00EF077F">
        <w:t>p</w:t>
      </w:r>
      <w:r w:rsidRPr="00EF077F">
        <w:t>liga och kostnadseffektiva åtgärder, som en utveckling av nuvarande stöd</w:t>
      </w:r>
      <w:r w:rsidRPr="00EF077F">
        <w:softHyphen/>
        <w:t xml:space="preserve">insatser. </w:t>
      </w:r>
    </w:p>
    <w:p w:rsidR="00EE1B6F" w:rsidRPr="00EF077F" w:rsidRDefault="00EE1B6F">
      <w:pPr>
        <w:pStyle w:val="Rubrik1"/>
        <w:shd w:val="clear" w:color="000000" w:fill="auto"/>
      </w:pPr>
      <w:bookmarkStart w:id="0" w:name="_Toc178592877"/>
      <w:r w:rsidRPr="00EF077F">
        <w:t>Även industrin måste ta sitt klimatansvar</w:t>
      </w:r>
      <w:bookmarkEnd w:id="0"/>
    </w:p>
    <w:p w:rsidR="00EE1B6F" w:rsidRPr="00EF077F" w:rsidRDefault="00EE1B6F">
      <w:pPr>
        <w:shd w:val="clear" w:color="000000" w:fill="auto"/>
      </w:pPr>
      <w:r w:rsidRPr="00EF077F">
        <w:t>Mot bakgrund av den energieffektiviseringspotential som finns inom industrin bör målsättningen vara att spara 30 % av elen och minska andelen fossila bränslen med 35 % till år 2020. För att uppnå dessa mål kan olika typer av åtgärder tänkas, exempelvis att el- och koldioxidskatten successivt höjs för industrin, så att alla energiskatter och avgifter blir lika oberoende av använd</w:t>
      </w:r>
      <w:r w:rsidRPr="00EF077F">
        <w:t>a</w:t>
      </w:r>
      <w:r w:rsidRPr="00EF077F">
        <w:t>re, samtidigt som en del av dessa skatter kan krediteras vid energieffektivis</w:t>
      </w:r>
      <w:r w:rsidRPr="00EF077F">
        <w:t>e</w:t>
      </w:r>
      <w:r w:rsidRPr="00EF077F">
        <w:t>ring. Vi föreslår att regeringen ger Energimyndigheten i uppdrag att skyn</w:t>
      </w:r>
      <w:r w:rsidRPr="00EF077F">
        <w:t>d</w:t>
      </w:r>
      <w:r w:rsidRPr="00EF077F">
        <w:t>samt utreda förutsättningar, konsekvenser och behov av politiska och/eller ekonomiska incitament till industrin för att minska dess elförbrukning och användning av fossila bränslen.</w:t>
      </w:r>
    </w:p>
    <w:p w:rsidR="00EE1B6F" w:rsidRPr="00EF077F" w:rsidRDefault="00EE1B6F">
      <w:pPr>
        <w:pStyle w:val="Rubrik1"/>
        <w:shd w:val="clear" w:color="000000" w:fill="auto"/>
        <w:rPr>
          <w:szCs w:val="28"/>
        </w:rPr>
      </w:pPr>
      <w:bookmarkStart w:id="1" w:name="_Toc178592878"/>
      <w:r w:rsidRPr="00EF077F">
        <w:t xml:space="preserve">Ökad vindkraft och biobaserad elproduktion </w:t>
      </w:r>
      <w:bookmarkEnd w:id="1"/>
    </w:p>
    <w:p w:rsidR="00EE1B6F" w:rsidRPr="00EF077F" w:rsidRDefault="00EE1B6F">
      <w:pPr>
        <w:shd w:val="clear" w:color="000000" w:fill="auto"/>
      </w:pPr>
      <w:r w:rsidRPr="00EF077F">
        <w:t>Vänsterpartiet anser att vindkraften bör ge minst 15 TWh el och att kraftvä</w:t>
      </w:r>
      <w:r w:rsidRPr="00EF077F">
        <w:t>r</w:t>
      </w:r>
      <w:r w:rsidRPr="00EF077F">
        <w:t xml:space="preserve">men bidrar med ytterliggare 15 TWh el till år 2020. Nuvarande system med elcertifikat bör utvecklas och även omfatta industrin. En del av ansvaret för denna utbyggnad bör även tas av existerande elproduktionsföretag i relation till deras totala elproduktion inom landet. </w:t>
      </w:r>
    </w:p>
    <w:p w:rsidR="00EE1B6F" w:rsidRPr="00EF077F" w:rsidRDefault="00EE1B6F">
      <w:pPr>
        <w:pStyle w:val="Rubrik1"/>
        <w:shd w:val="clear" w:color="000000" w:fill="auto"/>
      </w:pPr>
      <w:bookmarkStart w:id="2" w:name="_Toc178592879"/>
      <w:r w:rsidRPr="00EF077F">
        <w:t>Kärnkraften kan avvecklas</w:t>
      </w:r>
      <w:bookmarkEnd w:id="2"/>
      <w:r w:rsidRPr="00EF077F">
        <w:t xml:space="preserve"> </w:t>
      </w:r>
    </w:p>
    <w:p w:rsidR="00EE1B6F" w:rsidRPr="00EF077F" w:rsidRDefault="00EE1B6F">
      <w:pPr>
        <w:shd w:val="clear" w:color="000000" w:fill="auto"/>
      </w:pPr>
      <w:r w:rsidRPr="00EF077F">
        <w:t>Att inte fortsätta kärnkraftsavvecklingen i enlighet med det beslut Vänsterpa</w:t>
      </w:r>
      <w:r w:rsidRPr="00EF077F">
        <w:t>r</w:t>
      </w:r>
      <w:r w:rsidRPr="00EF077F">
        <w:t>tiet, Centerpartiet och Socialdemokraterna tog 1997 är inte bara ett formid</w:t>
      </w:r>
      <w:r w:rsidRPr="00EF077F">
        <w:t>a</w:t>
      </w:r>
      <w:r w:rsidRPr="00EF077F">
        <w:t>belt risktagande utan även ett hinder för nödvändiga framtidsinvesteringar. Regeringen avser att tillåta en effekthöjning av reaktorer och en fördubbling av deras livslängd till 60 år. Vänsterpartiet anser att regeringens kärnkraft</w:t>
      </w:r>
      <w:r w:rsidRPr="00EF077F">
        <w:t>s</w:t>
      </w:r>
      <w:r w:rsidRPr="00EF077F">
        <w:t>vänliga politik med effekthöjningar, ökad livslängd och på sikt nya reaktorer inte bara ökar riskerna för en allvarlig reaktorolycka, där kanske miljoner människor förgiftas av radioaktivitet och tvingas</w:t>
      </w:r>
      <w:r w:rsidRPr="00EF077F">
        <w:t xml:space="preserve"> att flytta, utan också står i bjärt kontrast till regeringens så kallade klimatpolitik. </w:t>
      </w:r>
    </w:p>
    <w:p w:rsidR="00EE1B6F" w:rsidRPr="00EF077F" w:rsidRDefault="00EE1B6F">
      <w:pPr>
        <w:pStyle w:val="Normaltindrag"/>
        <w:shd w:val="clear" w:color="000000" w:fill="auto"/>
      </w:pPr>
      <w:r w:rsidRPr="00EF077F">
        <w:t xml:space="preserve">Vänsterpartiets energiförslag skapar förutsättningar att med god marginal avveckla kärnkraften. </w:t>
      </w:r>
    </w:p>
    <w:p w:rsidR="00EE1B6F" w:rsidRPr="00EF077F" w:rsidRDefault="00EE1B6F">
      <w:pPr>
        <w:pStyle w:val="Rubrik1"/>
        <w:shd w:val="clear" w:color="000000" w:fill="auto"/>
      </w:pPr>
      <w:r w:rsidRPr="00EF077F">
        <w:t>Mer FoU för energieffektivisering och biodrivmedel</w:t>
      </w:r>
    </w:p>
    <w:p w:rsidR="00EE1B6F" w:rsidRPr="00EF077F" w:rsidRDefault="00EE1B6F">
      <w:pPr>
        <w:shd w:val="clear" w:color="000000" w:fill="auto"/>
        <w:autoSpaceDE w:val="0"/>
        <w:autoSpaceDN w:val="0"/>
        <w:adjustRightInd w:val="0"/>
      </w:pPr>
      <w:r w:rsidRPr="00EF077F">
        <w:rPr>
          <w:color w:val="000000"/>
        </w:rPr>
        <w:t>Det finns ett stort internationellt behov av att utveckla hållbara energisystem, produkter och tjänster för energieffektivisering, drivmedels- och kraftprodu</w:t>
      </w:r>
      <w:r w:rsidRPr="00EF077F">
        <w:rPr>
          <w:color w:val="000000"/>
        </w:rPr>
        <w:t>k</w:t>
      </w:r>
      <w:r w:rsidRPr="00EF077F">
        <w:rPr>
          <w:color w:val="000000"/>
        </w:rPr>
        <w:t xml:space="preserve">tion baserade på hållbara resurser, som biomassa, vind och sol. Behoven av forskning och utveckling är nästan oändliga. </w:t>
      </w:r>
      <w:r w:rsidRPr="00EF077F">
        <w:t>För små och internationellt ber</w:t>
      </w:r>
      <w:r w:rsidRPr="00EF077F">
        <w:t>o</w:t>
      </w:r>
      <w:r w:rsidRPr="00EF077F">
        <w:t>ende länder som Sverige är det nödvändigt att fokusera satsningarna på ett antal strategiska områden där behoven tidigt gör sig gällande och de komme</w:t>
      </w:r>
      <w:r w:rsidRPr="00EF077F">
        <w:t>r</w:t>
      </w:r>
      <w:r w:rsidRPr="00EF077F">
        <w:t xml:space="preserve">siella förutsättningarna är goda. Ett sådant område är energieffektivisering i bostäder och företag på kort och lång sikt, framför allt med hänsyn till den elintensiva industrin. Energieffektivisering kan bli </w:t>
      </w:r>
      <w:r w:rsidRPr="00EF077F">
        <w:t xml:space="preserve">en strategisk kraft åt en expanderande miljöteknikdriven tillväxt- och affärssektor, med produkter och tjänster för både hemmamarknaden och en växande global efterfrågan. </w:t>
      </w:r>
    </w:p>
    <w:p w:rsidR="00EE1B6F" w:rsidRPr="00EF077F" w:rsidRDefault="00EE1B6F">
      <w:pPr>
        <w:pStyle w:val="Normaltindrag"/>
        <w:shd w:val="clear" w:color="000000" w:fill="auto"/>
      </w:pPr>
      <w:r w:rsidRPr="00EF077F">
        <w:t>Ett annat strategiskt område är biodrivmedel. Vänsterpartiet föreslår höjda anslag för energiforskning under år 2008 med fokus på energieffektivisering och biodrivmedel med vardera 100 miljoner kronor utöver regeringens fö</w:t>
      </w:r>
      <w:r w:rsidRPr="00EF077F">
        <w:t>r</w:t>
      </w:r>
      <w:r w:rsidRPr="00EF077F">
        <w:t>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077F">
        <w:trPr>
          <w:cantSplit/>
        </w:trPr>
        <w:tc>
          <w:tcPr>
            <w:tcW w:w="3046" w:type="dxa"/>
          </w:tcPr>
          <w:p w:rsidR="00EE1B6F" w:rsidRPr="00EF077F" w:rsidRDefault="00EE1B6F">
            <w:pPr>
              <w:pStyle w:val="UnderskriftDatum"/>
              <w:shd w:val="clear" w:color="000000" w:fill="auto"/>
              <w:spacing w:before="240"/>
            </w:pPr>
            <w:r w:rsidRPr="00EF077F">
              <w:t>Stockholm den 1 oktober 2007</w:t>
            </w:r>
          </w:p>
        </w:tc>
        <w:tc>
          <w:tcPr>
            <w:tcW w:w="3047" w:type="dxa"/>
          </w:tcPr>
          <w:p w:rsidR="00EE1B6F" w:rsidRPr="00EF077F" w:rsidRDefault="00EE1B6F">
            <w:pPr>
              <w:pStyle w:val="Underskrifter"/>
              <w:shd w:val="clear" w:color="000000" w:fill="auto"/>
              <w:spacing w:before="240"/>
            </w:pPr>
          </w:p>
        </w:tc>
      </w:tr>
      <w:tr w:rsidR="00000000" w:rsidRPr="00EF077F">
        <w:trPr>
          <w:cantSplit/>
        </w:trPr>
        <w:tc>
          <w:tcPr>
            <w:tcW w:w="3046" w:type="dxa"/>
          </w:tcPr>
          <w:p w:rsidR="00EE1B6F" w:rsidRPr="00EF077F" w:rsidRDefault="00EE1B6F">
            <w:pPr>
              <w:pStyle w:val="Underskrifter"/>
              <w:shd w:val="clear" w:color="000000" w:fill="auto"/>
            </w:pPr>
            <w:r w:rsidRPr="00EF077F">
              <w:t>Lars Ohly (v)</w:t>
            </w:r>
          </w:p>
        </w:tc>
        <w:tc>
          <w:tcPr>
            <w:tcW w:w="3046" w:type="dxa"/>
          </w:tcPr>
          <w:p w:rsidR="00EE1B6F" w:rsidRPr="00EF077F" w:rsidRDefault="00EE1B6F">
            <w:pPr>
              <w:pStyle w:val="Underskrifter"/>
              <w:shd w:val="clear" w:color="000000" w:fill="auto"/>
            </w:pPr>
          </w:p>
        </w:tc>
      </w:tr>
      <w:tr w:rsidR="00000000" w:rsidRPr="00EF077F">
        <w:trPr>
          <w:cantSplit/>
        </w:trPr>
        <w:tc>
          <w:tcPr>
            <w:tcW w:w="3046" w:type="dxa"/>
          </w:tcPr>
          <w:p w:rsidR="00EE1B6F" w:rsidRPr="00EF077F" w:rsidRDefault="00EE1B6F">
            <w:pPr>
              <w:pStyle w:val="Underskrifter"/>
              <w:shd w:val="clear" w:color="000000" w:fill="auto"/>
            </w:pPr>
            <w:r w:rsidRPr="00EF077F">
              <w:t>Marianne Berg (v)</w:t>
            </w:r>
          </w:p>
        </w:tc>
        <w:tc>
          <w:tcPr>
            <w:tcW w:w="3046" w:type="dxa"/>
          </w:tcPr>
          <w:p w:rsidR="00EE1B6F" w:rsidRPr="00EF077F" w:rsidRDefault="00EE1B6F">
            <w:pPr>
              <w:pStyle w:val="Underskrifter"/>
              <w:shd w:val="clear" w:color="000000" w:fill="auto"/>
            </w:pPr>
            <w:r w:rsidRPr="00EF077F">
              <w:t>Wiwi-Anne Johansson (v)</w:t>
            </w:r>
          </w:p>
        </w:tc>
      </w:tr>
      <w:tr w:rsidR="00000000" w:rsidRPr="00EF077F">
        <w:trPr>
          <w:cantSplit/>
        </w:trPr>
        <w:tc>
          <w:tcPr>
            <w:tcW w:w="3046" w:type="dxa"/>
          </w:tcPr>
          <w:p w:rsidR="00EE1B6F" w:rsidRPr="00EF077F" w:rsidRDefault="00EE1B6F">
            <w:pPr>
              <w:pStyle w:val="Underskrifter"/>
              <w:shd w:val="clear" w:color="000000" w:fill="auto"/>
            </w:pPr>
            <w:r w:rsidRPr="00EF077F">
              <w:t>Hans Linde (v)</w:t>
            </w:r>
          </w:p>
        </w:tc>
        <w:tc>
          <w:tcPr>
            <w:tcW w:w="3046" w:type="dxa"/>
          </w:tcPr>
          <w:p w:rsidR="00EE1B6F" w:rsidRPr="00EF077F" w:rsidRDefault="00EE1B6F">
            <w:pPr>
              <w:pStyle w:val="Underskrifter"/>
              <w:shd w:val="clear" w:color="000000" w:fill="auto"/>
            </w:pPr>
            <w:r w:rsidRPr="00EF077F">
              <w:t>Elina Linna (v)</w:t>
            </w:r>
          </w:p>
        </w:tc>
      </w:tr>
      <w:tr w:rsidR="00000000" w:rsidRPr="00EF077F">
        <w:trPr>
          <w:cantSplit/>
        </w:trPr>
        <w:tc>
          <w:tcPr>
            <w:tcW w:w="3046" w:type="dxa"/>
          </w:tcPr>
          <w:p w:rsidR="00EE1B6F" w:rsidRPr="00EF077F" w:rsidRDefault="00EE1B6F">
            <w:pPr>
              <w:pStyle w:val="Underskrifter"/>
              <w:shd w:val="clear" w:color="000000" w:fill="auto"/>
            </w:pPr>
            <w:r w:rsidRPr="00EF077F">
              <w:t>Alice Åström (v)</w:t>
            </w:r>
          </w:p>
        </w:tc>
        <w:tc>
          <w:tcPr>
            <w:tcW w:w="3046" w:type="dxa"/>
          </w:tcPr>
          <w:p w:rsidR="00EE1B6F" w:rsidRPr="00EF077F" w:rsidRDefault="00EE1B6F">
            <w:pPr>
              <w:pStyle w:val="Underskrifter"/>
              <w:shd w:val="clear" w:color="000000" w:fill="auto"/>
            </w:pPr>
            <w:r w:rsidRPr="00EF077F">
              <w:t>Kent Persson (v)</w:t>
            </w:r>
          </w:p>
        </w:tc>
      </w:tr>
    </w:tbl>
    <w:p w:rsidR="00EE1B6F" w:rsidRPr="00EF077F" w:rsidRDefault="00EE1B6F">
      <w:pPr>
        <w:pStyle w:val="Normaltindrag"/>
        <w:shd w:val="clear" w:color="000000" w:fill="auto"/>
      </w:pPr>
    </w:p>
    <w:sectPr w:rsidR="00EE1B6F" w:rsidRPr="00EF07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1B6F" w:rsidRPr="00EF077F" w:rsidRDefault="00EE1B6F">
      <w:r w:rsidRPr="00EF077F">
        <w:separator/>
      </w:r>
    </w:p>
  </w:endnote>
  <w:endnote w:type="continuationSeparator" w:id="0">
    <w:p w:rsidR="00EE1B6F" w:rsidRPr="00EF077F" w:rsidRDefault="00EE1B6F">
      <w:r w:rsidRPr="00EF07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B6F" w:rsidRPr="00EF077F" w:rsidRDefault="00EF077F">
    <w:pPr>
      <w:pStyle w:val="Sidfot"/>
    </w:pPr>
    <w:r w:rsidRPr="00EF07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81007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B6F" w:rsidRDefault="00EE1B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1B6F" w:rsidRDefault="00EE1B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B6F" w:rsidRPr="00EF077F" w:rsidRDefault="00EF077F">
    <w:pPr>
      <w:pStyle w:val="Sidfot"/>
    </w:pPr>
    <w:r w:rsidRPr="00EF07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41019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B6F" w:rsidRDefault="00EE1B6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1B6F" w:rsidRDefault="00EE1B6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B6F" w:rsidRPr="00EF077F" w:rsidRDefault="00EF077F">
    <w:pPr>
      <w:pStyle w:val="Sidfot"/>
    </w:pPr>
    <w:r w:rsidRPr="00EF07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90324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B6F" w:rsidRDefault="00EE1B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1B6F" w:rsidRDefault="00EE1B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1B6F" w:rsidRPr="00EF077F" w:rsidRDefault="00EE1B6F">
      <w:r w:rsidRPr="00EF077F">
        <w:separator/>
      </w:r>
    </w:p>
  </w:footnote>
  <w:footnote w:type="continuationSeparator" w:id="0">
    <w:p w:rsidR="00EE1B6F" w:rsidRPr="00EF077F" w:rsidRDefault="00EE1B6F">
      <w:r w:rsidRPr="00EF07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B6F" w:rsidRPr="00EF077F" w:rsidRDefault="00EF077F">
    <w:pPr>
      <w:pStyle w:val="Sidhuvud"/>
    </w:pPr>
    <w:r w:rsidRPr="00EF07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09608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B6F" w:rsidRDefault="00EE1B6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1B6F" w:rsidRDefault="00EE1B6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B6F" w:rsidRPr="00EF077F" w:rsidRDefault="00EF077F">
    <w:pPr>
      <w:pStyle w:val="Sidhuvud"/>
    </w:pPr>
    <w:r w:rsidRPr="00EF07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89192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B6F" w:rsidRDefault="00EE1B6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1B6F" w:rsidRDefault="00EE1B6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B6F" w:rsidRPr="00EF077F" w:rsidRDefault="00EE1B6F">
    <w:pPr>
      <w:pStyle w:val="FSHNormal"/>
      <w:tabs>
        <w:tab w:val="right" w:pos="5840"/>
      </w:tabs>
    </w:pPr>
    <w:r w:rsidRPr="00EF077F">
      <w:br/>
    </w:r>
    <w:r w:rsidRPr="00EF077F">
      <w:fldChar w:fldCharType="begin" w:fldLock="1"/>
    </w:r>
    <w:r w:rsidRPr="00EF077F">
      <w:instrText xml:space="preserve"> DOCPROPERTY</w:instrText>
    </w:r>
    <w:r w:rsidRPr="00EF077F">
      <w:rPr>
        <w:sz w:val="18"/>
      </w:rPr>
      <w:instrText xml:space="preserve"> "YearUser" *\charformat </w:instrText>
    </w:r>
    <w:r w:rsidRPr="00EF077F">
      <w:fldChar w:fldCharType="separate"/>
    </w:r>
    <w:r w:rsidRPr="00EF077F">
      <w:t>2007/08</w:t>
    </w:r>
    <w:r w:rsidRPr="00EF077F">
      <w:fldChar w:fldCharType="end"/>
    </w:r>
    <w:r w:rsidRPr="00EF077F">
      <w:t xml:space="preserve"> </w:t>
    </w:r>
    <w:r w:rsidRPr="00EF077F">
      <w:tab/>
      <w:t xml:space="preserve">mnr: </w:t>
    </w:r>
    <w:r w:rsidRPr="00EF077F">
      <w:fldChar w:fldCharType="begin" w:fldLock="1"/>
    </w:r>
    <w:r w:rsidRPr="00EF077F">
      <w:instrText xml:space="preserve"> DOCPROPERTY</w:instrText>
    </w:r>
    <w:r w:rsidRPr="00EF077F">
      <w:rPr>
        <w:sz w:val="18"/>
      </w:rPr>
      <w:instrText xml:space="preserve"> "Motionsnummer" *\charformat </w:instrText>
    </w:r>
    <w:r w:rsidRPr="00EF077F">
      <w:fldChar w:fldCharType="separate"/>
    </w:r>
    <w:r w:rsidRPr="00EF077F">
      <w:t>N376</w:t>
    </w:r>
    <w:r w:rsidRPr="00EF077F">
      <w:fldChar w:fldCharType="end"/>
    </w:r>
    <w:r w:rsidRPr="00EF077F">
      <w:br/>
    </w:r>
    <w:r w:rsidRPr="00EF077F">
      <w:fldChar w:fldCharType="begin" w:fldLock="1"/>
    </w:r>
    <w:r w:rsidRPr="00EF077F">
      <w:instrText xml:space="preserve"> DOCPROPERTY</w:instrText>
    </w:r>
    <w:r w:rsidRPr="00EF077F">
      <w:rPr>
        <w:sz w:val="18"/>
      </w:rPr>
      <w:instrText xml:space="preserve"> "Samling" *\charformat </w:instrText>
    </w:r>
    <w:r w:rsidRPr="00EF077F">
      <w:fldChar w:fldCharType="end"/>
    </w:r>
    <w:r w:rsidRPr="00EF077F">
      <w:tab/>
      <w:t xml:space="preserve">pnr: </w:t>
    </w:r>
    <w:r w:rsidRPr="00EF077F">
      <w:fldChar w:fldCharType="begin" w:fldLock="1"/>
    </w:r>
    <w:r w:rsidRPr="00EF077F">
      <w:instrText xml:space="preserve"> DOCPROPERTY</w:instrText>
    </w:r>
    <w:r w:rsidRPr="00EF077F">
      <w:rPr>
        <w:sz w:val="18"/>
      </w:rPr>
      <w:instrText xml:space="preserve"> "Partinummer" *\charformat </w:instrText>
    </w:r>
    <w:r w:rsidRPr="00EF077F">
      <w:fldChar w:fldCharType="separate"/>
    </w:r>
    <w:r w:rsidRPr="00EF077F">
      <w:t>v951</w:t>
    </w:r>
    <w:r w:rsidRPr="00EF077F">
      <w:fldChar w:fldCharType="end"/>
    </w:r>
  </w:p>
  <w:p w:rsidR="00EE1B6F" w:rsidRPr="00EF077F" w:rsidRDefault="00EE1B6F">
    <w:pPr>
      <w:pStyle w:val="FSHRub1"/>
    </w:pPr>
    <w:r w:rsidRPr="00EF077F">
      <w:t>Motion till riksdagen</w:t>
    </w:r>
    <w:r w:rsidRPr="00EF077F">
      <w:br/>
    </w:r>
    <w:r w:rsidRPr="00EF077F">
      <w:fldChar w:fldCharType="begin" w:fldLock="1"/>
    </w:r>
    <w:r w:rsidRPr="00EF077F">
      <w:instrText xml:space="preserve"> DOCPROPERTY "YearUser" *\charformat </w:instrText>
    </w:r>
    <w:r w:rsidRPr="00EF077F">
      <w:fldChar w:fldCharType="separate"/>
    </w:r>
    <w:r w:rsidRPr="00EF077F">
      <w:t>2007/08</w:t>
    </w:r>
    <w:r w:rsidRPr="00EF077F">
      <w:fldChar w:fldCharType="end"/>
    </w:r>
    <w:r w:rsidRPr="00EF077F">
      <w:t>:</w:t>
    </w:r>
    <w:r w:rsidRPr="00EF077F">
      <w:fldChar w:fldCharType="begin" w:fldLock="1"/>
    </w:r>
    <w:r w:rsidRPr="00EF077F">
      <w:instrText xml:space="preserve"> DOCPROPERTY "Motionsnummer" *\charformat </w:instrText>
    </w:r>
    <w:r w:rsidRPr="00EF077F">
      <w:fldChar w:fldCharType="separate"/>
    </w:r>
    <w:r w:rsidRPr="00EF077F">
      <w:t>N376</w:t>
    </w:r>
    <w:r w:rsidRPr="00EF077F">
      <w:fldChar w:fldCharType="end"/>
    </w:r>
  </w:p>
  <w:p w:rsidR="00EE1B6F" w:rsidRPr="00EF077F" w:rsidRDefault="00EE1B6F">
    <w:pPr>
      <w:pStyle w:val="FSHNormalS5"/>
    </w:pPr>
    <w:r w:rsidRPr="00EF077F">
      <w:fldChar w:fldCharType="begin" w:fldLock="1"/>
    </w:r>
    <w:r w:rsidRPr="00EF077F">
      <w:instrText xml:space="preserve"> DOCPROPERTY "MotionarText" *\charformat </w:instrText>
    </w:r>
    <w:r w:rsidRPr="00EF077F">
      <w:fldChar w:fldCharType="separate"/>
    </w:r>
    <w:r w:rsidRPr="00EF077F">
      <w:t>av Lars Ohly m.fl. (v)</w:t>
    </w:r>
    <w:r w:rsidRPr="00EF077F">
      <w:fldChar w:fldCharType="end"/>
    </w:r>
    <w:r w:rsidRPr="00EF077F">
      <w:br/>
    </w:r>
    <w:r w:rsidRPr="00EF077F">
      <w:fldChar w:fldCharType="begin" w:fldLock="1"/>
    </w:r>
    <w:r w:rsidRPr="00EF077F">
      <w:instrText xml:space="preserve"> DOCPROPERTY "SvarFrasKort" *\charformat </w:instrText>
    </w:r>
    <w:r w:rsidRPr="00EF077F">
      <w:fldChar w:fldCharType="end"/>
    </w:r>
  </w:p>
  <w:p w:rsidR="00EE1B6F" w:rsidRPr="00EF077F" w:rsidRDefault="00EE1B6F">
    <w:pPr>
      <w:pStyle w:val="FSHTitel"/>
    </w:pPr>
    <w:r w:rsidRPr="00EF077F">
      <w:fldChar w:fldCharType="begin" w:fldLock="1"/>
    </w:r>
    <w:r w:rsidRPr="00EF077F">
      <w:instrText xml:space="preserve"> DOCPROPERTY</w:instrText>
    </w:r>
    <w:r w:rsidRPr="00EF077F">
      <w:rPr>
        <w:sz w:val="18"/>
      </w:rPr>
      <w:instrText xml:space="preserve"> "RubrikSvar" *\charformat </w:instrText>
    </w:r>
    <w:r w:rsidRPr="00EF077F">
      <w:fldChar w:fldCharType="separate"/>
    </w:r>
    <w:r w:rsidRPr="00EF077F">
      <w:t>Utgiftsområde 21 Energi</w:t>
    </w:r>
    <w:r w:rsidRPr="00EF077F">
      <w:fldChar w:fldCharType="end"/>
    </w:r>
  </w:p>
  <w:p w:rsidR="00EE1B6F" w:rsidRPr="00EF077F" w:rsidRDefault="00EE1B6F">
    <w:pPr>
      <w:pStyle w:val="Normal00"/>
    </w:pPr>
  </w:p>
  <w:p w:rsidR="00EE1B6F" w:rsidRPr="00EF077F" w:rsidRDefault="00EE1B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D95680"/>
    <w:multiLevelType w:val="multilevel"/>
    <w:tmpl w:val="BCDA896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1E294C2F"/>
    <w:multiLevelType w:val="hybridMultilevel"/>
    <w:tmpl w:val="71E27CDE"/>
    <w:lvl w:ilvl="0" w:tplc="A1CEF48E">
      <w:start w:val="1"/>
      <w:numFmt w:val="decimal"/>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13E0EF6E">
      <w:start w:val="1"/>
      <w:numFmt w:val="decimal"/>
      <w:lvlText w:val="%1."/>
      <w:lvlJc w:val="left"/>
      <w:pPr>
        <w:tabs>
          <w:tab w:val="num" w:pos="340"/>
        </w:tabs>
        <w:ind w:left="340" w:hanging="340"/>
      </w:pPr>
    </w:lvl>
    <w:lvl w:ilvl="1" w:tplc="F18C4402" w:tentative="1">
      <w:start w:val="1"/>
      <w:numFmt w:val="lowerLetter"/>
      <w:lvlText w:val="%2."/>
      <w:lvlJc w:val="left"/>
      <w:pPr>
        <w:tabs>
          <w:tab w:val="num" w:pos="1440"/>
        </w:tabs>
        <w:ind w:left="1440" w:hanging="360"/>
      </w:pPr>
    </w:lvl>
    <w:lvl w:ilvl="2" w:tplc="612C5A54" w:tentative="1">
      <w:start w:val="1"/>
      <w:numFmt w:val="lowerRoman"/>
      <w:lvlText w:val="%3."/>
      <w:lvlJc w:val="right"/>
      <w:pPr>
        <w:tabs>
          <w:tab w:val="num" w:pos="2160"/>
        </w:tabs>
        <w:ind w:left="2160" w:hanging="180"/>
      </w:pPr>
    </w:lvl>
    <w:lvl w:ilvl="3" w:tplc="A008E642" w:tentative="1">
      <w:start w:val="1"/>
      <w:numFmt w:val="decimal"/>
      <w:lvlText w:val="%4."/>
      <w:lvlJc w:val="left"/>
      <w:pPr>
        <w:tabs>
          <w:tab w:val="num" w:pos="2880"/>
        </w:tabs>
        <w:ind w:left="2880" w:hanging="360"/>
      </w:pPr>
    </w:lvl>
    <w:lvl w:ilvl="4" w:tplc="2932EDE4" w:tentative="1">
      <w:start w:val="1"/>
      <w:numFmt w:val="lowerLetter"/>
      <w:lvlText w:val="%5."/>
      <w:lvlJc w:val="left"/>
      <w:pPr>
        <w:tabs>
          <w:tab w:val="num" w:pos="3600"/>
        </w:tabs>
        <w:ind w:left="3600" w:hanging="360"/>
      </w:pPr>
    </w:lvl>
    <w:lvl w:ilvl="5" w:tplc="D4D205C6" w:tentative="1">
      <w:start w:val="1"/>
      <w:numFmt w:val="lowerRoman"/>
      <w:lvlText w:val="%6."/>
      <w:lvlJc w:val="right"/>
      <w:pPr>
        <w:tabs>
          <w:tab w:val="num" w:pos="4320"/>
        </w:tabs>
        <w:ind w:left="4320" w:hanging="180"/>
      </w:pPr>
    </w:lvl>
    <w:lvl w:ilvl="6" w:tplc="E39A0BA2" w:tentative="1">
      <w:start w:val="1"/>
      <w:numFmt w:val="decimal"/>
      <w:lvlText w:val="%7."/>
      <w:lvlJc w:val="left"/>
      <w:pPr>
        <w:tabs>
          <w:tab w:val="num" w:pos="5040"/>
        </w:tabs>
        <w:ind w:left="5040" w:hanging="360"/>
      </w:pPr>
    </w:lvl>
    <w:lvl w:ilvl="7" w:tplc="7F9050B2" w:tentative="1">
      <w:start w:val="1"/>
      <w:numFmt w:val="lowerLetter"/>
      <w:lvlText w:val="%8."/>
      <w:lvlJc w:val="left"/>
      <w:pPr>
        <w:tabs>
          <w:tab w:val="num" w:pos="5760"/>
        </w:tabs>
        <w:ind w:left="5760" w:hanging="360"/>
      </w:pPr>
    </w:lvl>
    <w:lvl w:ilvl="8" w:tplc="3D26402A" w:tentative="1">
      <w:start w:val="1"/>
      <w:numFmt w:val="lowerRoman"/>
      <w:lvlText w:val="%9."/>
      <w:lvlJc w:val="right"/>
      <w:pPr>
        <w:tabs>
          <w:tab w:val="num" w:pos="6480"/>
        </w:tabs>
        <w:ind w:left="6480" w:hanging="180"/>
      </w:pPr>
    </w:lvl>
  </w:abstractNum>
  <w:abstractNum w:abstractNumId="16" w15:restartNumberingAfterBreak="0">
    <w:nsid w:val="6F1955F3"/>
    <w:multiLevelType w:val="multilevel"/>
    <w:tmpl w:val="5016DD6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93616604">
    <w:abstractNumId w:val="15"/>
  </w:num>
  <w:num w:numId="2" w16cid:durableId="1171137364">
    <w:abstractNumId w:val="10"/>
  </w:num>
  <w:num w:numId="3" w16cid:durableId="319381773">
    <w:abstractNumId w:val="13"/>
  </w:num>
  <w:num w:numId="4" w16cid:durableId="1871531890">
    <w:abstractNumId w:val="14"/>
  </w:num>
  <w:num w:numId="5" w16cid:durableId="71322665">
    <w:abstractNumId w:val="8"/>
  </w:num>
  <w:num w:numId="6" w16cid:durableId="1948467946">
    <w:abstractNumId w:val="3"/>
  </w:num>
  <w:num w:numId="7" w16cid:durableId="1386760256">
    <w:abstractNumId w:val="2"/>
  </w:num>
  <w:num w:numId="8" w16cid:durableId="2827744">
    <w:abstractNumId w:val="1"/>
  </w:num>
  <w:num w:numId="9" w16cid:durableId="1092355942">
    <w:abstractNumId w:val="0"/>
  </w:num>
  <w:num w:numId="10" w16cid:durableId="2114469485">
    <w:abstractNumId w:val="9"/>
  </w:num>
  <w:num w:numId="11" w16cid:durableId="759520934">
    <w:abstractNumId w:val="7"/>
  </w:num>
  <w:num w:numId="12" w16cid:durableId="1616013427">
    <w:abstractNumId w:val="6"/>
  </w:num>
  <w:num w:numId="13" w16cid:durableId="1123572109">
    <w:abstractNumId w:val="5"/>
  </w:num>
  <w:num w:numId="14" w16cid:durableId="1265455592">
    <w:abstractNumId w:val="4"/>
  </w:num>
  <w:num w:numId="15" w16cid:durableId="1878619241">
    <w:abstractNumId w:val="12"/>
  </w:num>
  <w:num w:numId="16" w16cid:durableId="1017537903">
    <w:abstractNumId w:val="16"/>
  </w:num>
  <w:num w:numId="17" w16cid:durableId="6582647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21"/>
    <w:docVar w:name="PersonGUIDs" w:val="{F1A2565D-4D2F-4887-9B1D-3D7BE825DA8C},{25384487-954A-4B3D-A759-FB67661DCC6F},{93F71F64-B3B2-464F-BCC5-C49DA1B8F0E4},{88576935-7337-4AFA-923F-6E59D33EEBED},{8B923F15-4996-4696-A089-6A5BE8BF8E1B},{7E0BF71E-CD03-4DBF-9F51-3B5B798F2741},{CBCE2632-605E-484A-97AC-47C334EA7100}"/>
  </w:docVars>
  <w:rsids>
    <w:rsidRoot w:val="000A6EF1"/>
    <w:rsid w:val="000A6EF1"/>
    <w:rsid w:val="00EE1B6F"/>
    <w:rsid w:val="00EF07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E7740A-CD65-4A1E-AB76-812A50FD5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character" w:customStyle="1" w:styleId="Rubrik1Char">
    <w:name w:val="Rubrik 1 Char"/>
    <w:basedOn w:val="Standardstycketeckensnitt"/>
    <w:link w:val="Rubrik1"/>
    <w:locked/>
    <w:rPr>
      <w:sz w:val="32"/>
      <w:lang w:val="sv-SE" w:eastAsia="sv-SE" w:bidi="ar-SA"/>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5"/>
      </w:numPr>
      <w:spacing w:before="0"/>
    </w:pPr>
  </w:style>
  <w:style w:type="paragraph" w:styleId="Datum">
    <w:name w:val="Date"/>
    <w:basedOn w:val="Normal"/>
    <w:next w:val="Normal"/>
    <w:semiHidden/>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paragraph" w:styleId="Underrubrik">
    <w:name w:val="Subtitle"/>
    <w:basedOn w:val="Normal"/>
    <w:qFormat/>
    <w:pPr>
      <w:spacing w:after="60"/>
      <w:jc w:val="center"/>
      <w:outlineLvl w:val="1"/>
    </w:pPr>
    <w:rPr>
      <w:rFonts w:ascii="Arial" w:hAnsi="Arial" w:cs="Arial"/>
      <w:szCs w:val="24"/>
    </w:rPr>
  </w:style>
  <w:style w:type="paragraph" w:customStyle="1" w:styleId="FSHS5NrFotH">
    <w:name w:val="FSH_S5_NrFotHö"/>
    <w:rPr>
      <w:noProof/>
      <w:sz w:val="327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922963">
      <w:bodyDiv w:val="1"/>
      <w:marLeft w:val="0"/>
      <w:marRight w:val="0"/>
      <w:marTop w:val="0"/>
      <w:marBottom w:val="0"/>
      <w:divBdr>
        <w:top w:val="none" w:sz="0" w:space="0" w:color="auto"/>
        <w:left w:val="none" w:sz="0" w:space="0" w:color="auto"/>
        <w:bottom w:val="none" w:sz="0" w:space="0" w:color="auto"/>
        <w:right w:val="none" w:sz="0" w:space="0" w:color="auto"/>
      </w:divBdr>
    </w:div>
    <w:div w:id="373313148">
      <w:bodyDiv w:val="1"/>
      <w:marLeft w:val="0"/>
      <w:marRight w:val="0"/>
      <w:marTop w:val="0"/>
      <w:marBottom w:val="0"/>
      <w:divBdr>
        <w:top w:val="none" w:sz="0" w:space="0" w:color="auto"/>
        <w:left w:val="none" w:sz="0" w:space="0" w:color="auto"/>
        <w:bottom w:val="none" w:sz="0" w:space="0" w:color="auto"/>
        <w:right w:val="none" w:sz="0" w:space="0" w:color="auto"/>
      </w:divBdr>
    </w:div>
    <w:div w:id="641084578">
      <w:bodyDiv w:val="1"/>
      <w:marLeft w:val="0"/>
      <w:marRight w:val="0"/>
      <w:marTop w:val="0"/>
      <w:marBottom w:val="0"/>
      <w:divBdr>
        <w:top w:val="none" w:sz="0" w:space="0" w:color="auto"/>
        <w:left w:val="none" w:sz="0" w:space="0" w:color="auto"/>
        <w:bottom w:val="none" w:sz="0" w:space="0" w:color="auto"/>
        <w:right w:val="none" w:sz="0" w:space="0" w:color="auto"/>
      </w:divBdr>
    </w:div>
    <w:div w:id="788012743">
      <w:bodyDiv w:val="1"/>
      <w:marLeft w:val="0"/>
      <w:marRight w:val="0"/>
      <w:marTop w:val="0"/>
      <w:marBottom w:val="0"/>
      <w:divBdr>
        <w:top w:val="none" w:sz="0" w:space="0" w:color="auto"/>
        <w:left w:val="none" w:sz="0" w:space="0" w:color="auto"/>
        <w:bottom w:val="none" w:sz="0" w:space="0" w:color="auto"/>
        <w:right w:val="none" w:sz="0" w:space="0" w:color="auto"/>
      </w:divBdr>
    </w:div>
    <w:div w:id="885920481">
      <w:bodyDiv w:val="1"/>
      <w:marLeft w:val="0"/>
      <w:marRight w:val="0"/>
      <w:marTop w:val="0"/>
      <w:marBottom w:val="0"/>
      <w:divBdr>
        <w:top w:val="none" w:sz="0" w:space="0" w:color="auto"/>
        <w:left w:val="none" w:sz="0" w:space="0" w:color="auto"/>
        <w:bottom w:val="none" w:sz="0" w:space="0" w:color="auto"/>
        <w:right w:val="none" w:sz="0" w:space="0" w:color="auto"/>
      </w:divBdr>
    </w:div>
    <w:div w:id="936910275">
      <w:bodyDiv w:val="1"/>
      <w:marLeft w:val="0"/>
      <w:marRight w:val="0"/>
      <w:marTop w:val="0"/>
      <w:marBottom w:val="0"/>
      <w:divBdr>
        <w:top w:val="none" w:sz="0" w:space="0" w:color="auto"/>
        <w:left w:val="none" w:sz="0" w:space="0" w:color="auto"/>
        <w:bottom w:val="none" w:sz="0" w:space="0" w:color="auto"/>
        <w:right w:val="none" w:sz="0" w:space="0" w:color="auto"/>
      </w:divBdr>
    </w:div>
    <w:div w:id="1136071088">
      <w:bodyDiv w:val="1"/>
      <w:marLeft w:val="0"/>
      <w:marRight w:val="0"/>
      <w:marTop w:val="0"/>
      <w:marBottom w:val="0"/>
      <w:divBdr>
        <w:top w:val="none" w:sz="0" w:space="0" w:color="auto"/>
        <w:left w:val="none" w:sz="0" w:space="0" w:color="auto"/>
        <w:bottom w:val="none" w:sz="0" w:space="0" w:color="auto"/>
        <w:right w:val="none" w:sz="0" w:space="0" w:color="auto"/>
      </w:divBdr>
    </w:div>
    <w:div w:id="1311522630">
      <w:bodyDiv w:val="1"/>
      <w:marLeft w:val="0"/>
      <w:marRight w:val="0"/>
      <w:marTop w:val="0"/>
      <w:marBottom w:val="0"/>
      <w:divBdr>
        <w:top w:val="none" w:sz="0" w:space="0" w:color="auto"/>
        <w:left w:val="none" w:sz="0" w:space="0" w:color="auto"/>
        <w:bottom w:val="none" w:sz="0" w:space="0" w:color="auto"/>
        <w:right w:val="none" w:sz="0" w:space="0" w:color="auto"/>
      </w:divBdr>
    </w:div>
    <w:div w:id="1557859903">
      <w:bodyDiv w:val="1"/>
      <w:marLeft w:val="0"/>
      <w:marRight w:val="0"/>
      <w:marTop w:val="0"/>
      <w:marBottom w:val="0"/>
      <w:divBdr>
        <w:top w:val="none" w:sz="0" w:space="0" w:color="auto"/>
        <w:left w:val="none" w:sz="0" w:space="0" w:color="auto"/>
        <w:bottom w:val="none" w:sz="0" w:space="0" w:color="auto"/>
        <w:right w:val="none" w:sz="0" w:space="0" w:color="auto"/>
      </w:divBdr>
    </w:div>
    <w:div w:id="198924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910</Words>
  <Characters>5598</Characters>
  <Application>Microsoft Office Word</Application>
  <DocSecurity>4</DocSecurity>
  <Lines>139</Lines>
  <Paragraphs>66</Paragraphs>
  <ScaleCrop>false</ScaleCrop>
  <HeadingPairs>
    <vt:vector size="2" baseType="variant">
      <vt:variant>
        <vt:lpstr>Rubrik</vt:lpstr>
      </vt:variant>
      <vt:variant>
        <vt:i4>1</vt:i4>
      </vt:variant>
    </vt:vector>
  </HeadingPairs>
  <TitlesOfParts>
    <vt:vector size="1" baseType="lpstr">
      <vt:lpstr>v951</vt:lpstr>
    </vt:vector>
  </TitlesOfParts>
  <Company>Riksdagen</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v951</dc:title>
  <dc:subject>v951</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2007-10-31T16:14:00Z</cp:lastPrinted>
  <dcterms:created xsi:type="dcterms:W3CDTF">2025-12-17T07:36:00Z</dcterms:created>
  <dcterms:modified xsi:type="dcterms:W3CDTF">2025-12-17T07:36:00Z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mot2000_490_2007-09-21</vt:lpwstr>
  </property>
  <property fmtid="{D5CDD505-2E9C-101B-9397-08002B2CF9AE}" pid="3" name="version">
    <vt:lpwstr>mot2000_453_2006-09-29</vt:lpwstr>
  </property>
  <property fmtid="{D5CDD505-2E9C-101B-9397-08002B2CF9AE}" pid="4" name="dokumenttyp">
    <vt:lpwstr>motion</vt:lpwstr>
  </property>
  <property fmtid="{D5CDD505-2E9C-101B-9397-08002B2CF9AE}" pid="5" name="Sekr">
    <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Utgiftsområde 21 Energi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21 Energi</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v951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(v)\Berg, Marianne (v)\Johansson, Wiwi-Anne (v)\Linde, Hans (v)\Linna, Elina (v)\Åström, Alice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Wiwi-Anne Johansson (v), Hans Linde (v), Elina Linna (v), Alice Åström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20072008000000000118000009510080</vt:lpwstr>
  </property>
  <property fmtid="{D5CDD505-2E9C-101B-9397-08002B2CF9AE}" pid="47" name="datum">
    <vt:lpwstr>071001</vt:lpwstr>
  </property>
  <property fmtid="{D5CDD505-2E9C-101B-9397-08002B2CF9AE}" pid="48" name="avsändar-e-post">
    <vt:lpwstr/>
  </property>
  <property fmtid="{D5CDD505-2E9C-101B-9397-08002B2CF9AE}" pid="49" name="id">
    <vt:lpwstr>20072008000000000118000009510080</vt:lpwstr>
  </property>
  <property fmtid="{D5CDD505-2E9C-101B-9397-08002B2CF9AE}" pid="50" name="nummer">
    <vt:lpwstr>376</vt:lpwstr>
  </property>
  <property fmtid="{D5CDD505-2E9C-101B-9397-08002B2CF9AE}" pid="51" name="utskottsbeteckning">
    <vt:lpwstr>N</vt:lpwstr>
  </property>
  <property fmtid="{D5CDD505-2E9C-101B-9397-08002B2CF9AE}" pid="52" name="GlobalUID">
    <vt:lpwstr>{7FF7D361-E6B3-471E-BF75-913BD858AE90}</vt:lpwstr>
  </property>
  <property fmtid="{D5CDD505-2E9C-101B-9397-08002B2CF9AE}" pid="53" name="Överföringar">
    <vt:i4>1</vt:i4>
  </property>
  <property fmtid="{D5CDD505-2E9C-101B-9397-08002B2CF9AE}" pid="54" name="Checksum">
    <vt:lpwstr>*1002921893289*</vt:lpwstr>
  </property>
  <property fmtid="{D5CDD505-2E9C-101B-9397-08002B2CF9AE}" pid="55" name="skuggnummer">
    <vt:lpwstr>3100</vt:lpwstr>
  </property>
  <property fmtid="{D5CDD505-2E9C-101B-9397-08002B2CF9AE}" pid="56" name="urixVersion">
    <vt:lpwstr>3.2.0.8</vt:lpwstr>
  </property>
  <property fmtid="{D5CDD505-2E9C-101B-9397-08002B2CF9AE}" pid="57" name="urixOrigin">
    <vt:lpwstr>080827 13:32:59.789</vt:lpwstr>
  </property>
  <property fmtid="{D5CDD505-2E9C-101B-9397-08002B2CF9AE}" pid="58" name="urixGuid">
    <vt:lpwstr>{C64E1FC7-1A22-4331-A26F-A812D080BE3A}</vt:lpwstr>
  </property>
</Properties>
</file>