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26D" w:rsidRPr="00C05B56" w:rsidRDefault="0019426D" w:rsidP="0019426D">
      <w:pPr>
        <w:pStyle w:val="RubrikInnehllsf"/>
      </w:pPr>
      <w:bookmarkStart w:id="0" w:name="_Toc117071532"/>
      <w:r w:rsidRPr="00C05B56">
        <w:t>Innehållsförteckning</w:t>
      </w:r>
      <w:bookmarkEnd w:id="0"/>
    </w:p>
    <w:p w:rsidR="007F6D24" w:rsidRPr="00C05B56" w:rsidRDefault="0019426D">
      <w:pPr>
        <w:pStyle w:val="Innehll1"/>
        <w:rPr>
          <w:sz w:val="24"/>
          <w:szCs w:val="24"/>
        </w:rPr>
      </w:pPr>
      <w:r w:rsidRPr="00C05B56">
        <w:fldChar w:fldCharType="begin" w:fldLock="1"/>
      </w:r>
      <w:r w:rsidRPr="00C05B56">
        <w:instrText xml:space="preserve"> TOC \o "1-3" \t "HEMSTL_RUBRIK" </w:instrText>
      </w:r>
      <w:r w:rsidRPr="00C05B56">
        <w:fldChar w:fldCharType="separate"/>
      </w:r>
      <w:r w:rsidR="007F6D24" w:rsidRPr="00C05B56">
        <w:t>Innehållsförteckning</w:t>
      </w:r>
      <w:r w:rsidR="007F6D24" w:rsidRPr="00C05B56">
        <w:tab/>
      </w:r>
      <w:r w:rsidR="007F6D24" w:rsidRPr="00C05B56">
        <w:fldChar w:fldCharType="begin" w:fldLock="1"/>
      </w:r>
      <w:r w:rsidR="007F6D24" w:rsidRPr="00C05B56">
        <w:instrText xml:space="preserve"> PAGEREF _Toc117071532 \h </w:instrText>
      </w:r>
      <w:r w:rsidR="007F6D24" w:rsidRPr="00C05B56">
        <w:fldChar w:fldCharType="separate"/>
      </w:r>
      <w:r w:rsidR="008E01BC" w:rsidRPr="00C05B56">
        <w:t>1</w:t>
      </w:r>
      <w:r w:rsidR="007F6D24" w:rsidRPr="00C05B56">
        <w:fldChar w:fldCharType="end"/>
      </w:r>
    </w:p>
    <w:p w:rsidR="007F6D24" w:rsidRPr="00C05B56" w:rsidRDefault="007F6D24">
      <w:pPr>
        <w:pStyle w:val="Innehll1"/>
        <w:rPr>
          <w:sz w:val="24"/>
          <w:szCs w:val="24"/>
        </w:rPr>
      </w:pPr>
      <w:r w:rsidRPr="00C05B56">
        <w:t>Förslag till riksdagsbeslut</w:t>
      </w:r>
      <w:r w:rsidRPr="00C05B56">
        <w:tab/>
      </w:r>
      <w:r w:rsidRPr="00C05B56">
        <w:fldChar w:fldCharType="begin" w:fldLock="1"/>
      </w:r>
      <w:r w:rsidRPr="00C05B56">
        <w:instrText xml:space="preserve"> PAGEREF _Toc117071533 \h </w:instrText>
      </w:r>
      <w:r w:rsidRPr="00C05B56">
        <w:fldChar w:fldCharType="separate"/>
      </w:r>
      <w:r w:rsidR="008E01BC" w:rsidRPr="00C05B56">
        <w:t>2</w:t>
      </w:r>
      <w:r w:rsidRPr="00C05B56">
        <w:fldChar w:fldCharType="end"/>
      </w:r>
    </w:p>
    <w:p w:rsidR="007F6D24" w:rsidRPr="00C05B56" w:rsidRDefault="007F6D24">
      <w:pPr>
        <w:pStyle w:val="Innehll1"/>
        <w:rPr>
          <w:sz w:val="24"/>
          <w:szCs w:val="24"/>
        </w:rPr>
      </w:pPr>
      <w:r w:rsidRPr="00C05B56">
        <w:t>Domstolsväsendet – en central del av den svenska rättsstaten</w:t>
      </w:r>
      <w:r w:rsidRPr="00C05B56">
        <w:tab/>
      </w:r>
      <w:r w:rsidRPr="00C05B56">
        <w:fldChar w:fldCharType="begin" w:fldLock="1"/>
      </w:r>
      <w:r w:rsidRPr="00C05B56">
        <w:instrText xml:space="preserve"> PAGEREF _Toc117071534 \h </w:instrText>
      </w:r>
      <w:r w:rsidRPr="00C05B56">
        <w:fldChar w:fldCharType="separate"/>
      </w:r>
      <w:r w:rsidR="008E01BC" w:rsidRPr="00C05B56">
        <w:t>3</w:t>
      </w:r>
      <w:r w:rsidRPr="00C05B56">
        <w:fldChar w:fldCharType="end"/>
      </w:r>
    </w:p>
    <w:p w:rsidR="007F6D24" w:rsidRPr="00C05B56" w:rsidRDefault="007F6D24">
      <w:pPr>
        <w:pStyle w:val="Innehll1"/>
        <w:rPr>
          <w:sz w:val="24"/>
          <w:szCs w:val="24"/>
        </w:rPr>
      </w:pPr>
      <w:r w:rsidRPr="00C05B56">
        <w:t>Reformeringen av tingsrättsorganisationen</w:t>
      </w:r>
      <w:r w:rsidRPr="00C05B56">
        <w:tab/>
      </w:r>
      <w:r w:rsidRPr="00C05B56">
        <w:fldChar w:fldCharType="begin" w:fldLock="1"/>
      </w:r>
      <w:r w:rsidRPr="00C05B56">
        <w:instrText xml:space="preserve"> PAGEREF _Toc117071535 \h </w:instrText>
      </w:r>
      <w:r w:rsidRPr="00C05B56">
        <w:fldChar w:fldCharType="separate"/>
      </w:r>
      <w:r w:rsidR="008E01BC" w:rsidRPr="00C05B56">
        <w:t>3</w:t>
      </w:r>
      <w:r w:rsidRPr="00C05B56">
        <w:fldChar w:fldCharType="end"/>
      </w:r>
    </w:p>
    <w:p w:rsidR="007F6D24" w:rsidRPr="00C05B56" w:rsidRDefault="007F6D24">
      <w:pPr>
        <w:pStyle w:val="Innehll2"/>
        <w:rPr>
          <w:sz w:val="24"/>
          <w:szCs w:val="24"/>
        </w:rPr>
      </w:pPr>
      <w:r w:rsidRPr="00C05B56">
        <w:t>Bakgrund</w:t>
      </w:r>
      <w:r w:rsidRPr="00C05B56">
        <w:tab/>
      </w:r>
      <w:r w:rsidRPr="00C05B56">
        <w:fldChar w:fldCharType="begin" w:fldLock="1"/>
      </w:r>
      <w:r w:rsidRPr="00C05B56">
        <w:instrText xml:space="preserve"> PAGEREF _Toc117071536 \h </w:instrText>
      </w:r>
      <w:r w:rsidRPr="00C05B56">
        <w:fldChar w:fldCharType="separate"/>
      </w:r>
      <w:r w:rsidR="008E01BC" w:rsidRPr="00C05B56">
        <w:t>3</w:t>
      </w:r>
      <w:r w:rsidRPr="00C05B56">
        <w:fldChar w:fldCharType="end"/>
      </w:r>
    </w:p>
    <w:p w:rsidR="007F6D24" w:rsidRPr="00C05B56" w:rsidRDefault="007F6D24">
      <w:pPr>
        <w:pStyle w:val="Innehll2"/>
        <w:rPr>
          <w:sz w:val="24"/>
          <w:szCs w:val="24"/>
        </w:rPr>
      </w:pPr>
      <w:r w:rsidRPr="00C05B56">
        <w:t>Avvakta med förändringarna i tingsrättsorganisationen</w:t>
      </w:r>
      <w:r w:rsidRPr="00C05B56">
        <w:tab/>
      </w:r>
      <w:r w:rsidRPr="00C05B56">
        <w:fldChar w:fldCharType="begin" w:fldLock="1"/>
      </w:r>
      <w:r w:rsidRPr="00C05B56">
        <w:instrText xml:space="preserve"> PAGEREF _Toc117071537 \h </w:instrText>
      </w:r>
      <w:r w:rsidRPr="00C05B56">
        <w:fldChar w:fldCharType="separate"/>
      </w:r>
      <w:r w:rsidR="008E01BC" w:rsidRPr="00C05B56">
        <w:t>4</w:t>
      </w:r>
      <w:r w:rsidRPr="00C05B56">
        <w:fldChar w:fldCharType="end"/>
      </w:r>
    </w:p>
    <w:p w:rsidR="007F6D24" w:rsidRPr="00C05B56" w:rsidRDefault="007F6D24">
      <w:pPr>
        <w:pStyle w:val="Innehll2"/>
        <w:rPr>
          <w:sz w:val="24"/>
          <w:szCs w:val="24"/>
        </w:rPr>
      </w:pPr>
      <w:r w:rsidRPr="00C05B56">
        <w:t>Ekonomiska konsekvenser</w:t>
      </w:r>
      <w:r w:rsidRPr="00C05B56">
        <w:tab/>
      </w:r>
      <w:r w:rsidRPr="00C05B56">
        <w:fldChar w:fldCharType="begin" w:fldLock="1"/>
      </w:r>
      <w:r w:rsidRPr="00C05B56">
        <w:instrText xml:space="preserve"> PAGEREF _Toc117071538 \h </w:instrText>
      </w:r>
      <w:r w:rsidRPr="00C05B56">
        <w:fldChar w:fldCharType="separate"/>
      </w:r>
      <w:r w:rsidR="008E01BC" w:rsidRPr="00C05B56">
        <w:t>5</w:t>
      </w:r>
      <w:r w:rsidRPr="00C05B56">
        <w:fldChar w:fldCharType="end"/>
      </w:r>
    </w:p>
    <w:p w:rsidR="007F6D24" w:rsidRPr="00C05B56" w:rsidRDefault="007F6D24">
      <w:pPr>
        <w:pStyle w:val="Innehll2"/>
        <w:rPr>
          <w:sz w:val="24"/>
          <w:szCs w:val="24"/>
        </w:rPr>
      </w:pPr>
      <w:r w:rsidRPr="00C05B56">
        <w:t>Parlamentarisk domstolsutredning</w:t>
      </w:r>
      <w:r w:rsidRPr="00C05B56">
        <w:tab/>
      </w:r>
      <w:r w:rsidRPr="00C05B56">
        <w:fldChar w:fldCharType="begin" w:fldLock="1"/>
      </w:r>
      <w:r w:rsidRPr="00C05B56">
        <w:instrText xml:space="preserve"> PAGEREF _Toc117071539 \h </w:instrText>
      </w:r>
      <w:r w:rsidRPr="00C05B56">
        <w:fldChar w:fldCharType="separate"/>
      </w:r>
      <w:r w:rsidR="008E01BC" w:rsidRPr="00C05B56">
        <w:t>6</w:t>
      </w:r>
      <w:r w:rsidRPr="00C05B56">
        <w:fldChar w:fldCharType="end"/>
      </w:r>
    </w:p>
    <w:p w:rsidR="007F6D24" w:rsidRPr="00C05B56" w:rsidRDefault="007F6D24">
      <w:pPr>
        <w:pStyle w:val="Innehll1"/>
        <w:rPr>
          <w:sz w:val="24"/>
          <w:szCs w:val="24"/>
        </w:rPr>
      </w:pPr>
      <w:r w:rsidRPr="00C05B56">
        <w:t>Uppnå verksamhetsmålen</w:t>
      </w:r>
      <w:r w:rsidRPr="00C05B56">
        <w:tab/>
      </w:r>
      <w:r w:rsidRPr="00C05B56">
        <w:fldChar w:fldCharType="begin" w:fldLock="1"/>
      </w:r>
      <w:r w:rsidRPr="00C05B56">
        <w:instrText xml:space="preserve"> PAGEREF _Toc117071540 \h </w:instrText>
      </w:r>
      <w:r w:rsidRPr="00C05B56">
        <w:fldChar w:fldCharType="separate"/>
      </w:r>
      <w:r w:rsidR="008E01BC" w:rsidRPr="00C05B56">
        <w:t>6</w:t>
      </w:r>
      <w:r w:rsidRPr="00C05B56">
        <w:fldChar w:fldCharType="end"/>
      </w:r>
    </w:p>
    <w:p w:rsidR="007F6D24" w:rsidRPr="00C05B56" w:rsidRDefault="007F6D24">
      <w:pPr>
        <w:pStyle w:val="Innehll1"/>
        <w:rPr>
          <w:sz w:val="24"/>
          <w:szCs w:val="24"/>
        </w:rPr>
      </w:pPr>
      <w:r w:rsidRPr="00C05B56">
        <w:t>Specialistkompetens inom domarkåren</w:t>
      </w:r>
      <w:r w:rsidRPr="00C05B56">
        <w:tab/>
      </w:r>
      <w:r w:rsidRPr="00C05B56">
        <w:fldChar w:fldCharType="begin" w:fldLock="1"/>
      </w:r>
      <w:r w:rsidRPr="00C05B56">
        <w:instrText xml:space="preserve"> PAGEREF _Toc117071541 \h </w:instrText>
      </w:r>
      <w:r w:rsidRPr="00C05B56">
        <w:fldChar w:fldCharType="separate"/>
      </w:r>
      <w:r w:rsidR="008E01BC" w:rsidRPr="00C05B56">
        <w:t>7</w:t>
      </w:r>
      <w:r w:rsidRPr="00C05B56">
        <w:fldChar w:fldCharType="end"/>
      </w:r>
    </w:p>
    <w:p w:rsidR="007F6D24" w:rsidRPr="00C05B56" w:rsidRDefault="007F6D24">
      <w:pPr>
        <w:pStyle w:val="Innehll1"/>
        <w:rPr>
          <w:sz w:val="24"/>
          <w:szCs w:val="24"/>
        </w:rPr>
      </w:pPr>
      <w:r w:rsidRPr="00C05B56">
        <w:t>Ett oberoende och öppet domstolsväsende</w:t>
      </w:r>
      <w:r w:rsidRPr="00C05B56">
        <w:tab/>
      </w:r>
      <w:r w:rsidRPr="00C05B56">
        <w:fldChar w:fldCharType="begin" w:fldLock="1"/>
      </w:r>
      <w:r w:rsidRPr="00C05B56">
        <w:instrText xml:space="preserve"> PAGEREF _Toc117071542 \h </w:instrText>
      </w:r>
      <w:r w:rsidRPr="00C05B56">
        <w:fldChar w:fldCharType="separate"/>
      </w:r>
      <w:r w:rsidR="008E01BC" w:rsidRPr="00C05B56">
        <w:t>8</w:t>
      </w:r>
      <w:r w:rsidRPr="00C05B56">
        <w:fldChar w:fldCharType="end"/>
      </w:r>
    </w:p>
    <w:p w:rsidR="007F6D24" w:rsidRPr="00C05B56" w:rsidRDefault="007F6D24">
      <w:pPr>
        <w:pStyle w:val="Innehll2"/>
        <w:rPr>
          <w:sz w:val="24"/>
          <w:szCs w:val="24"/>
        </w:rPr>
      </w:pPr>
      <w:r w:rsidRPr="00C05B56">
        <w:t>Domstolsverkets ställning</w:t>
      </w:r>
      <w:r w:rsidRPr="00C05B56">
        <w:tab/>
      </w:r>
      <w:r w:rsidRPr="00C05B56">
        <w:fldChar w:fldCharType="begin" w:fldLock="1"/>
      </w:r>
      <w:r w:rsidRPr="00C05B56">
        <w:instrText xml:space="preserve"> PAGEREF _Toc117071543 \h </w:instrText>
      </w:r>
      <w:r w:rsidRPr="00C05B56">
        <w:fldChar w:fldCharType="separate"/>
      </w:r>
      <w:r w:rsidR="008E01BC" w:rsidRPr="00C05B56">
        <w:t>8</w:t>
      </w:r>
      <w:r w:rsidRPr="00C05B56">
        <w:fldChar w:fldCharType="end"/>
      </w:r>
    </w:p>
    <w:p w:rsidR="007F6D24" w:rsidRPr="00C05B56" w:rsidRDefault="007F6D24">
      <w:pPr>
        <w:pStyle w:val="Innehll2"/>
        <w:rPr>
          <w:sz w:val="24"/>
          <w:szCs w:val="24"/>
        </w:rPr>
      </w:pPr>
      <w:r w:rsidRPr="00C05B56">
        <w:t>Ett öppnare förfarande vid tillsättningen av domare</w:t>
      </w:r>
      <w:r w:rsidRPr="00C05B56">
        <w:tab/>
      </w:r>
      <w:r w:rsidRPr="00C05B56">
        <w:fldChar w:fldCharType="begin" w:fldLock="1"/>
      </w:r>
      <w:r w:rsidRPr="00C05B56">
        <w:instrText xml:space="preserve"> PAGEREF _Toc117071544 \h </w:instrText>
      </w:r>
      <w:r w:rsidRPr="00C05B56">
        <w:fldChar w:fldCharType="separate"/>
      </w:r>
      <w:r w:rsidR="008E01BC" w:rsidRPr="00C05B56">
        <w:t>8</w:t>
      </w:r>
      <w:r w:rsidRPr="00C05B56">
        <w:fldChar w:fldCharType="end"/>
      </w:r>
    </w:p>
    <w:p w:rsidR="007F6D24" w:rsidRPr="00C05B56" w:rsidRDefault="007F6D24">
      <w:pPr>
        <w:pStyle w:val="Innehll2"/>
        <w:rPr>
          <w:sz w:val="24"/>
          <w:szCs w:val="24"/>
        </w:rPr>
      </w:pPr>
      <w:r w:rsidRPr="00C05B56">
        <w:t>Lönesättningen</w:t>
      </w:r>
      <w:r w:rsidRPr="00C05B56">
        <w:tab/>
      </w:r>
      <w:r w:rsidRPr="00C05B56">
        <w:fldChar w:fldCharType="begin" w:fldLock="1"/>
      </w:r>
      <w:r w:rsidRPr="00C05B56">
        <w:instrText xml:space="preserve"> PAGEREF _Toc117071545 \h </w:instrText>
      </w:r>
      <w:r w:rsidRPr="00C05B56">
        <w:fldChar w:fldCharType="separate"/>
      </w:r>
      <w:r w:rsidR="008E01BC" w:rsidRPr="00C05B56">
        <w:t>9</w:t>
      </w:r>
      <w:r w:rsidRPr="00C05B56">
        <w:fldChar w:fldCharType="end"/>
      </w:r>
    </w:p>
    <w:p w:rsidR="007F6D24" w:rsidRPr="00C05B56" w:rsidRDefault="007F6D24">
      <w:pPr>
        <w:pStyle w:val="Innehll1"/>
        <w:rPr>
          <w:sz w:val="24"/>
          <w:szCs w:val="24"/>
        </w:rPr>
      </w:pPr>
      <w:r w:rsidRPr="00C05B56">
        <w:t>Inrätta en författningsdomstol</w:t>
      </w:r>
      <w:r w:rsidRPr="00C05B56">
        <w:tab/>
      </w:r>
      <w:r w:rsidRPr="00C05B56">
        <w:fldChar w:fldCharType="begin" w:fldLock="1"/>
      </w:r>
      <w:r w:rsidRPr="00C05B56">
        <w:instrText xml:space="preserve"> PAGEREF _Toc117071546 \h </w:instrText>
      </w:r>
      <w:r w:rsidRPr="00C05B56">
        <w:fldChar w:fldCharType="separate"/>
      </w:r>
      <w:r w:rsidR="008E01BC" w:rsidRPr="00C05B56">
        <w:t>10</w:t>
      </w:r>
      <w:r w:rsidRPr="00C05B56">
        <w:fldChar w:fldCharType="end"/>
      </w:r>
    </w:p>
    <w:p w:rsidR="007F6D24" w:rsidRPr="00C05B56" w:rsidRDefault="007F6D24">
      <w:pPr>
        <w:pStyle w:val="Innehll1"/>
        <w:rPr>
          <w:sz w:val="24"/>
          <w:szCs w:val="24"/>
        </w:rPr>
      </w:pPr>
      <w:r w:rsidRPr="00C05B56">
        <w:t>Rätt till prövning i två instanser</w:t>
      </w:r>
      <w:r w:rsidRPr="00C05B56">
        <w:tab/>
      </w:r>
      <w:r w:rsidRPr="00C05B56">
        <w:fldChar w:fldCharType="begin" w:fldLock="1"/>
      </w:r>
      <w:r w:rsidRPr="00C05B56">
        <w:instrText xml:space="preserve"> PAGEREF _Toc117071547 \h </w:instrText>
      </w:r>
      <w:r w:rsidRPr="00C05B56">
        <w:fldChar w:fldCharType="separate"/>
      </w:r>
      <w:r w:rsidR="008E01BC" w:rsidRPr="00C05B56">
        <w:t>10</w:t>
      </w:r>
      <w:r w:rsidRPr="00C05B56">
        <w:fldChar w:fldCharType="end"/>
      </w:r>
    </w:p>
    <w:p w:rsidR="007F6D24" w:rsidRPr="00C05B56" w:rsidRDefault="007F6D24">
      <w:pPr>
        <w:pStyle w:val="Innehll1"/>
        <w:rPr>
          <w:sz w:val="24"/>
          <w:szCs w:val="24"/>
        </w:rPr>
      </w:pPr>
      <w:r w:rsidRPr="00C05B56">
        <w:t>En enda högsta domstolsinstans</w:t>
      </w:r>
      <w:r w:rsidRPr="00C05B56">
        <w:tab/>
      </w:r>
      <w:r w:rsidRPr="00C05B56">
        <w:fldChar w:fldCharType="begin" w:fldLock="1"/>
      </w:r>
      <w:r w:rsidRPr="00C05B56">
        <w:instrText xml:space="preserve"> PAGEREF _Toc117071548 \h </w:instrText>
      </w:r>
      <w:r w:rsidRPr="00C05B56">
        <w:fldChar w:fldCharType="separate"/>
      </w:r>
      <w:r w:rsidR="008E01BC" w:rsidRPr="00C05B56">
        <w:t>11</w:t>
      </w:r>
      <w:r w:rsidRPr="00C05B56">
        <w:fldChar w:fldCharType="end"/>
      </w:r>
    </w:p>
    <w:p w:rsidR="007F6D24" w:rsidRPr="00C05B56" w:rsidRDefault="007F6D24">
      <w:pPr>
        <w:pStyle w:val="Innehll1"/>
        <w:rPr>
          <w:sz w:val="24"/>
          <w:szCs w:val="24"/>
        </w:rPr>
      </w:pPr>
      <w:r w:rsidRPr="00C05B56">
        <w:t>Avskaffa de partssammansatta domstolarna</w:t>
      </w:r>
      <w:r w:rsidRPr="00C05B56">
        <w:tab/>
      </w:r>
      <w:r w:rsidRPr="00C05B56">
        <w:fldChar w:fldCharType="begin" w:fldLock="1"/>
      </w:r>
      <w:r w:rsidRPr="00C05B56">
        <w:instrText xml:space="preserve"> PAGEREF _Toc117071549 \h </w:instrText>
      </w:r>
      <w:r w:rsidRPr="00C05B56">
        <w:fldChar w:fldCharType="separate"/>
      </w:r>
      <w:r w:rsidR="008E01BC" w:rsidRPr="00C05B56">
        <w:t>11</w:t>
      </w:r>
      <w:r w:rsidRPr="00C05B56">
        <w:fldChar w:fldCharType="end"/>
      </w:r>
    </w:p>
    <w:p w:rsidR="007F6D24" w:rsidRPr="00C05B56" w:rsidRDefault="007F6D24">
      <w:pPr>
        <w:pStyle w:val="Innehll1"/>
        <w:rPr>
          <w:sz w:val="24"/>
          <w:szCs w:val="24"/>
        </w:rPr>
      </w:pPr>
      <w:r w:rsidRPr="00C05B56">
        <w:t>Offentlighet vid rättegångar</w:t>
      </w:r>
      <w:r w:rsidRPr="00C05B56">
        <w:tab/>
      </w:r>
      <w:r w:rsidRPr="00C05B56">
        <w:fldChar w:fldCharType="begin" w:fldLock="1"/>
      </w:r>
      <w:r w:rsidRPr="00C05B56">
        <w:instrText xml:space="preserve"> PAGEREF _Toc117071550 \h </w:instrText>
      </w:r>
      <w:r w:rsidRPr="00C05B56">
        <w:fldChar w:fldCharType="separate"/>
      </w:r>
      <w:r w:rsidR="008E01BC" w:rsidRPr="00C05B56">
        <w:t>11</w:t>
      </w:r>
      <w:r w:rsidRPr="00C05B56">
        <w:fldChar w:fldCharType="end"/>
      </w:r>
    </w:p>
    <w:p w:rsidR="007F6D24" w:rsidRPr="00C05B56" w:rsidRDefault="007F6D24">
      <w:pPr>
        <w:pStyle w:val="Innehll1"/>
        <w:rPr>
          <w:sz w:val="24"/>
          <w:szCs w:val="24"/>
        </w:rPr>
      </w:pPr>
      <w:r w:rsidRPr="00C05B56">
        <w:t>Användningen av videokonferens</w:t>
      </w:r>
      <w:r w:rsidRPr="00C05B56">
        <w:tab/>
      </w:r>
      <w:r w:rsidRPr="00C05B56">
        <w:fldChar w:fldCharType="begin" w:fldLock="1"/>
      </w:r>
      <w:r w:rsidRPr="00C05B56">
        <w:instrText xml:space="preserve"> PAGEREF _Toc117071551 \h </w:instrText>
      </w:r>
      <w:r w:rsidRPr="00C05B56">
        <w:fldChar w:fldCharType="separate"/>
      </w:r>
      <w:r w:rsidR="008E01BC" w:rsidRPr="00C05B56">
        <w:t>12</w:t>
      </w:r>
      <w:r w:rsidRPr="00C05B56">
        <w:fldChar w:fldCharType="end"/>
      </w:r>
    </w:p>
    <w:p w:rsidR="007F6D24" w:rsidRPr="00C05B56" w:rsidRDefault="007F6D24">
      <w:pPr>
        <w:pStyle w:val="Innehll1"/>
        <w:rPr>
          <w:sz w:val="24"/>
          <w:szCs w:val="24"/>
        </w:rPr>
      </w:pPr>
      <w:r w:rsidRPr="00C05B56">
        <w:t>Vittnesstöd</w:t>
      </w:r>
      <w:r w:rsidRPr="00C05B56">
        <w:tab/>
      </w:r>
      <w:r w:rsidRPr="00C05B56">
        <w:fldChar w:fldCharType="begin" w:fldLock="1"/>
      </w:r>
      <w:r w:rsidRPr="00C05B56">
        <w:instrText xml:space="preserve"> PAGEREF _Toc117071552 \h </w:instrText>
      </w:r>
      <w:r w:rsidRPr="00C05B56">
        <w:fldChar w:fldCharType="separate"/>
      </w:r>
      <w:r w:rsidR="008E01BC" w:rsidRPr="00C05B56">
        <w:t>12</w:t>
      </w:r>
      <w:r w:rsidRPr="00C05B56">
        <w:fldChar w:fldCharType="end"/>
      </w:r>
    </w:p>
    <w:p w:rsidR="007F6D24" w:rsidRPr="00C05B56" w:rsidRDefault="007F6D24">
      <w:pPr>
        <w:pStyle w:val="Innehll1"/>
        <w:rPr>
          <w:sz w:val="24"/>
          <w:szCs w:val="24"/>
        </w:rPr>
      </w:pPr>
      <w:r w:rsidRPr="00C05B56">
        <w:t>Säkerheten i domstolarna</w:t>
      </w:r>
      <w:r w:rsidRPr="00C05B56">
        <w:tab/>
      </w:r>
      <w:r w:rsidRPr="00C05B56">
        <w:fldChar w:fldCharType="begin" w:fldLock="1"/>
      </w:r>
      <w:r w:rsidRPr="00C05B56">
        <w:instrText xml:space="preserve"> PAGEREF _Toc117071553 \h </w:instrText>
      </w:r>
      <w:r w:rsidRPr="00C05B56">
        <w:fldChar w:fldCharType="separate"/>
      </w:r>
      <w:r w:rsidR="008E01BC" w:rsidRPr="00C05B56">
        <w:t>13</w:t>
      </w:r>
      <w:r w:rsidRPr="00C05B56">
        <w:fldChar w:fldCharType="end"/>
      </w:r>
    </w:p>
    <w:p w:rsidR="007F6D24" w:rsidRPr="00C05B56" w:rsidRDefault="007F6D24">
      <w:pPr>
        <w:pStyle w:val="Innehll2"/>
        <w:rPr>
          <w:sz w:val="24"/>
          <w:szCs w:val="24"/>
        </w:rPr>
      </w:pPr>
      <w:r w:rsidRPr="00C05B56">
        <w:t>Brottsregisterkontroll även för domstolsanställda</w:t>
      </w:r>
      <w:r w:rsidRPr="00C05B56">
        <w:tab/>
      </w:r>
      <w:r w:rsidRPr="00C05B56">
        <w:fldChar w:fldCharType="begin" w:fldLock="1"/>
      </w:r>
      <w:r w:rsidRPr="00C05B56">
        <w:instrText xml:space="preserve"> PAGEREF _Toc117071554 \h </w:instrText>
      </w:r>
      <w:r w:rsidRPr="00C05B56">
        <w:fldChar w:fldCharType="separate"/>
      </w:r>
      <w:r w:rsidR="008E01BC" w:rsidRPr="00C05B56">
        <w:t>13</w:t>
      </w:r>
      <w:r w:rsidRPr="00C05B56">
        <w:fldChar w:fldCharType="end"/>
      </w:r>
    </w:p>
    <w:p w:rsidR="007F6D24" w:rsidRPr="00C05B56" w:rsidRDefault="007F6D24">
      <w:pPr>
        <w:pStyle w:val="Innehll1"/>
        <w:rPr>
          <w:sz w:val="24"/>
          <w:szCs w:val="24"/>
        </w:rPr>
      </w:pPr>
      <w:r w:rsidRPr="00C05B56">
        <w:t>Ersättningen till nämndemän</w:t>
      </w:r>
      <w:r w:rsidRPr="00C05B56">
        <w:tab/>
      </w:r>
      <w:r w:rsidRPr="00C05B56">
        <w:fldChar w:fldCharType="begin" w:fldLock="1"/>
      </w:r>
      <w:r w:rsidRPr="00C05B56">
        <w:instrText xml:space="preserve"> PAGEREF _Toc117071555 \h </w:instrText>
      </w:r>
      <w:r w:rsidRPr="00C05B56">
        <w:fldChar w:fldCharType="separate"/>
      </w:r>
      <w:r w:rsidR="008E01BC" w:rsidRPr="00C05B56">
        <w:t>14</w:t>
      </w:r>
      <w:r w:rsidRPr="00C05B56">
        <w:fldChar w:fldCharType="end"/>
      </w:r>
    </w:p>
    <w:p w:rsidR="007F6D24" w:rsidRPr="00C05B56" w:rsidRDefault="007F6D24">
      <w:pPr>
        <w:pStyle w:val="Innehll1"/>
        <w:rPr>
          <w:sz w:val="24"/>
          <w:szCs w:val="24"/>
        </w:rPr>
      </w:pPr>
      <w:r w:rsidRPr="00C05B56">
        <w:t>Ett stärkt åklagarväsende</w:t>
      </w:r>
      <w:r w:rsidRPr="00C05B56">
        <w:tab/>
      </w:r>
      <w:r w:rsidRPr="00C05B56">
        <w:fldChar w:fldCharType="begin" w:fldLock="1"/>
      </w:r>
      <w:r w:rsidRPr="00C05B56">
        <w:instrText xml:space="preserve"> PAGEREF _Toc117071556 \h </w:instrText>
      </w:r>
      <w:r w:rsidRPr="00C05B56">
        <w:fldChar w:fldCharType="separate"/>
      </w:r>
      <w:r w:rsidR="008E01BC" w:rsidRPr="00C05B56">
        <w:t>14</w:t>
      </w:r>
      <w:r w:rsidRPr="00C05B56">
        <w:fldChar w:fldCharType="end"/>
      </w:r>
    </w:p>
    <w:p w:rsidR="007F6D24" w:rsidRPr="00C05B56" w:rsidRDefault="007F6D24">
      <w:pPr>
        <w:pStyle w:val="Innehll2"/>
        <w:rPr>
          <w:sz w:val="24"/>
          <w:szCs w:val="24"/>
        </w:rPr>
      </w:pPr>
      <w:r w:rsidRPr="00C05B56">
        <w:t>Ökad specialisering</w:t>
      </w:r>
      <w:r w:rsidRPr="00C05B56">
        <w:tab/>
      </w:r>
      <w:r w:rsidRPr="00C05B56">
        <w:fldChar w:fldCharType="begin" w:fldLock="1"/>
      </w:r>
      <w:r w:rsidRPr="00C05B56">
        <w:instrText xml:space="preserve"> PAGEREF _Toc117071557 \h </w:instrText>
      </w:r>
      <w:r w:rsidRPr="00C05B56">
        <w:fldChar w:fldCharType="separate"/>
      </w:r>
      <w:r w:rsidR="008E01BC" w:rsidRPr="00C05B56">
        <w:t>16</w:t>
      </w:r>
      <w:r w:rsidRPr="00C05B56">
        <w:fldChar w:fldCharType="end"/>
      </w:r>
    </w:p>
    <w:p w:rsidR="007F6D24" w:rsidRPr="00C05B56" w:rsidRDefault="007F6D24">
      <w:pPr>
        <w:pStyle w:val="Innehll2"/>
        <w:rPr>
          <w:sz w:val="24"/>
          <w:szCs w:val="24"/>
        </w:rPr>
      </w:pPr>
      <w:r w:rsidRPr="00C05B56">
        <w:t>Stärk åklagarnas roll i förundersökningar</w:t>
      </w:r>
      <w:r w:rsidRPr="00C05B56">
        <w:tab/>
      </w:r>
      <w:r w:rsidRPr="00C05B56">
        <w:fldChar w:fldCharType="begin" w:fldLock="1"/>
      </w:r>
      <w:r w:rsidRPr="00C05B56">
        <w:instrText xml:space="preserve"> PAGEREF _Toc117071558 \h </w:instrText>
      </w:r>
      <w:r w:rsidRPr="00C05B56">
        <w:fldChar w:fldCharType="separate"/>
      </w:r>
      <w:r w:rsidR="008E01BC" w:rsidRPr="00C05B56">
        <w:t>16</w:t>
      </w:r>
      <w:r w:rsidRPr="00C05B56">
        <w:fldChar w:fldCharType="end"/>
      </w:r>
    </w:p>
    <w:p w:rsidR="007F6D24" w:rsidRPr="00C05B56" w:rsidRDefault="007F6D24">
      <w:pPr>
        <w:pStyle w:val="Innehll2"/>
        <w:rPr>
          <w:sz w:val="24"/>
          <w:szCs w:val="24"/>
        </w:rPr>
      </w:pPr>
      <w:r w:rsidRPr="00C05B56">
        <w:t>Avskaffa Ekobrottsmyndigheten</w:t>
      </w:r>
      <w:r w:rsidRPr="00C05B56">
        <w:tab/>
      </w:r>
      <w:r w:rsidRPr="00C05B56">
        <w:fldChar w:fldCharType="begin" w:fldLock="1"/>
      </w:r>
      <w:r w:rsidRPr="00C05B56">
        <w:instrText xml:space="preserve"> PAGEREF _Toc117071559 \h </w:instrText>
      </w:r>
      <w:r w:rsidRPr="00C05B56">
        <w:fldChar w:fldCharType="separate"/>
      </w:r>
      <w:r w:rsidR="008E01BC" w:rsidRPr="00C05B56">
        <w:t>16</w:t>
      </w:r>
      <w:r w:rsidRPr="00C05B56">
        <w:fldChar w:fldCharType="end"/>
      </w:r>
    </w:p>
    <w:p w:rsidR="007F6D24" w:rsidRPr="00C05B56" w:rsidRDefault="007F6D24">
      <w:pPr>
        <w:pStyle w:val="Innehll1"/>
        <w:rPr>
          <w:sz w:val="24"/>
          <w:szCs w:val="24"/>
        </w:rPr>
      </w:pPr>
      <w:r w:rsidRPr="00C05B56">
        <w:t>Intensifierat internationellt samarbete</w:t>
      </w:r>
      <w:r w:rsidRPr="00C05B56">
        <w:tab/>
      </w:r>
      <w:r w:rsidRPr="00C05B56">
        <w:fldChar w:fldCharType="begin" w:fldLock="1"/>
      </w:r>
      <w:r w:rsidRPr="00C05B56">
        <w:instrText xml:space="preserve"> PAGEREF _Toc117071560 \h </w:instrText>
      </w:r>
      <w:r w:rsidRPr="00C05B56">
        <w:fldChar w:fldCharType="separate"/>
      </w:r>
      <w:r w:rsidR="008E01BC" w:rsidRPr="00C05B56">
        <w:t>17</w:t>
      </w:r>
      <w:r w:rsidRPr="00C05B56">
        <w:fldChar w:fldCharType="end"/>
      </w:r>
    </w:p>
    <w:p w:rsidR="0019426D" w:rsidRPr="00C05B56" w:rsidRDefault="0019426D" w:rsidP="00EC23D6">
      <w:r w:rsidRPr="00C05B56">
        <w:fldChar w:fldCharType="end"/>
      </w:r>
    </w:p>
    <w:p w:rsidR="003C0F68" w:rsidRPr="00C05B56" w:rsidRDefault="003C0F68" w:rsidP="00C55742">
      <w:pPr>
        <w:pStyle w:val="Hemstlrubrik"/>
        <w:pageBreakBefore/>
        <w:spacing w:before="0"/>
      </w:pPr>
      <w:bookmarkStart w:id="1" w:name="_Toc117071533"/>
      <w:r w:rsidRPr="00C05B56">
        <w:lastRenderedPageBreak/>
        <w:t>Förslag till riksdagsbeslut</w:t>
      </w:r>
      <w:bookmarkEnd w:id="1"/>
    </w:p>
    <w:p w:rsidR="005A629C" w:rsidRPr="00C05B56" w:rsidRDefault="005A629C" w:rsidP="005A629C">
      <w:pPr>
        <w:pStyle w:val="Hemstlatt"/>
      </w:pPr>
      <w:r w:rsidRPr="00C05B56">
        <w:t>Riksdagen tillkännager för regeringen som sin mening vad i motionen anförs om förändringar</w:t>
      </w:r>
      <w:r w:rsidR="005A31D9" w:rsidRPr="00C05B56">
        <w:t>na</w:t>
      </w:r>
      <w:r w:rsidRPr="00C05B56">
        <w:t xml:space="preserve"> i tingsrättsorganisationen och övriga domstol</w:t>
      </w:r>
      <w:r w:rsidRPr="00C05B56">
        <w:t>s</w:t>
      </w:r>
      <w:r w:rsidRPr="00C05B56">
        <w:t>väsendet</w:t>
      </w:r>
      <w:r w:rsidR="0077420A" w:rsidRPr="00C05B56">
        <w:t>.</w:t>
      </w:r>
      <w:r w:rsidRPr="00C05B56">
        <w:t xml:space="preserve"> </w:t>
      </w:r>
    </w:p>
    <w:p w:rsidR="005A629C" w:rsidRPr="00C05B56" w:rsidRDefault="005A629C" w:rsidP="005A629C">
      <w:pPr>
        <w:pStyle w:val="Hemstlatt"/>
      </w:pPr>
      <w:r w:rsidRPr="00C05B56">
        <w:t>Riksdagen tillkännager för regeringen som sin mening vad i motionen anförs om redovisning av de ekonomiska konsekvenserna av förändrin</w:t>
      </w:r>
      <w:r w:rsidRPr="00C05B56">
        <w:t>g</w:t>
      </w:r>
      <w:r w:rsidRPr="00C05B56">
        <w:t>ar</w:t>
      </w:r>
      <w:r w:rsidR="00B12F07" w:rsidRPr="00C05B56">
        <w:t>na</w:t>
      </w:r>
      <w:r w:rsidRPr="00C05B56">
        <w:t xml:space="preserve"> i tingsrättsorganisationen</w:t>
      </w:r>
      <w:r w:rsidR="0077420A" w:rsidRPr="00C05B56">
        <w:t>.</w:t>
      </w:r>
      <w:r w:rsidRPr="00C05B56">
        <w:t xml:space="preserve"> </w:t>
      </w:r>
    </w:p>
    <w:p w:rsidR="005A629C" w:rsidRPr="00C05B56" w:rsidRDefault="005A629C" w:rsidP="005A629C">
      <w:pPr>
        <w:pStyle w:val="Hemstlatt"/>
      </w:pPr>
      <w:r w:rsidRPr="00C05B56">
        <w:t>Riksdagen tillkännager för regeringen som sin mening vad i motionen anförs om en parlamentariskt tillsatt utredning av hela den framtida do</w:t>
      </w:r>
      <w:r w:rsidRPr="00C05B56">
        <w:t>m</w:t>
      </w:r>
      <w:r w:rsidRPr="00C05B56">
        <w:t>stol</w:t>
      </w:r>
      <w:r w:rsidRPr="00C05B56">
        <w:t>s</w:t>
      </w:r>
      <w:r w:rsidRPr="00C05B56">
        <w:t>organisationen</w:t>
      </w:r>
      <w:r w:rsidR="0077420A" w:rsidRPr="00C05B56">
        <w:t>.</w:t>
      </w:r>
      <w:r w:rsidRPr="00C05B56">
        <w:t xml:space="preserve"> </w:t>
      </w:r>
    </w:p>
    <w:p w:rsidR="005A629C" w:rsidRPr="00C05B56" w:rsidRDefault="005A629C" w:rsidP="005A629C">
      <w:pPr>
        <w:pStyle w:val="Hemstlatt"/>
      </w:pPr>
      <w:r w:rsidRPr="00C05B56">
        <w:t>Riksdagen tillkännager för regeringen som sin mening vad i motionen anförs om att utreda Domstolsverkets ställning och funktion för att åsta</w:t>
      </w:r>
      <w:r w:rsidRPr="00C05B56">
        <w:t>d</w:t>
      </w:r>
      <w:r w:rsidRPr="00C05B56">
        <w:t>komma ett mer oberoende domstolsväsende</w:t>
      </w:r>
      <w:r w:rsidR="0077420A" w:rsidRPr="00C05B56">
        <w:t>.</w:t>
      </w:r>
    </w:p>
    <w:p w:rsidR="00E14682" w:rsidRPr="00C05B56" w:rsidRDefault="005A629C" w:rsidP="00E14682">
      <w:pPr>
        <w:pStyle w:val="Hemstlatt"/>
      </w:pPr>
      <w:r w:rsidRPr="00C05B56">
        <w:t>Riksdagen tillkännager för regeringen som sin mening vad i motionen anförs om ett öppnare förfarande vid tillsättningen av domare</w:t>
      </w:r>
      <w:r w:rsidR="0077420A" w:rsidRPr="00C05B56">
        <w:t>.</w:t>
      </w:r>
      <w:r w:rsidRPr="00C05B56">
        <w:t xml:space="preserve"> </w:t>
      </w:r>
    </w:p>
    <w:p w:rsidR="00E14682" w:rsidRPr="00C05B56" w:rsidRDefault="00E14682" w:rsidP="00E14682">
      <w:pPr>
        <w:pStyle w:val="Hemstlatt"/>
      </w:pPr>
      <w:r w:rsidRPr="00C05B56">
        <w:t xml:space="preserve">Riksdagen tillkännager för regeringen som sin mening vad i motionen anförs om att </w:t>
      </w:r>
      <w:r w:rsidR="00BE455C" w:rsidRPr="00C05B56">
        <w:t xml:space="preserve">värna rätten till prövning i två instanser och att </w:t>
      </w:r>
      <w:r w:rsidR="0050616D" w:rsidRPr="00C05B56">
        <w:t xml:space="preserve">inom en snar framtid </w:t>
      </w:r>
      <w:r w:rsidR="008D4248" w:rsidRPr="00C05B56">
        <w:t xml:space="preserve">noggrant följa upp och utvärdera </w:t>
      </w:r>
      <w:r w:rsidRPr="00C05B56">
        <w:t>hur hovrätterna tillämpa</w:t>
      </w:r>
      <w:r w:rsidR="004323E9" w:rsidRPr="00C05B56">
        <w:t>r</w:t>
      </w:r>
      <w:r w:rsidRPr="00C05B56">
        <w:t xml:space="preserve"> </w:t>
      </w:r>
      <w:r w:rsidR="004323E9" w:rsidRPr="00C05B56">
        <w:t xml:space="preserve">de nya </w:t>
      </w:r>
      <w:r w:rsidRPr="00C05B56">
        <w:t>v</w:t>
      </w:r>
      <w:r w:rsidR="008D4248" w:rsidRPr="00C05B56">
        <w:t>illkoren för prövningstillstånd.</w:t>
      </w:r>
      <w:r w:rsidRPr="00C05B56">
        <w:t xml:space="preserve"> </w:t>
      </w:r>
    </w:p>
    <w:p w:rsidR="005A629C" w:rsidRPr="00C05B56" w:rsidRDefault="005A629C" w:rsidP="005A629C">
      <w:pPr>
        <w:pStyle w:val="Hemstlatt"/>
      </w:pPr>
      <w:r w:rsidRPr="00C05B56">
        <w:t>Riksdagen tillkännager för regeringen som sin mening vad i motionen anförs om en utredning gällande en enda högsta domstolsinstans</w:t>
      </w:r>
      <w:r w:rsidR="0077420A" w:rsidRPr="00C05B56">
        <w:t>.</w:t>
      </w:r>
      <w:r w:rsidRPr="00C05B56">
        <w:t xml:space="preserve"> </w:t>
      </w:r>
    </w:p>
    <w:p w:rsidR="005A629C" w:rsidRPr="00C05B56" w:rsidRDefault="005A629C" w:rsidP="005A629C">
      <w:pPr>
        <w:pStyle w:val="Hemstlatt"/>
      </w:pPr>
      <w:r w:rsidRPr="00C05B56">
        <w:t>Riksdagen tillkännager för regeringen som sin mening vad i motionen anförs om att avskaffa de partssammansatta domstolarna</w:t>
      </w:r>
      <w:r w:rsidR="0077420A" w:rsidRPr="00C05B56">
        <w:t>.</w:t>
      </w:r>
      <w:r w:rsidRPr="00C05B56">
        <w:t xml:space="preserve"> </w:t>
      </w:r>
    </w:p>
    <w:p w:rsidR="005A629C" w:rsidRPr="00C05B56" w:rsidRDefault="005A629C" w:rsidP="005A629C">
      <w:pPr>
        <w:pStyle w:val="Hemstlatt"/>
      </w:pPr>
      <w:r w:rsidRPr="00C05B56">
        <w:t>Riksdagen tillkännager för regeringen som sin mening vad i motionen anförs om vittnesstödssamordnare och vittnesstödsrum</w:t>
      </w:r>
      <w:r w:rsidR="0077420A" w:rsidRPr="00C05B56">
        <w:t>.</w:t>
      </w:r>
      <w:r w:rsidRPr="00C05B56">
        <w:t xml:space="preserve"> </w:t>
      </w:r>
    </w:p>
    <w:p w:rsidR="005A629C" w:rsidRPr="00C05B56" w:rsidRDefault="005A629C" w:rsidP="005A629C">
      <w:pPr>
        <w:pStyle w:val="Hemstlatt"/>
      </w:pPr>
      <w:r w:rsidRPr="00C05B56">
        <w:t>Riksdagen tillkännager för regeringen som sin mening vad i motionen anförs om säkerheten i domstolarna</w:t>
      </w:r>
      <w:r w:rsidR="0077420A" w:rsidRPr="00C05B56">
        <w:t>.</w:t>
      </w:r>
    </w:p>
    <w:p w:rsidR="005A629C" w:rsidRPr="00C05B56" w:rsidRDefault="005A629C" w:rsidP="005A629C">
      <w:pPr>
        <w:pStyle w:val="Hemstlatt"/>
      </w:pPr>
      <w:r w:rsidRPr="00C05B56">
        <w:t xml:space="preserve">Riksdagen tillkännager för regeringen som sin mening vad i motionen anförs om brottsregisterkontroll </w:t>
      </w:r>
      <w:r w:rsidR="005820E8" w:rsidRPr="00C05B56">
        <w:t>av</w:t>
      </w:r>
      <w:r w:rsidRPr="00C05B56">
        <w:t xml:space="preserve"> domstolsanställda</w:t>
      </w:r>
      <w:r w:rsidR="001421B2" w:rsidRPr="00C05B56">
        <w:t>.</w:t>
      </w:r>
      <w:r w:rsidRPr="00C05B56">
        <w:t xml:space="preserve"> </w:t>
      </w:r>
    </w:p>
    <w:p w:rsidR="005A629C" w:rsidRPr="00C05B56" w:rsidRDefault="005A629C" w:rsidP="005A629C">
      <w:pPr>
        <w:pStyle w:val="Hemstlatt"/>
      </w:pPr>
      <w:r w:rsidRPr="00C05B56">
        <w:t>Riksdagen tillkännager för regeringen som sin mening vad i motionen anförs om ersättningsnivåer för nämndemän</w:t>
      </w:r>
      <w:r w:rsidR="001421B2" w:rsidRPr="00C05B56">
        <w:t>.</w:t>
      </w:r>
    </w:p>
    <w:p w:rsidR="005A629C" w:rsidRPr="00C05B56" w:rsidRDefault="005A629C" w:rsidP="005A629C">
      <w:pPr>
        <w:pStyle w:val="Hemstlatt"/>
      </w:pPr>
      <w:r w:rsidRPr="00C05B56">
        <w:t>Riksdagen tillkännager för regeringen som sin mening vad i motionen anförs om ökad specialisering inom åklagarväsendet</w:t>
      </w:r>
      <w:r w:rsidR="001421B2" w:rsidRPr="00C05B56">
        <w:t>.</w:t>
      </w:r>
      <w:r w:rsidRPr="00C05B56">
        <w:t xml:space="preserve"> </w:t>
      </w:r>
    </w:p>
    <w:p w:rsidR="005A629C" w:rsidRPr="00C05B56" w:rsidRDefault="005A629C" w:rsidP="005A629C">
      <w:pPr>
        <w:pStyle w:val="Hemstlatt"/>
      </w:pPr>
      <w:r w:rsidRPr="00C05B56">
        <w:t>Riksdagen tillkännager för regeringen som sin mening vad i motionen anförs om fler särskilda samverkande enheter med åklagare och poliser</w:t>
      </w:r>
      <w:r w:rsidR="001421B2" w:rsidRPr="00C05B56">
        <w:t>.</w:t>
      </w:r>
      <w:r w:rsidRPr="00C05B56">
        <w:t xml:space="preserve"> </w:t>
      </w:r>
    </w:p>
    <w:p w:rsidR="00371239" w:rsidRPr="00C05B56" w:rsidRDefault="00371239" w:rsidP="00371239">
      <w:pPr>
        <w:pStyle w:val="Hemstlatt"/>
      </w:pPr>
      <w:r w:rsidRPr="00C05B56">
        <w:t xml:space="preserve">Riksdagen tillkännager för regeringen som sin mening vad i motionen anförs om </w:t>
      </w:r>
      <w:r w:rsidR="00297920" w:rsidRPr="00C05B56">
        <w:t xml:space="preserve">oberoende tillsyn </w:t>
      </w:r>
      <w:r w:rsidR="00FF51B0" w:rsidRPr="00C05B56">
        <w:t>gällande</w:t>
      </w:r>
      <w:r w:rsidR="00297920" w:rsidRPr="00C05B56">
        <w:t xml:space="preserve"> åklagar</w:t>
      </w:r>
      <w:r w:rsidR="00FF51B0" w:rsidRPr="00C05B56">
        <w:t>- och polis</w:t>
      </w:r>
      <w:r w:rsidR="00297920" w:rsidRPr="00C05B56">
        <w:t xml:space="preserve">väsendet. </w:t>
      </w:r>
    </w:p>
    <w:p w:rsidR="005A629C" w:rsidRPr="00C05B56" w:rsidRDefault="005A629C" w:rsidP="005A629C">
      <w:pPr>
        <w:pStyle w:val="Hemstlatt"/>
      </w:pPr>
      <w:r w:rsidRPr="00C05B56">
        <w:t xml:space="preserve">Riksdagen tillkännager för regeringen som sin mening vad i motionen anförs om att avskaffa </w:t>
      </w:r>
      <w:r w:rsidR="00F00EEA" w:rsidRPr="00C05B56">
        <w:t>Ekobrottsmyndigheten</w:t>
      </w:r>
      <w:r w:rsidR="001421B2" w:rsidRPr="00C05B56">
        <w:t>.</w:t>
      </w:r>
      <w:r w:rsidRPr="00C05B56">
        <w:t xml:space="preserve"> </w:t>
      </w:r>
    </w:p>
    <w:p w:rsidR="005A629C" w:rsidRPr="00C05B56" w:rsidRDefault="005A629C" w:rsidP="005A629C">
      <w:pPr>
        <w:pStyle w:val="Hemstlatt"/>
      </w:pPr>
      <w:r w:rsidRPr="00C05B56">
        <w:t>Riksdagen tillkännager för regeringen som sin mening vad i motionen anförs om intensifierat internationellt åklagarsamarbete.</w:t>
      </w:r>
    </w:p>
    <w:p w:rsidR="005A629C" w:rsidRPr="00C05B56" w:rsidRDefault="005A629C" w:rsidP="005A629C">
      <w:pPr>
        <w:pStyle w:val="Normaltindrag"/>
      </w:pPr>
    </w:p>
    <w:p w:rsidR="005A629C" w:rsidRPr="00C05B56" w:rsidRDefault="005A629C" w:rsidP="005A629C"/>
    <w:p w:rsidR="00750038" w:rsidRPr="00C05B56" w:rsidRDefault="00750038" w:rsidP="00750038">
      <w:pPr>
        <w:pStyle w:val="Rubrik1"/>
      </w:pPr>
      <w:bookmarkStart w:id="2" w:name="_Toc84235929"/>
      <w:bookmarkStart w:id="3" w:name="_Toc117071534"/>
      <w:r w:rsidRPr="00C05B56">
        <w:t>Domstolsväsendet – en central del av den svenska rättsstaten</w:t>
      </w:r>
      <w:bookmarkEnd w:id="3"/>
    </w:p>
    <w:p w:rsidR="0014514C" w:rsidRPr="00C05B56" w:rsidRDefault="00750038" w:rsidP="0014514C">
      <w:r w:rsidRPr="00C05B56">
        <w:t xml:space="preserve">Ett starkt, oberoende och rättssäkert domstolsväsendet utgör en central del </w:t>
      </w:r>
      <w:r w:rsidR="00B561C8" w:rsidRPr="00C05B56">
        <w:t>av</w:t>
      </w:r>
      <w:r w:rsidRPr="00C05B56">
        <w:t xml:space="preserve"> en rättsstat. </w:t>
      </w:r>
      <w:r w:rsidR="00B561C8" w:rsidRPr="00C05B56">
        <w:t xml:space="preserve">Sverige har en kompetent och engagerad domarkår </w:t>
      </w:r>
      <w:r w:rsidR="00C15B32" w:rsidRPr="00C05B56">
        <w:t xml:space="preserve">som </w:t>
      </w:r>
      <w:r w:rsidR="00FD5C38" w:rsidRPr="00C05B56">
        <w:t xml:space="preserve">dock tvingas </w:t>
      </w:r>
      <w:r w:rsidR="00C15B32" w:rsidRPr="00C05B56">
        <w:t xml:space="preserve">arbeta under hårt tryck </w:t>
      </w:r>
      <w:r w:rsidR="00FD5C38" w:rsidRPr="00C05B56">
        <w:t xml:space="preserve">och </w:t>
      </w:r>
      <w:r w:rsidR="00FC6E23" w:rsidRPr="00C05B56">
        <w:t>ansträngd ekonomi</w:t>
      </w:r>
      <w:r w:rsidR="00571B55" w:rsidRPr="00C05B56">
        <w:t xml:space="preserve"> efter elva år av socia</w:t>
      </w:r>
      <w:r w:rsidR="00571B55" w:rsidRPr="00C05B56">
        <w:t>l</w:t>
      </w:r>
      <w:r w:rsidR="00571B55" w:rsidRPr="00C05B56">
        <w:t>demokratiskt styre</w:t>
      </w:r>
      <w:r w:rsidR="00FC6E23" w:rsidRPr="00C05B56">
        <w:t xml:space="preserve">. </w:t>
      </w:r>
      <w:r w:rsidR="00A02A7B" w:rsidRPr="00C05B56">
        <w:t>Fo</w:t>
      </w:r>
      <w:r w:rsidR="00465AB2" w:rsidRPr="00C05B56">
        <w:t xml:space="preserve">lkpartiet liberalerna anser det vara av särskild vikt att det svenska domstolsväsendet ges </w:t>
      </w:r>
      <w:r w:rsidR="00950DC7" w:rsidRPr="00C05B56">
        <w:t xml:space="preserve">realistiska förutsättningar att arbeta </w:t>
      </w:r>
      <w:r w:rsidR="00B864CD" w:rsidRPr="00C05B56">
        <w:t>ober</w:t>
      </w:r>
      <w:r w:rsidR="00B864CD" w:rsidRPr="00C05B56">
        <w:t>o</w:t>
      </w:r>
      <w:r w:rsidR="00B864CD" w:rsidRPr="00C05B56">
        <w:t xml:space="preserve">ende, </w:t>
      </w:r>
      <w:r w:rsidR="00950DC7" w:rsidRPr="00C05B56">
        <w:t>effektivt</w:t>
      </w:r>
      <w:r w:rsidR="00B864CD" w:rsidRPr="00C05B56">
        <w:t xml:space="preserve"> och rättssäkert. </w:t>
      </w:r>
      <w:r w:rsidR="00DE58AF" w:rsidRPr="00C05B56">
        <w:t xml:space="preserve">Inom </w:t>
      </w:r>
      <w:r w:rsidR="00F04FF8" w:rsidRPr="00C05B56">
        <w:t xml:space="preserve">det borgerliga samarbetet, </w:t>
      </w:r>
      <w:r w:rsidR="00DE58AF" w:rsidRPr="00C05B56">
        <w:t>Allians för Sverige</w:t>
      </w:r>
      <w:r w:rsidR="00F04FF8" w:rsidRPr="00C05B56">
        <w:t>,</w:t>
      </w:r>
      <w:r w:rsidR="00DE58AF" w:rsidRPr="00C05B56">
        <w:t xml:space="preserve"> </w:t>
      </w:r>
      <w:r w:rsidR="00F04FF8" w:rsidRPr="00C05B56">
        <w:t xml:space="preserve">lyfter vi fram en rad förslag </w:t>
      </w:r>
      <w:r w:rsidR="00E356C6" w:rsidRPr="00C05B56">
        <w:t>för att stärk</w:t>
      </w:r>
      <w:r w:rsidR="001110C6" w:rsidRPr="00C05B56">
        <w:t xml:space="preserve">a det svenska </w:t>
      </w:r>
      <w:r w:rsidR="003C2171" w:rsidRPr="00C05B56">
        <w:t>domstols</w:t>
      </w:r>
      <w:r w:rsidR="001110C6" w:rsidRPr="00C05B56">
        <w:t>v</w:t>
      </w:r>
      <w:r w:rsidR="001110C6" w:rsidRPr="00C05B56">
        <w:t>ä</w:t>
      </w:r>
      <w:r w:rsidR="001110C6" w:rsidRPr="00C05B56">
        <w:t>sendet. Vi vill bland annat tillsätta en parlamentarisk utredning om den fra</w:t>
      </w:r>
      <w:r w:rsidR="001110C6" w:rsidRPr="00C05B56">
        <w:t>m</w:t>
      </w:r>
      <w:r w:rsidR="001110C6" w:rsidRPr="00C05B56">
        <w:t xml:space="preserve">tida domstolsorganisationen, </w:t>
      </w:r>
      <w:r w:rsidR="00006021" w:rsidRPr="00C05B56">
        <w:t>avbryta sammanslagningarna och nedläggnin</w:t>
      </w:r>
      <w:r w:rsidR="00006021" w:rsidRPr="00C05B56">
        <w:t>g</w:t>
      </w:r>
      <w:r w:rsidR="00006021" w:rsidRPr="00C05B56">
        <w:t xml:space="preserve">arna av tingsrätter runt om i landet, säkerställa </w:t>
      </w:r>
      <w:r w:rsidR="0014514C" w:rsidRPr="00C05B56">
        <w:t>att domstolslokalerna har sä</w:t>
      </w:r>
      <w:r w:rsidR="002F5C5A" w:rsidRPr="00C05B56">
        <w:t>r</w:t>
      </w:r>
      <w:r w:rsidR="002F5C5A" w:rsidRPr="00C05B56">
        <w:t>skil</w:t>
      </w:r>
      <w:r w:rsidR="00F04FF8" w:rsidRPr="00C05B56">
        <w:t>da</w:t>
      </w:r>
      <w:r w:rsidR="002F5C5A" w:rsidRPr="00C05B56">
        <w:t xml:space="preserve"> inrättade </w:t>
      </w:r>
      <w:r w:rsidR="00F04FF8" w:rsidRPr="00C05B56">
        <w:t>lokaler för vittnen och brottsoffer</w:t>
      </w:r>
      <w:r w:rsidR="002F5C5A" w:rsidRPr="00C05B56">
        <w:t xml:space="preserve"> samt garantera domstola</w:t>
      </w:r>
      <w:r w:rsidR="002F5C5A" w:rsidRPr="00C05B56">
        <w:t>r</w:t>
      </w:r>
      <w:r w:rsidR="002F5C5A" w:rsidRPr="00C05B56">
        <w:t xml:space="preserve">nas oberoende genom </w:t>
      </w:r>
      <w:r w:rsidR="00EF101E" w:rsidRPr="00C05B56">
        <w:t xml:space="preserve">att </w:t>
      </w:r>
      <w:r w:rsidR="00BF1698" w:rsidRPr="00C05B56">
        <w:t xml:space="preserve">Domstolsverket </w:t>
      </w:r>
      <w:r w:rsidR="00EF101E" w:rsidRPr="00C05B56">
        <w:t>skall vara fristående från regerin</w:t>
      </w:r>
      <w:r w:rsidR="00EF101E" w:rsidRPr="00C05B56">
        <w:t>g</w:t>
      </w:r>
      <w:r w:rsidR="00EF101E" w:rsidRPr="00C05B56">
        <w:t>en</w:t>
      </w:r>
      <w:r w:rsidR="00833A32" w:rsidRPr="00C05B56">
        <w:t xml:space="preserve">. </w:t>
      </w:r>
      <w:r w:rsidR="00283564" w:rsidRPr="00C05B56">
        <w:t>Vi är också överens om att domarnas lönesättning inte ska göras om till ett individue</w:t>
      </w:r>
      <w:r w:rsidR="00F12183" w:rsidRPr="00C05B56">
        <w:t xml:space="preserve">llt prestationsbaserat system, vilket vi menar </w:t>
      </w:r>
      <w:r w:rsidR="00283564" w:rsidRPr="00C05B56">
        <w:t>skulle kunna äventyra rättssäkerheten.</w:t>
      </w:r>
    </w:p>
    <w:p w:rsidR="005A629C" w:rsidRPr="00C05B56" w:rsidRDefault="005A629C" w:rsidP="005A629C">
      <w:pPr>
        <w:pStyle w:val="Rubrik1"/>
      </w:pPr>
      <w:bookmarkStart w:id="4" w:name="_Toc117071535"/>
      <w:r w:rsidRPr="00C05B56">
        <w:t>Reformeringen av tingsrättsorganisationen</w:t>
      </w:r>
      <w:bookmarkEnd w:id="2"/>
      <w:bookmarkEnd w:id="4"/>
    </w:p>
    <w:p w:rsidR="005A629C" w:rsidRPr="00C05B56" w:rsidRDefault="005A629C" w:rsidP="00C55742">
      <w:pPr>
        <w:pStyle w:val="Rubrik2"/>
        <w:numPr>
          <w:ilvl w:val="1"/>
          <w:numId w:val="0"/>
        </w:numPr>
        <w:spacing w:before="120"/>
      </w:pPr>
      <w:bookmarkStart w:id="5" w:name="_Toc84235930"/>
      <w:bookmarkStart w:id="6" w:name="_Toc117071536"/>
      <w:r w:rsidRPr="00C05B56">
        <w:t>Bakgrund</w:t>
      </w:r>
      <w:bookmarkEnd w:id="5"/>
      <w:bookmarkEnd w:id="6"/>
    </w:p>
    <w:p w:rsidR="005A629C" w:rsidRPr="00C05B56" w:rsidRDefault="00641467" w:rsidP="00C55742">
      <w:r w:rsidRPr="00C05B56">
        <w:t xml:space="preserve">Efter det att arbetet i </w:t>
      </w:r>
      <w:r w:rsidR="005A629C" w:rsidRPr="00C05B56">
        <w:t>1995 års Domstolskommitté om förslag till en ny org</w:t>
      </w:r>
      <w:r w:rsidR="005A629C" w:rsidRPr="00C05B56">
        <w:t>a</w:t>
      </w:r>
      <w:r w:rsidR="005A629C" w:rsidRPr="00C05B56">
        <w:t>nisation för domstolsväsendet havererat 1998, påbörjade regeringen en su</w:t>
      </w:r>
      <w:r w:rsidR="005A629C" w:rsidRPr="00C05B56">
        <w:t>c</w:t>
      </w:r>
      <w:r w:rsidR="005A629C" w:rsidRPr="00C05B56">
        <w:t>cessiv reformering av den yttre tingsrättsorganisationen. Ett led i denna r</w:t>
      </w:r>
      <w:r w:rsidR="005A629C" w:rsidRPr="00C05B56">
        <w:t>e</w:t>
      </w:r>
      <w:r w:rsidR="005A629C" w:rsidRPr="00C05B56">
        <w:t>form var att genom nedläggningar och sammanläggningar av tingsrätter skapa större domstolar. Ett annat led var att samlokalisera tingsrätter med länsrätter och att även göra dessa till en enda administrativ enhet, bl.a. genom att ha samma chef.</w:t>
      </w:r>
    </w:p>
    <w:p w:rsidR="005A629C" w:rsidRPr="00C05B56" w:rsidRDefault="00BF1698" w:rsidP="005A629C">
      <w:pPr>
        <w:pStyle w:val="Normaltindrag"/>
      </w:pPr>
      <w:r w:rsidRPr="00C05B56">
        <w:t>Under åren 1999–</w:t>
      </w:r>
      <w:r w:rsidR="005A629C" w:rsidRPr="00C05B56">
        <w:t>2001 genomfördes omfattande sammanläggningar av tingsrätter runt om i Sverige, liksom under 2002 och 2003. I betänkandet ”Förändringar i tingsrättsorganisationen, en utvärdering av sammanläggnin</w:t>
      </w:r>
      <w:r w:rsidR="005A629C" w:rsidRPr="00C05B56">
        <w:t>g</w:t>
      </w:r>
      <w:r w:rsidR="005A629C" w:rsidRPr="00C05B56">
        <w:t>ar av tingsrätter 1999-</w:t>
      </w:r>
      <w:smartTag w:uri="urn:schemas-microsoft-com:office:smarttags" w:element="place">
        <w:smartTagPr>
          <w:attr w:name="ProductID" w:val="2001”"/>
        </w:smartTagPr>
        <w:smartTag w:uri="urn:schemas-microsoft-com:office:smarttags" w:element="metricconverter">
          <w:smartTagPr>
            <w:attr w:name="ProductID" w:val="2001”"/>
          </w:smartTagPr>
          <w:r w:rsidR="005A629C" w:rsidRPr="00C05B56">
            <w:t>2001”</w:t>
          </w:r>
        </w:smartTag>
      </w:smartTag>
      <w:r w:rsidR="005A629C" w:rsidRPr="00C05B56">
        <w:t xml:space="preserve"> (SOU 2003:5), sammanfattade utredaren sina synpunkter med att uttala att arbetet med att öka storleken på tingsrätterna och därmed skapa mindre sårbara tingsrätter bör fortsätta, även om de mål som regeringen har satt upp endast delvis hade uppfyllts. </w:t>
      </w:r>
    </w:p>
    <w:p w:rsidR="005A629C" w:rsidRPr="00C05B56" w:rsidRDefault="005A629C" w:rsidP="005A629C">
      <w:pPr>
        <w:pStyle w:val="Normaltindrag"/>
      </w:pPr>
      <w:r w:rsidRPr="00C05B56">
        <w:t xml:space="preserve">Generaldirektören för Domstolsverket </w:t>
      </w:r>
      <w:r w:rsidR="00015362" w:rsidRPr="00C05B56">
        <w:t>kom,</w:t>
      </w:r>
      <w:r w:rsidRPr="00C05B56">
        <w:t xml:space="preserve"> i en skiss över ett reformerat domstolsväsende (PM den 22/8 2003)</w:t>
      </w:r>
      <w:r w:rsidR="00015362" w:rsidRPr="00C05B56">
        <w:t>,</w:t>
      </w:r>
      <w:r w:rsidRPr="00C05B56">
        <w:t xml:space="preserve"> fram till en domstolsorganisation med 37 underrätter, sex överrätter och en högsta domstol. Förutom de massiva sammanslagningarna av tingsrätter innehåller skissen en sammanslagning av de allmänna domstolarna med förvaltningsdomstolarna, integrering av hyres- och arrendenämnderna, ett mindre antal överrätter och förslag om hur prö</w:t>
      </w:r>
      <w:r w:rsidRPr="00C05B56">
        <w:t>v</w:t>
      </w:r>
      <w:r w:rsidRPr="00C05B56">
        <w:t>ningarna i andra instans ytterligare skall begränsas. Denna skiss från Do</w:t>
      </w:r>
      <w:r w:rsidRPr="00C05B56">
        <w:t>m</w:t>
      </w:r>
      <w:r w:rsidRPr="00C05B56">
        <w:t>stolsverket verkar ha tillkommit i huvudsak av ekonomiska skäl och antaga</w:t>
      </w:r>
      <w:r w:rsidRPr="00C05B56">
        <w:t>n</w:t>
      </w:r>
      <w:r w:rsidRPr="00C05B56">
        <w:t xml:space="preserve">den om att rättsväsendet inte kommer att tillföras </w:t>
      </w:r>
      <w:r w:rsidR="00405F9A" w:rsidRPr="00C05B56">
        <w:t>tillräckliga</w:t>
      </w:r>
      <w:r w:rsidRPr="00C05B56">
        <w:t xml:space="preserve"> resurser. Det kan också noteras att Domstolsverket är väl medveten om att några samlade öve</w:t>
      </w:r>
      <w:r w:rsidRPr="00C05B56">
        <w:t>r</w:t>
      </w:r>
      <w:r w:rsidRPr="00C05B56">
        <w:t>väganden av reformarbetet inte har gjorts, beroende på att detta – som Do</w:t>
      </w:r>
      <w:r w:rsidRPr="00C05B56">
        <w:t>m</w:t>
      </w:r>
      <w:r w:rsidRPr="00C05B56">
        <w:t>st</w:t>
      </w:r>
      <w:r w:rsidR="00405F9A" w:rsidRPr="00C05B56">
        <w:t xml:space="preserve">olsverket uttrycker sig </w:t>
      </w:r>
      <w:r w:rsidR="00BF1698" w:rsidRPr="00C05B56">
        <w:t>–</w:t>
      </w:r>
      <w:r w:rsidR="00405F9A" w:rsidRPr="00C05B56">
        <w:t xml:space="preserve"> </w:t>
      </w:r>
      <w:r w:rsidRPr="00C05B56">
        <w:t>tett sig meningslöst med hänsyn till det hårdnack</w:t>
      </w:r>
      <w:r w:rsidRPr="00C05B56">
        <w:t>a</w:t>
      </w:r>
      <w:r w:rsidRPr="00C05B56">
        <w:t>de motstånd till reformer som finns i den politiska världen. Ändå kom Do</w:t>
      </w:r>
      <w:r w:rsidRPr="00C05B56">
        <w:t>m</w:t>
      </w:r>
      <w:r w:rsidRPr="00C05B56">
        <w:t>stolsverket till slutsatsen att planen för den fortsatta organisatoriska reform</w:t>
      </w:r>
      <w:r w:rsidRPr="00C05B56">
        <w:t>e</w:t>
      </w:r>
      <w:r w:rsidRPr="00C05B56">
        <w:t>ringen av domstolsväsendet borde läggas fast.</w:t>
      </w:r>
    </w:p>
    <w:p w:rsidR="005A629C" w:rsidRPr="00C05B56" w:rsidRDefault="005A629C" w:rsidP="005A629C">
      <w:pPr>
        <w:pStyle w:val="Rubrik2"/>
      </w:pPr>
      <w:bookmarkStart w:id="7" w:name="_Toc84235931"/>
      <w:bookmarkStart w:id="8" w:name="_Toc117071537"/>
      <w:r w:rsidRPr="00C05B56">
        <w:t>Avvakta med förändringar</w:t>
      </w:r>
      <w:r w:rsidR="00EE2B8E" w:rsidRPr="00C05B56">
        <w:t>na</w:t>
      </w:r>
      <w:r w:rsidRPr="00C05B56">
        <w:t xml:space="preserve"> i tingsrättsorganisationen</w:t>
      </w:r>
      <w:bookmarkEnd w:id="7"/>
      <w:bookmarkEnd w:id="8"/>
    </w:p>
    <w:p w:rsidR="005A629C" w:rsidRPr="00C05B56" w:rsidRDefault="005A629C" w:rsidP="005A629C">
      <w:r w:rsidRPr="00C05B56">
        <w:t xml:space="preserve">Folkpartiet liberalerna </w:t>
      </w:r>
      <w:r w:rsidR="00FD0EFE" w:rsidRPr="00C05B56">
        <w:t xml:space="preserve">har vid ett flertal tillfällen krävt att det genomförs </w:t>
      </w:r>
      <w:r w:rsidRPr="00C05B56">
        <w:t xml:space="preserve">en </w:t>
      </w:r>
      <w:r w:rsidR="00FD0EFE" w:rsidRPr="00C05B56">
        <w:t>samlad översyn av</w:t>
      </w:r>
      <w:r w:rsidRPr="00C05B56">
        <w:t xml:space="preserve"> domstolarnas och speciellt tingsrätternas framtida organ</w:t>
      </w:r>
      <w:r w:rsidRPr="00C05B56">
        <w:t>i</w:t>
      </w:r>
      <w:r w:rsidRPr="00C05B56">
        <w:t xml:space="preserve">sation. De förslag till – enligt vår mening </w:t>
      </w:r>
      <w:r w:rsidR="00BF1698" w:rsidRPr="00C05B56">
        <w:t>–</w:t>
      </w:r>
      <w:r w:rsidRPr="00C05B56">
        <w:t xml:space="preserve"> godtyckliga nedläggningar och sammanslagningar av tingsrätter som regeringen har presenterat är inte til</w:t>
      </w:r>
      <w:r w:rsidRPr="00C05B56">
        <w:t>l</w:t>
      </w:r>
      <w:r w:rsidRPr="00C05B56">
        <w:t>fredsställande. Vi kan konstatera att de av regeringen uppställda målen med bibehållen tillgänglighet och utrymme för en beredningsorganisation, speci</w:t>
      </w:r>
      <w:r w:rsidRPr="00C05B56">
        <w:t>a</w:t>
      </w:r>
      <w:r w:rsidRPr="00C05B56">
        <w:t>lisering, rekrytering och kompetensutveckling samt samordning med rättsv</w:t>
      </w:r>
      <w:r w:rsidRPr="00C05B56">
        <w:t>ä</w:t>
      </w:r>
      <w:r w:rsidRPr="00C05B56">
        <w:t xml:space="preserve">sendets övriga myndigheter hittills endast delvis uppnåtts. De </w:t>
      </w:r>
      <w:r w:rsidR="006969AF" w:rsidRPr="00C05B56">
        <w:t>har</w:t>
      </w:r>
      <w:r w:rsidRPr="00C05B56">
        <w:t xml:space="preserve"> därför inte utg</w:t>
      </w:r>
      <w:r w:rsidR="006969AF" w:rsidRPr="00C05B56">
        <w:t>jort</w:t>
      </w:r>
      <w:r w:rsidRPr="00C05B56">
        <w:t xml:space="preserve"> tillräckliga skäl för de sammanslagningar och nedläggningar av ting</w:t>
      </w:r>
      <w:r w:rsidRPr="00C05B56">
        <w:t>s</w:t>
      </w:r>
      <w:r w:rsidRPr="00C05B56">
        <w:t>rätter som regeringen genomför</w:t>
      </w:r>
      <w:r w:rsidR="00C303F2" w:rsidRPr="00C05B56">
        <w:t>t</w:t>
      </w:r>
      <w:r w:rsidRPr="00C05B56">
        <w:t xml:space="preserve">. </w:t>
      </w:r>
    </w:p>
    <w:p w:rsidR="005A629C" w:rsidRPr="00C05B56" w:rsidRDefault="005A629C" w:rsidP="00C55742">
      <w:pPr>
        <w:pStyle w:val="Normaltindrag"/>
      </w:pPr>
      <w:r w:rsidRPr="00C05B56">
        <w:t>Folkpartiet liberalerna menar att en reformering av tingsrättsorganisationen är angelägen – både gällande lokalisering med eventuella sammanslagningar som följd och avseende den inre organisationen med rekrytering, kompeten</w:t>
      </w:r>
      <w:r w:rsidRPr="00C05B56">
        <w:t>s</w:t>
      </w:r>
      <w:r w:rsidRPr="00C05B56">
        <w:t xml:space="preserve">utveckling och specialisering. </w:t>
      </w:r>
    </w:p>
    <w:p w:rsidR="005A629C" w:rsidRPr="00C05B56" w:rsidRDefault="005A629C" w:rsidP="005A629C">
      <w:pPr>
        <w:pStyle w:val="Normaltindrag"/>
      </w:pPr>
      <w:r w:rsidRPr="00C05B56">
        <w:t xml:space="preserve">Tillgängligheten för medborgarna – oavsett om dessa bor i en region med långa eller korta avstånd – är central. Medborgarna måste ha tillgång till en domstol i den region de bor i eller i en närliggande region. Tillgängligheten till åklagare, polis och häkten på ett rimligt avstånd borgar för en </w:t>
      </w:r>
      <w:r w:rsidR="00CD79EB" w:rsidRPr="00C05B56">
        <w:t>bättre helhet genom</w:t>
      </w:r>
      <w:r w:rsidRPr="00C05B56">
        <w:t xml:space="preserve"> rättskedjan. Detta förutsätter samordning mellan tingsrätternas, åkl</w:t>
      </w:r>
      <w:r w:rsidRPr="00C05B56">
        <w:t>a</w:t>
      </w:r>
      <w:r w:rsidRPr="00C05B56">
        <w:t>garmyndigheternas och polismyndigheternas geografiska ansvarsområden. Utökad samverkan mellan de rättsvårdande myndigheterna är viktigt för e</w:t>
      </w:r>
      <w:r w:rsidRPr="00C05B56">
        <w:t>f</w:t>
      </w:r>
      <w:r w:rsidRPr="00C05B56">
        <w:t>fektiviteten i hela rättskedjan. Folkpartiet liberalerna anser inte att regeringens form för reformering av tingsrättsorganisationen tillgodoser tillgängligheten för medborgarna och det saknas en heltäckande analys av hur reformen p</w:t>
      </w:r>
      <w:r w:rsidRPr="00C05B56">
        <w:t>å</w:t>
      </w:r>
      <w:r w:rsidRPr="00C05B56">
        <w:t xml:space="preserve">verkar medborgarna i de orter som berörs. </w:t>
      </w:r>
    </w:p>
    <w:p w:rsidR="005A629C" w:rsidRPr="00C05B56" w:rsidRDefault="005A629C" w:rsidP="00C55742">
      <w:pPr>
        <w:pStyle w:val="Normaltindrag"/>
      </w:pPr>
      <w:r w:rsidRPr="00C05B56">
        <w:t>Domstolsverkets planer om sammanslagningar av de allmänna domstola</w:t>
      </w:r>
      <w:r w:rsidRPr="00C05B56">
        <w:t>r</w:t>
      </w:r>
      <w:r w:rsidRPr="00C05B56">
        <w:t>na med förvaltningsdomstolarna kräver också noggranna överväganden li</w:t>
      </w:r>
      <w:r w:rsidRPr="00C05B56">
        <w:t>k</w:t>
      </w:r>
      <w:r w:rsidRPr="00C05B56">
        <w:t>som frågorna kring överrätternas framtida organisation. Om en sammansla</w:t>
      </w:r>
      <w:r w:rsidRPr="00C05B56">
        <w:t>g</w:t>
      </w:r>
      <w:r w:rsidRPr="00C05B56">
        <w:t>ning av de allmänna domstolarna skall göras med förvaltningsdomstolarna måste detta självfallet beaktas vid beslut om framtida lokaliseringar. Det kan inte vara en absolut förutsättning att detta skulle medföra en domstol i varje län utan den situationen kan mycket väl tänkas att en länsrätts nuvarande verksamhet delas upp och att det på så vis blir fördelaktigt med flera domst</w:t>
      </w:r>
      <w:r w:rsidRPr="00C05B56">
        <w:t>o</w:t>
      </w:r>
      <w:r w:rsidRPr="00C05B56">
        <w:t>lar i varje län. Med andra ord kan flera av de nedläggningshotade tingsrätte</w:t>
      </w:r>
      <w:r w:rsidRPr="00C05B56">
        <w:t>r</w:t>
      </w:r>
      <w:r w:rsidRPr="00C05B56">
        <w:t>na bli tillräckligt stora om de tillförs delar av länsrätternas nuvarande ver</w:t>
      </w:r>
      <w:r w:rsidRPr="00C05B56">
        <w:t>k</w:t>
      </w:r>
      <w:r w:rsidRPr="00C05B56">
        <w:t xml:space="preserve">samhet. </w:t>
      </w:r>
    </w:p>
    <w:p w:rsidR="005A629C" w:rsidRPr="00C05B56" w:rsidRDefault="005A629C" w:rsidP="005A629C">
      <w:pPr>
        <w:pStyle w:val="Normaltindrag"/>
      </w:pPr>
      <w:r w:rsidRPr="00C05B56">
        <w:t>Det är – som Domstolsverket själva ange</w:t>
      </w:r>
      <w:r w:rsidR="005E05E2" w:rsidRPr="00C05B56">
        <w:t>tt</w:t>
      </w:r>
      <w:r w:rsidRPr="00C05B56">
        <w:t xml:space="preserve"> </w:t>
      </w:r>
      <w:r w:rsidR="00BF1698" w:rsidRPr="00C05B56">
        <w:t>–</w:t>
      </w:r>
      <w:r w:rsidRPr="00C05B56">
        <w:t xml:space="preserve"> hög tid att skapa en helhet</w:t>
      </w:r>
      <w:r w:rsidRPr="00C05B56">
        <w:t>s</w:t>
      </w:r>
      <w:r w:rsidRPr="00C05B56">
        <w:t>syn på hela den framtida domstolsorganisationen. Någon sådan har dock varken Domstolsverket eller regeringen hittills presenterat.</w:t>
      </w:r>
    </w:p>
    <w:p w:rsidR="005A629C" w:rsidRPr="00C05B56" w:rsidRDefault="005A629C" w:rsidP="00C55742">
      <w:pPr>
        <w:pStyle w:val="Normaltindrag"/>
      </w:pPr>
      <w:r w:rsidRPr="00C05B56">
        <w:t>Det främsta målet för en reformering av domstolsorganisationen måste vara att inte bara bibehålla utan öka rättssäkerheten och effektiviteten i den dömande verksamheten. Detta kan uppnås genom att bibehålla en lokal fö</w:t>
      </w:r>
      <w:r w:rsidRPr="00C05B56">
        <w:t>r</w:t>
      </w:r>
      <w:r w:rsidRPr="00C05B56">
        <w:t>ankring och satsa tillgängliga resurser på att effektivisera det inre arbetet i domstolarna. Det går att skapa flexibla lösningar när det gäller domarkarri</w:t>
      </w:r>
      <w:r w:rsidRPr="00C05B56">
        <w:t>ä</w:t>
      </w:r>
      <w:r w:rsidRPr="00C05B56">
        <w:t>ren och att kompetensutveckla såväl domare som annan personal utan att skapa stora ohanterliga enheter. För att domstolspersonalen ska kunna verka effektivt och rättssäkert behöver de dock tydliga mål och långsiktighet. Pe</w:t>
      </w:r>
      <w:r w:rsidRPr="00C05B56">
        <w:t>r</w:t>
      </w:r>
      <w:r w:rsidRPr="00C05B56">
        <w:t>sonalen i domstolsorganisationen måste få tillgång till bra kompetensutvec</w:t>
      </w:r>
      <w:r w:rsidRPr="00C05B56">
        <w:t>k</w:t>
      </w:r>
      <w:r w:rsidRPr="00C05B56">
        <w:t>ling och en process mot ökad specialisering inom olika rättsområden bör ske för att u</w:t>
      </w:r>
      <w:r w:rsidRPr="00C05B56">
        <w:t>t</w:t>
      </w:r>
      <w:r w:rsidRPr="00C05B56">
        <w:t xml:space="preserve">veckla kompetensen hos domarkåren. Domarkarriären måste bli mer flexibel och attraktiv så att fler stannar kvar inom domstolsväsendet efter fullgjord notarietjänstgöring. </w:t>
      </w:r>
    </w:p>
    <w:p w:rsidR="00CE1C87" w:rsidRPr="00C05B56" w:rsidRDefault="005A629C" w:rsidP="005A629C">
      <w:pPr>
        <w:pStyle w:val="Normaltindrag"/>
      </w:pPr>
      <w:r w:rsidRPr="00C05B56">
        <w:t>Rekryteringen måste breddas så att fler personer från olika delar av sa</w:t>
      </w:r>
      <w:r w:rsidRPr="00C05B56">
        <w:t>m</w:t>
      </w:r>
      <w:r w:rsidRPr="00C05B56">
        <w:t>hället och med utländsk bakgrund anställs. Detta gäller också arbetet med jämställdhet – bland ordinarie domare och domstolschefer är männen fortf</w:t>
      </w:r>
      <w:r w:rsidRPr="00C05B56">
        <w:t>a</w:t>
      </w:r>
      <w:r w:rsidRPr="00C05B56">
        <w:t xml:space="preserve">rande i majoritet. </w:t>
      </w:r>
    </w:p>
    <w:p w:rsidR="005A629C" w:rsidRPr="00C05B56" w:rsidRDefault="005A629C" w:rsidP="005A629C">
      <w:pPr>
        <w:pStyle w:val="Normaltindrag"/>
      </w:pPr>
      <w:r w:rsidRPr="00C05B56">
        <w:t>Valet av nämndemän måste också på ett bättre sätt representera befol</w:t>
      </w:r>
      <w:r w:rsidRPr="00C05B56">
        <w:t>k</w:t>
      </w:r>
      <w:r w:rsidRPr="00C05B56">
        <w:t>ningen i landet. Domstolarnas personella sammansättning måste spegla det samhälle vi lever i, vilket är långt ifrån dagens situation i de svenska domst</w:t>
      </w:r>
      <w:r w:rsidRPr="00C05B56">
        <w:t>o</w:t>
      </w:r>
      <w:r w:rsidRPr="00C05B56">
        <w:t xml:space="preserve">larna. </w:t>
      </w:r>
    </w:p>
    <w:p w:rsidR="005A629C" w:rsidRPr="00C05B56" w:rsidRDefault="005A629C" w:rsidP="005A629C">
      <w:pPr>
        <w:pStyle w:val="Rubrik2"/>
      </w:pPr>
      <w:bookmarkStart w:id="9" w:name="_Toc84235932"/>
      <w:bookmarkStart w:id="10" w:name="_Toc117071538"/>
      <w:r w:rsidRPr="00C05B56">
        <w:t>Ekonomiska konsekvenser</w:t>
      </w:r>
      <w:bookmarkEnd w:id="9"/>
      <w:bookmarkEnd w:id="10"/>
      <w:r w:rsidRPr="00C05B56">
        <w:t xml:space="preserve"> </w:t>
      </w:r>
    </w:p>
    <w:p w:rsidR="005A629C" w:rsidRPr="00C05B56" w:rsidRDefault="005A629C" w:rsidP="005A629C">
      <w:r w:rsidRPr="00C05B56">
        <w:t xml:space="preserve">De förändringar i tingsrätts- och domstolsorganisationen som regeringen </w:t>
      </w:r>
      <w:r w:rsidR="00CD6644" w:rsidRPr="00C05B56">
        <w:t xml:space="preserve">fått </w:t>
      </w:r>
      <w:r w:rsidRPr="00C05B56">
        <w:t>i</w:t>
      </w:r>
      <w:r w:rsidR="00CD6644" w:rsidRPr="00C05B56">
        <w:t>genom tillsammans med sina stödpartier,</w:t>
      </w:r>
      <w:r w:rsidRPr="00C05B56">
        <w:t xml:space="preserve"> har inte innehållit någon redovi</w:t>
      </w:r>
      <w:r w:rsidRPr="00C05B56">
        <w:t>s</w:t>
      </w:r>
      <w:r w:rsidRPr="00C05B56">
        <w:t>ning av de ekonomiska konsekvenserna av åtgärderna. I skrivelsen 2002/03:126 föreslog regeringen exempelvis en ny organisation för tingsrä</w:t>
      </w:r>
      <w:r w:rsidRPr="00C05B56">
        <w:t>t</w:t>
      </w:r>
      <w:r w:rsidRPr="00C05B56">
        <w:t>terna i Stockholms län och gav samtidigt Domstolsverket i uppdrag att, u</w:t>
      </w:r>
      <w:r w:rsidRPr="00C05B56">
        <w:t>t</w:t>
      </w:r>
      <w:r w:rsidRPr="00C05B56">
        <w:t>ifrån en i skrivelsen angiven inriktning, lämna förslag till närmare lokalis</w:t>
      </w:r>
      <w:r w:rsidRPr="00C05B56">
        <w:t>e</w:t>
      </w:r>
      <w:r w:rsidRPr="00C05B56">
        <w:t>ring av och domkretsindelning för de tingsrätter som berörs av omorganis</w:t>
      </w:r>
      <w:r w:rsidRPr="00C05B56">
        <w:t>a</w:t>
      </w:r>
      <w:r w:rsidRPr="00C05B56">
        <w:t xml:space="preserve">tionen. Målsättningen </w:t>
      </w:r>
      <w:r w:rsidR="00CF1B05" w:rsidRPr="00C05B56">
        <w:t xml:space="preserve">är </w:t>
      </w:r>
      <w:r w:rsidRPr="00C05B56">
        <w:t>att förändringarna i tingsrättsorganisationen skall vara genomförd</w:t>
      </w:r>
      <w:r w:rsidR="00CF1B05" w:rsidRPr="00C05B56">
        <w:t>a</w:t>
      </w:r>
      <w:r w:rsidRPr="00C05B56">
        <w:t xml:space="preserve"> den 31 december 2005. I just</w:t>
      </w:r>
      <w:r w:rsidRPr="00C05B56">
        <w:t>i</w:t>
      </w:r>
      <w:r w:rsidRPr="00C05B56">
        <w:t>tieutskottets betänkande (2003/04:JuU4) över skrivelsen påpeka</w:t>
      </w:r>
      <w:r w:rsidR="00CF1B05" w:rsidRPr="00C05B56">
        <w:t>de</w:t>
      </w:r>
      <w:r w:rsidRPr="00C05B56">
        <w:t>s att ”Do</w:t>
      </w:r>
      <w:r w:rsidRPr="00C05B56">
        <w:t>m</w:t>
      </w:r>
      <w:r w:rsidRPr="00C05B56">
        <w:t xml:space="preserve">stolsverket gör ingen närmare analys eller bedömning av kostnaderna för lokaler m.m. i samband med att verket tar fram förslag till förändringar i tingsrättsorganisationen. Däremot följer verket i efterhand upp effekterna av förändringarna.” </w:t>
      </w:r>
    </w:p>
    <w:p w:rsidR="005A629C" w:rsidRPr="00C05B56" w:rsidRDefault="005A629C" w:rsidP="005A629C">
      <w:pPr>
        <w:pStyle w:val="Normaltindrag"/>
      </w:pPr>
      <w:r w:rsidRPr="00C05B56">
        <w:t xml:space="preserve">Folkpartiet liberalerna anser att de beräknade ekonomiska konsekvenserna av de genomgripande förändringar i tingsrättsorganisationen som regeringen föreslår noga </w:t>
      </w:r>
      <w:r w:rsidR="00A174A0" w:rsidRPr="00C05B56">
        <w:t xml:space="preserve">skulle ha </w:t>
      </w:r>
      <w:r w:rsidRPr="00C05B56">
        <w:t>redovisa</w:t>
      </w:r>
      <w:r w:rsidR="00A174A0" w:rsidRPr="00C05B56">
        <w:t>t</w:t>
      </w:r>
      <w:r w:rsidRPr="00C05B56">
        <w:t>s – innan förändringarna genomförs. Sa</w:t>
      </w:r>
      <w:r w:rsidRPr="00C05B56">
        <w:t>m</w:t>
      </w:r>
      <w:r w:rsidRPr="00C05B56">
        <w:t>manslagningarna av tingsrätterna medför rimligtvis kostnader för nya lokaler, ombyggnad av befintliga lokaler, dubbla lokalhyror under en övergångsper</w:t>
      </w:r>
      <w:r w:rsidRPr="00C05B56">
        <w:t>i</w:t>
      </w:r>
      <w:r w:rsidRPr="00C05B56">
        <w:t>od, flyttkostnader, kostnader för förlorad arbetstid och torde som helhet ta resurser från den dömande verksamheten. Kostnaderna för de planerade fö</w:t>
      </w:r>
      <w:r w:rsidRPr="00C05B56">
        <w:t>r</w:t>
      </w:r>
      <w:r w:rsidRPr="00C05B56">
        <w:t>ändringarna i form av nya domstolsbyggnader b</w:t>
      </w:r>
      <w:r w:rsidR="001B6BD5" w:rsidRPr="00C05B56">
        <w:t xml:space="preserve">orde </w:t>
      </w:r>
      <w:r w:rsidRPr="00C05B56">
        <w:t xml:space="preserve">granskas särskilt liksom naturligtvis även de kostnadsbesparingar som en omorganisation förväntas medföra. </w:t>
      </w:r>
    </w:p>
    <w:p w:rsidR="005A629C" w:rsidRPr="00C05B56" w:rsidRDefault="00467B6C" w:rsidP="005A629C">
      <w:pPr>
        <w:pStyle w:val="Rubrik2"/>
      </w:pPr>
      <w:bookmarkStart w:id="11" w:name="_Toc84235933"/>
      <w:bookmarkStart w:id="12" w:name="_Toc117071539"/>
      <w:r w:rsidRPr="00C05B56">
        <w:t>P</w:t>
      </w:r>
      <w:r w:rsidR="005A629C" w:rsidRPr="00C05B56">
        <w:t>arlamentarisk domstolsutredning</w:t>
      </w:r>
      <w:bookmarkEnd w:id="11"/>
      <w:bookmarkEnd w:id="12"/>
    </w:p>
    <w:p w:rsidR="005A629C" w:rsidRPr="00C05B56" w:rsidRDefault="005A629C" w:rsidP="00C55742">
      <w:r w:rsidRPr="00C05B56">
        <w:t xml:space="preserve">Folkpartiet liberalerna </w:t>
      </w:r>
      <w:r w:rsidR="00196B06" w:rsidRPr="00C05B56">
        <w:t>har inte kunnat</w:t>
      </w:r>
      <w:r w:rsidRPr="00C05B56">
        <w:t xml:space="preserve"> acceptera att ett så här väsentligt och ingripande reformarbete av tingsrättsorganisationen, som i högsta grad berör medborgar</w:t>
      </w:r>
      <w:r w:rsidR="0042772B" w:rsidRPr="00C05B56">
        <w:t>na,</w:t>
      </w:r>
      <w:r w:rsidRPr="00C05B56">
        <w:t xml:space="preserve"> fortgår utan tillräcklig politisk insyn och debatt</w:t>
      </w:r>
      <w:r w:rsidR="005321FD" w:rsidRPr="00C05B56">
        <w:t>.</w:t>
      </w:r>
      <w:r w:rsidRPr="00C05B56">
        <w:t xml:space="preserve"> </w:t>
      </w:r>
      <w:r w:rsidR="005321FD" w:rsidRPr="00C05B56">
        <w:t>I</w:t>
      </w:r>
      <w:r w:rsidRPr="00C05B56">
        <w:t xml:space="preserve"> synnerhet när man från regeringens och Domstolsverkets sida </w:t>
      </w:r>
      <w:r w:rsidR="001C1736" w:rsidRPr="00C05B56">
        <w:t>varit</w:t>
      </w:r>
      <w:r w:rsidRPr="00C05B56">
        <w:t xml:space="preserve"> väl medvet</w:t>
      </w:r>
      <w:r w:rsidR="001C1736" w:rsidRPr="00C05B56">
        <w:t>na</w:t>
      </w:r>
      <w:r w:rsidRPr="00C05B56">
        <w:t xml:space="preserve"> om att det inte bara </w:t>
      </w:r>
      <w:r w:rsidR="001C1736" w:rsidRPr="00C05B56">
        <w:t xml:space="preserve">finns </w:t>
      </w:r>
      <w:r w:rsidRPr="00C05B56">
        <w:t>stor tveksamhet</w:t>
      </w:r>
      <w:r w:rsidR="00813A48" w:rsidRPr="00C05B56">
        <w:t>,</w:t>
      </w:r>
      <w:r w:rsidRPr="00C05B56">
        <w:t xml:space="preserve"> utan även ett direkt motstånd till i vart fall vissa av de föreslagna förändringarna. Det verkar som </w:t>
      </w:r>
      <w:r w:rsidR="00BF1698" w:rsidRPr="00C05B56">
        <w:t>om</w:t>
      </w:r>
      <w:r w:rsidRPr="00C05B56">
        <w:t xml:space="preserve"> varken regeringen eller Domstolsverket har </w:t>
      </w:r>
      <w:r w:rsidR="00813A48" w:rsidRPr="00C05B56">
        <w:t xml:space="preserve">haft </w:t>
      </w:r>
      <w:r w:rsidRPr="00C05B56">
        <w:t>förståelse för vilket oerhört symbolvärde för hela r</w:t>
      </w:r>
      <w:r w:rsidR="00BF1698" w:rsidRPr="00C05B56">
        <w:t>ättsväsendet och rättssamhället</w:t>
      </w:r>
      <w:r w:rsidRPr="00C05B56">
        <w:t xml:space="preserve"> som de lokalt verksamma domstolarna har. För demokratins </w:t>
      </w:r>
      <w:r w:rsidR="007C7275" w:rsidRPr="00C05B56">
        <w:t xml:space="preserve">skull </w:t>
      </w:r>
      <w:r w:rsidR="00222E31" w:rsidRPr="00C05B56">
        <w:t>borde</w:t>
      </w:r>
      <w:r w:rsidRPr="00C05B56">
        <w:t xml:space="preserve"> därför frågan belysas i ett större perspektiv. Vi </w:t>
      </w:r>
      <w:r w:rsidR="00222E31" w:rsidRPr="00C05B56">
        <w:t xml:space="preserve">har krävt och kräver fortfarande, </w:t>
      </w:r>
      <w:r w:rsidRPr="00C05B56">
        <w:t>att detta bör ske genom en parlament</w:t>
      </w:r>
      <w:r w:rsidRPr="00C05B56">
        <w:t>a</w:t>
      </w:r>
      <w:r w:rsidRPr="00C05B56">
        <w:t xml:space="preserve">riskt tillsatt utredning av hela den framtida domstolsorganisationen. </w:t>
      </w:r>
      <w:r w:rsidR="00222E31" w:rsidRPr="00C05B56">
        <w:t>Vi vill att en sådan u</w:t>
      </w:r>
      <w:r w:rsidRPr="00C05B56">
        <w:t>tredning</w:t>
      </w:r>
      <w:r w:rsidR="00222E31" w:rsidRPr="00C05B56">
        <w:t xml:space="preserve"> även</w:t>
      </w:r>
      <w:r w:rsidRPr="00C05B56">
        <w:t xml:space="preserve"> bör omfatta de ekonomiska konsekvenserna av o</w:t>
      </w:r>
      <w:r w:rsidRPr="00C05B56">
        <w:t>m</w:t>
      </w:r>
      <w:r w:rsidRPr="00C05B56">
        <w:t>organisationer för domstolsväsendet och rättsväsendet som helhet samt belysa följderna för de orter som drabbas av eventuella ned- och sammanläggningar.</w:t>
      </w:r>
    </w:p>
    <w:p w:rsidR="005A629C" w:rsidRPr="00C05B56" w:rsidRDefault="005A629C" w:rsidP="005A629C">
      <w:pPr>
        <w:pStyle w:val="Normaltindrag"/>
      </w:pPr>
      <w:r w:rsidRPr="00C05B56">
        <w:t>I avvaktan på arbetet i den parlamentariska utredning som Folkpartiet lib</w:t>
      </w:r>
      <w:r w:rsidRPr="00C05B56">
        <w:t>e</w:t>
      </w:r>
      <w:r w:rsidRPr="00C05B56">
        <w:t xml:space="preserve">ralerna vill ha till stånd, </w:t>
      </w:r>
      <w:r w:rsidR="0049599E" w:rsidRPr="00C05B56">
        <w:t xml:space="preserve">har vi krävt att </w:t>
      </w:r>
      <w:r w:rsidRPr="00C05B56">
        <w:t xml:space="preserve">de vidare framtagna förslagen om ytterligare sammanläggningar av tingsrätter </w:t>
      </w:r>
      <w:r w:rsidR="0049599E" w:rsidRPr="00C05B56">
        <w:t>skulle skjutas på framtiden (</w:t>
      </w:r>
      <w:r w:rsidRPr="00C05B56">
        <w:t xml:space="preserve">Folkpartiet liberalernas </w:t>
      </w:r>
      <w:r w:rsidR="00ED61CD" w:rsidRPr="00C05B56">
        <w:t>riksdags</w:t>
      </w:r>
      <w:r w:rsidRPr="00C05B56">
        <w:t xml:space="preserve">motioner </w:t>
      </w:r>
      <w:r w:rsidR="00AB4FA8" w:rsidRPr="00C05B56">
        <w:t>2004/05:Ju</w:t>
      </w:r>
      <w:r w:rsidR="00980D26" w:rsidRPr="00C05B56">
        <w:t xml:space="preserve">339, </w:t>
      </w:r>
      <w:r w:rsidRPr="00C05B56">
        <w:t>2003/04:Ju477, 2003/04:Ju465 och 2002/03:Ju23</w:t>
      </w:r>
      <w:r w:rsidR="0049599E" w:rsidRPr="00C05B56">
        <w:t>)</w:t>
      </w:r>
      <w:r w:rsidRPr="00C05B56">
        <w:t>.</w:t>
      </w:r>
    </w:p>
    <w:p w:rsidR="005A629C" w:rsidRPr="00C05B56" w:rsidRDefault="001877BC" w:rsidP="005A629C">
      <w:pPr>
        <w:pStyle w:val="Rubrik1"/>
      </w:pPr>
      <w:bookmarkStart w:id="13" w:name="_Toc117071540"/>
      <w:r w:rsidRPr="00C05B56">
        <w:t>Uppnå verksamhetsmålen</w:t>
      </w:r>
      <w:bookmarkEnd w:id="13"/>
      <w:r w:rsidRPr="00C05B56">
        <w:t xml:space="preserve"> </w:t>
      </w:r>
    </w:p>
    <w:p w:rsidR="00A41AD4" w:rsidRPr="00C05B56" w:rsidRDefault="000815A2" w:rsidP="00A41AD4">
      <w:r w:rsidRPr="00C05B56">
        <w:t xml:space="preserve">I regeringens budgetproposition för 2006 konstateras att verksamhetsmålen för 2004 är oförändrade </w:t>
      </w:r>
      <w:r w:rsidR="00BF42DC" w:rsidRPr="00C05B56">
        <w:t xml:space="preserve">i förhållande till året innan. </w:t>
      </w:r>
      <w:r w:rsidR="00BA7233" w:rsidRPr="00C05B56">
        <w:t>R</w:t>
      </w:r>
      <w:r w:rsidR="00BF42DC" w:rsidRPr="00C05B56">
        <w:t xml:space="preserve">egeringen </w:t>
      </w:r>
      <w:r w:rsidR="00BA7233" w:rsidRPr="00C05B56">
        <w:t xml:space="preserve">konstaterar </w:t>
      </w:r>
      <w:r w:rsidR="00BF42DC" w:rsidRPr="00C05B56">
        <w:t xml:space="preserve">att stora målökningar och stora historiska balanser försvårar möjligheterna </w:t>
      </w:r>
      <w:r w:rsidR="00BA7233" w:rsidRPr="00C05B56">
        <w:t xml:space="preserve">att uppnå verksamhetsmålen. </w:t>
      </w:r>
      <w:r w:rsidR="00082829" w:rsidRPr="00C05B56">
        <w:t xml:space="preserve">Enligt </w:t>
      </w:r>
      <w:r w:rsidR="00BF1698" w:rsidRPr="00C05B56">
        <w:t xml:space="preserve">Domstolsverket </w:t>
      </w:r>
      <w:r w:rsidR="00127E14" w:rsidRPr="00C05B56">
        <w:t xml:space="preserve">har målökningen pågått under längre tid. </w:t>
      </w:r>
      <w:r w:rsidR="002A0EA5" w:rsidRPr="00C05B56">
        <w:t xml:space="preserve">Under 2004 ökade antalet inkomna mål med drygt 4 000 eller 3 </w:t>
      </w:r>
      <w:r w:rsidR="00BF1698" w:rsidRPr="00C05B56">
        <w:t>%</w:t>
      </w:r>
      <w:r w:rsidR="002A0EA5" w:rsidRPr="00C05B56">
        <w:t xml:space="preserve"> i förhållande till 2003. </w:t>
      </w:r>
      <w:r w:rsidR="00970008" w:rsidRPr="00C05B56">
        <w:t xml:space="preserve">Situationen vid miljödomstolarna fortfarande </w:t>
      </w:r>
      <w:r w:rsidR="00BB7523" w:rsidRPr="00C05B56">
        <w:t>oroande</w:t>
      </w:r>
      <w:r w:rsidR="000B2071" w:rsidRPr="00C05B56">
        <w:t>,</w:t>
      </w:r>
      <w:r w:rsidR="0037624C" w:rsidRPr="00C05B56">
        <w:t xml:space="preserve"> </w:t>
      </w:r>
      <w:r w:rsidR="000B2071" w:rsidRPr="00C05B56">
        <w:t>a</w:t>
      </w:r>
      <w:r w:rsidR="003645C0" w:rsidRPr="00C05B56">
        <w:t xml:space="preserve">ntalet inkomna ärenden till tingsrätterna ökade 2004 med 4,5 </w:t>
      </w:r>
      <w:r w:rsidR="00BF1698" w:rsidRPr="00C05B56">
        <w:t>%</w:t>
      </w:r>
      <w:r w:rsidR="003645C0" w:rsidRPr="00C05B56">
        <w:t xml:space="preserve"> </w:t>
      </w:r>
      <w:r w:rsidR="00220E98" w:rsidRPr="00C05B56">
        <w:t xml:space="preserve">i förhållande till 2003 och för länsrätternas del var ökningen </w:t>
      </w:r>
      <w:r w:rsidR="003070B9" w:rsidRPr="00C05B56">
        <w:t>11 procent. Rege</w:t>
      </w:r>
      <w:r w:rsidR="003070B9" w:rsidRPr="00C05B56">
        <w:t>r</w:t>
      </w:r>
      <w:r w:rsidR="003070B9" w:rsidRPr="00C05B56">
        <w:t>ingen konstaterar själv att trenden med en kraftig</w:t>
      </w:r>
      <w:r w:rsidR="000B2071" w:rsidRPr="00C05B56">
        <w:t xml:space="preserve"> ökning av antalet inkomna mål till länsrätterna har pågått sedan 2002. Under perioden 2002 till 2004 har måltillströmningen till länsrätterna ökat med sammanlagt 16 </w:t>
      </w:r>
      <w:r w:rsidR="00BF1698" w:rsidRPr="00C05B56">
        <w:t>%</w:t>
      </w:r>
      <w:r w:rsidR="000B2071" w:rsidRPr="00C05B56">
        <w:t xml:space="preserve">. </w:t>
      </w:r>
      <w:r w:rsidR="00731875" w:rsidRPr="00C05B56">
        <w:t xml:space="preserve">Regeringen konstaterar i budgetpropositionen att ”tingsrätterna </w:t>
      </w:r>
      <w:r w:rsidR="00A31898" w:rsidRPr="00C05B56">
        <w:t>gemensamt för 2004 inte uppnått något av de nio verksamhetsmål som avser balanserade mål.</w:t>
      </w:r>
      <w:r w:rsidR="00394993" w:rsidRPr="00C05B56">
        <w:t xml:space="preserve"> </w:t>
      </w:r>
      <w:r w:rsidR="00A31898" w:rsidRPr="00C05B56">
        <w:t xml:space="preserve">Andelen tingsrätter som </w:t>
      </w:r>
      <w:r w:rsidR="00394993" w:rsidRPr="00C05B56">
        <w:t>klarar verksamhetsmålen avseende balanserade mål har min</w:t>
      </w:r>
      <w:r w:rsidR="00394993" w:rsidRPr="00C05B56">
        <w:t>s</w:t>
      </w:r>
      <w:r w:rsidR="00394993" w:rsidRPr="00C05B56">
        <w:t>kat för fem av nio verksamhetsmål. Resultaten varierar stort mellan de enski</w:t>
      </w:r>
      <w:r w:rsidR="00394993" w:rsidRPr="00C05B56">
        <w:t>l</w:t>
      </w:r>
      <w:r w:rsidR="00394993" w:rsidRPr="00C05B56">
        <w:t>da tingsrätterna och vid vissa tingsätter ligg</w:t>
      </w:r>
      <w:r w:rsidR="00BF1698" w:rsidRPr="00C05B56">
        <w:t>er resultaten långt ifrån målen</w:t>
      </w:r>
      <w:r w:rsidR="00394993" w:rsidRPr="00C05B56">
        <w:t>”</w:t>
      </w:r>
      <w:r w:rsidR="00BF1698" w:rsidRPr="00C05B56">
        <w:t>.</w:t>
      </w:r>
      <w:r w:rsidR="00A41AD4" w:rsidRPr="00C05B56">
        <w:t xml:space="preserve"> </w:t>
      </w:r>
    </w:p>
    <w:p w:rsidR="003C71C9" w:rsidRPr="00C05B56" w:rsidRDefault="00A41AD4" w:rsidP="00C55742">
      <w:pPr>
        <w:pStyle w:val="Normaltindrag"/>
      </w:pPr>
      <w:r w:rsidRPr="00C05B56">
        <w:t xml:space="preserve">Domstolarna befinner sig </w:t>
      </w:r>
      <w:r w:rsidR="009B5BF7" w:rsidRPr="00C05B56">
        <w:t xml:space="preserve">således </w:t>
      </w:r>
      <w:r w:rsidRPr="00C05B56">
        <w:t xml:space="preserve">alltjämt i en svår situation </w:t>
      </w:r>
      <w:r w:rsidR="00BF1698" w:rsidRPr="00C05B56">
        <w:t>–</w:t>
      </w:r>
      <w:r w:rsidRPr="00C05B56">
        <w:t xml:space="preserve"> att brottas med både den ekonomiska verkligheten och den ökande måltillströmningen. Vi anser att regeringen under en längre tid har svultit ut domstolarna med följden att risken för minskad rättssäkerhet i den dömande verksamheten ökar </w:t>
      </w:r>
      <w:r w:rsidR="009B5BF7" w:rsidRPr="00C05B56">
        <w:t xml:space="preserve">och att </w:t>
      </w:r>
      <w:r w:rsidRPr="00C05B56">
        <w:t>handläggningstider</w:t>
      </w:r>
      <w:r w:rsidR="009B5BF7" w:rsidRPr="00C05B56">
        <w:t>na blir orimligt långa</w:t>
      </w:r>
      <w:r w:rsidRPr="00C05B56">
        <w:t xml:space="preserve">. </w:t>
      </w:r>
      <w:r w:rsidR="00830165" w:rsidRPr="00C05B56">
        <w:t xml:space="preserve">Att regeringen konstaterar att så stor del av tingsrätterna </w:t>
      </w:r>
      <w:r w:rsidR="005B54E2" w:rsidRPr="00C05B56">
        <w:t>inte uppfyller verksamhetsmålen, är ett misslyc</w:t>
      </w:r>
      <w:r w:rsidR="005B54E2" w:rsidRPr="00C05B56">
        <w:t>k</w:t>
      </w:r>
      <w:r w:rsidR="005B54E2" w:rsidRPr="00C05B56">
        <w:t xml:space="preserve">ande just för samma regering som </w:t>
      </w:r>
      <w:r w:rsidR="009C54BB" w:rsidRPr="00C05B56">
        <w:t xml:space="preserve">faktiskt </w:t>
      </w:r>
      <w:r w:rsidR="005B54E2" w:rsidRPr="00C05B56">
        <w:t xml:space="preserve">har det yttersta ansvaret för </w:t>
      </w:r>
      <w:r w:rsidR="00125A0F" w:rsidRPr="00C05B56">
        <w:t>rättsv</w:t>
      </w:r>
      <w:r w:rsidR="00125A0F" w:rsidRPr="00C05B56">
        <w:t>ä</w:t>
      </w:r>
      <w:r w:rsidR="00125A0F" w:rsidRPr="00C05B56">
        <w:t>sendet och domstolarna</w:t>
      </w:r>
      <w:r w:rsidR="009C1417" w:rsidRPr="00C05B56">
        <w:t>.</w:t>
      </w:r>
      <w:r w:rsidR="00731875" w:rsidRPr="00C05B56">
        <w:t xml:space="preserve"> </w:t>
      </w:r>
    </w:p>
    <w:p w:rsidR="005A629C" w:rsidRPr="00C05B56" w:rsidRDefault="005A629C" w:rsidP="00C55742">
      <w:pPr>
        <w:pStyle w:val="Normaltindrag"/>
      </w:pPr>
      <w:r w:rsidRPr="00C05B56">
        <w:t>Domstolsverkets generaldirektör uttryck</w:t>
      </w:r>
      <w:r w:rsidR="00E53ABD" w:rsidRPr="00C05B56">
        <w:t>te</w:t>
      </w:r>
      <w:r w:rsidRPr="00C05B56">
        <w:t xml:space="preserve"> sin oro för </w:t>
      </w:r>
      <w:r w:rsidR="00185980" w:rsidRPr="00C05B56">
        <w:t>domstolarnas situ</w:t>
      </w:r>
      <w:r w:rsidR="00185980" w:rsidRPr="00C05B56">
        <w:t>a</w:t>
      </w:r>
      <w:r w:rsidR="00185980" w:rsidRPr="00C05B56">
        <w:t xml:space="preserve">tion redan förra året </w:t>
      </w:r>
      <w:r w:rsidRPr="00C05B56">
        <w:t xml:space="preserve">(Domstolsverkets skrivelse till </w:t>
      </w:r>
      <w:r w:rsidR="00BF1698" w:rsidRPr="00C05B56">
        <w:t xml:space="preserve">Justitiedepartementet </w:t>
      </w:r>
      <w:r w:rsidRPr="00C05B56">
        <w:t>16/8 2004, dnr 975-2004): ”Domstolarna har under flera år haft krav på nedskä</w:t>
      </w:r>
      <w:r w:rsidRPr="00C05B56">
        <w:t>r</w:t>
      </w:r>
      <w:r w:rsidRPr="00C05B56">
        <w:t xml:space="preserve">ningar och ytterligare </w:t>
      </w:r>
      <w:r w:rsidR="00BF1698" w:rsidRPr="00C05B56">
        <w:t>besparingskrav har lagts ut t.o.</w:t>
      </w:r>
      <w:r w:rsidRPr="00C05B56">
        <w:t>m</w:t>
      </w:r>
      <w:r w:rsidR="00BF1698" w:rsidRPr="00C05B56">
        <w:t>.</w:t>
      </w:r>
      <w:r w:rsidRPr="00C05B56">
        <w:t xml:space="preserve"> 2006. </w:t>
      </w:r>
      <w:r w:rsidR="008E01BC" w:rsidRPr="00C05B56">
        <w:t>– – –</w:t>
      </w:r>
      <w:r w:rsidRPr="00C05B56">
        <w:t xml:space="preserve"> Det finns ingen möjlighet att fördela om resurserna i den takt som krävs, vilket bl</w:t>
      </w:r>
      <w:r w:rsidR="00E53ABD" w:rsidRPr="00C05B56">
        <w:t>.</w:t>
      </w:r>
      <w:r w:rsidRPr="00C05B56">
        <w:t>a</w:t>
      </w:r>
      <w:r w:rsidR="00E53ABD" w:rsidRPr="00C05B56">
        <w:t>.</w:t>
      </w:r>
      <w:r w:rsidRPr="00C05B56">
        <w:t xml:space="preserve"> samma</w:t>
      </w:r>
      <w:r w:rsidRPr="00C05B56">
        <w:t>n</w:t>
      </w:r>
      <w:r w:rsidRPr="00C05B56">
        <w:t xml:space="preserve">hänger med de ordinarie domarnas anställningsförhållanden och det faktum att målfördelningen mellan domstolarna är låst genom forumreglerna. Dessa förhållanden innebär att det måste finnas medelsreserver, </w:t>
      </w:r>
      <w:r w:rsidR="00BF1698" w:rsidRPr="00C05B56">
        <w:t>vilka sa</w:t>
      </w:r>
      <w:r w:rsidR="00BF1698" w:rsidRPr="00C05B56">
        <w:t>k</w:t>
      </w:r>
      <w:r w:rsidR="00BF1698" w:rsidRPr="00C05B56">
        <w:t>nas</w:t>
      </w:r>
      <w:r w:rsidRPr="00C05B56">
        <w:t>”</w:t>
      </w:r>
      <w:r w:rsidR="00BF1698" w:rsidRPr="00C05B56">
        <w:t>.</w:t>
      </w:r>
      <w:r w:rsidRPr="00C05B56">
        <w:t xml:space="preserve"> </w:t>
      </w:r>
    </w:p>
    <w:p w:rsidR="005A629C" w:rsidRPr="00C05B56" w:rsidRDefault="005A629C" w:rsidP="00C55742">
      <w:pPr>
        <w:pStyle w:val="Normaltindrag"/>
      </w:pPr>
      <w:r w:rsidRPr="00C05B56">
        <w:t>Folkpartiet liberalerna tar medborgarnas behov av en effektiv, snabb och rättssäker domstolsprocess på största allvar. Det är nödvändigt att politiska beslut som påverkar rättsväsendet och de dömande instanserna följs upp med motsvarande kostnadsberäkningar och således motsvarande anslag. För do</w:t>
      </w:r>
      <w:r w:rsidRPr="00C05B56">
        <w:t>m</w:t>
      </w:r>
      <w:r w:rsidRPr="00C05B56">
        <w:t>stolsväsendets del har den socialdemokratiska regeringens politik dock inn</w:t>
      </w:r>
      <w:r w:rsidRPr="00C05B56">
        <w:t>e</w:t>
      </w:r>
      <w:r w:rsidRPr="00C05B56">
        <w:t>burit stora hål i budgeten med en verksamhet som avstannar i viktig vidareu</w:t>
      </w:r>
      <w:r w:rsidRPr="00C05B56">
        <w:t>t</w:t>
      </w:r>
      <w:r w:rsidRPr="00C05B56">
        <w:t>bildning av personalen och i flera fall inte kan leva upp till rimliga handläg</w:t>
      </w:r>
      <w:r w:rsidRPr="00C05B56">
        <w:t>g</w:t>
      </w:r>
      <w:r w:rsidRPr="00C05B56">
        <w:t>ningstider. Folkpartiet liberalerna vill säkra kvaliteten i den dömande ver</w:t>
      </w:r>
      <w:r w:rsidRPr="00C05B56">
        <w:t>k</w:t>
      </w:r>
      <w:r w:rsidRPr="00C05B56">
        <w:t xml:space="preserve">samheten och ge domstolarna förutsättningar att kunna möta den ökande måltillströmningen utan att medborgarna kommer i kläm. För att kunna uppnå detta är det nödvändigt med utökade resurser. </w:t>
      </w:r>
      <w:r w:rsidR="00D63AE6" w:rsidRPr="00C05B56">
        <w:t>I vår motion med budgetförslag för rättsväsendet, ”Liberala satsningar på rättsväsendet”</w:t>
      </w:r>
      <w:r w:rsidR="008973E7" w:rsidRPr="00C05B56">
        <w:t xml:space="preserve"> (2</w:t>
      </w:r>
      <w:r w:rsidR="00DC1258" w:rsidRPr="00C05B56">
        <w:t>0</w:t>
      </w:r>
      <w:r w:rsidR="008973E7" w:rsidRPr="00C05B56">
        <w:t>05/06)</w:t>
      </w:r>
      <w:r w:rsidR="00D63AE6" w:rsidRPr="00C05B56">
        <w:t xml:space="preserve">, framgår </w:t>
      </w:r>
      <w:r w:rsidR="00950C7F" w:rsidRPr="00C05B56">
        <w:t xml:space="preserve">vilka </w:t>
      </w:r>
      <w:r w:rsidR="00FC3BDE" w:rsidRPr="00C05B56">
        <w:t xml:space="preserve">ytterligare </w:t>
      </w:r>
      <w:r w:rsidR="00950C7F" w:rsidRPr="00C05B56">
        <w:t xml:space="preserve">satsningar vi vill göra på domstolsväsendet. </w:t>
      </w:r>
    </w:p>
    <w:p w:rsidR="005A629C" w:rsidRPr="00C05B56" w:rsidRDefault="005A629C" w:rsidP="005A629C">
      <w:pPr>
        <w:pStyle w:val="Rubrik1"/>
      </w:pPr>
      <w:bookmarkStart w:id="14" w:name="_Toc84235935"/>
      <w:bookmarkStart w:id="15" w:name="_Toc117071541"/>
      <w:r w:rsidRPr="00C05B56">
        <w:t>Specialistkompetens inom domarkåren</w:t>
      </w:r>
      <w:bookmarkEnd w:id="14"/>
      <w:bookmarkEnd w:id="15"/>
    </w:p>
    <w:p w:rsidR="005A629C" w:rsidRPr="00C05B56" w:rsidRDefault="005A629C" w:rsidP="005A629C">
      <w:r w:rsidRPr="00C05B56">
        <w:t>Domare ställs ofta inför många olika svåra och komplexa rättsfrågor. Även inom domstolsväsendet torde det finnas ett behov av specialistkompetens inom vissa områden. Detta gäller både vid svåra tekniska eller ekonomiska mål och i mål som kräver särskild kunskap i bakomliggande psykologiska mekanismer, t</w:t>
      </w:r>
      <w:r w:rsidR="00D43D9C" w:rsidRPr="00C05B56">
        <w:t>.</w:t>
      </w:r>
      <w:r w:rsidRPr="00C05B56">
        <w:t>ex</w:t>
      </w:r>
      <w:r w:rsidR="00D43D9C" w:rsidRPr="00C05B56">
        <w:t>.</w:t>
      </w:r>
      <w:r w:rsidRPr="00C05B56">
        <w:t xml:space="preserve"> brottsofferpsykologi, våldsprocessen gällande våld mot kvinnor i nära relationer och i mål om tvångsomhändertagande av barn och missbrukare. </w:t>
      </w:r>
    </w:p>
    <w:p w:rsidR="005A629C" w:rsidRPr="00C05B56" w:rsidRDefault="005A629C" w:rsidP="005A629C">
      <w:pPr>
        <w:pStyle w:val="Normaltindrag"/>
      </w:pPr>
      <w:r w:rsidRPr="00C05B56">
        <w:t>Det pågående arbetet med att vidareutbilda polis och åklagare särskilt inom vissa områden, t</w:t>
      </w:r>
      <w:r w:rsidR="005E08C9" w:rsidRPr="00C05B56">
        <w:t>.</w:t>
      </w:r>
      <w:r w:rsidRPr="00C05B56">
        <w:t>ex</w:t>
      </w:r>
      <w:r w:rsidR="005E08C9" w:rsidRPr="00C05B56">
        <w:t>.</w:t>
      </w:r>
      <w:r w:rsidRPr="00C05B56">
        <w:t xml:space="preserve"> gällande ekonomisk brottslighet, sexualbrott mot barn och våld mot kvinnor i nära relationer, borde även inbegripa de dömande instanserna. Det är naturligt att jurister som advokater och åklagare special</w:t>
      </w:r>
      <w:r w:rsidRPr="00C05B56">
        <w:t>i</w:t>
      </w:r>
      <w:r w:rsidRPr="00C05B56">
        <w:t>serar sig inom något eller några avgränsad</w:t>
      </w:r>
      <w:r w:rsidR="00BF1698" w:rsidRPr="00C05B56">
        <w:t xml:space="preserve">e områden inom juridiken just på </w:t>
      </w:r>
      <w:r w:rsidRPr="00C05B56">
        <w:t>g</w:t>
      </w:r>
      <w:r w:rsidR="00BF1698" w:rsidRPr="00C05B56">
        <w:t xml:space="preserve">rund av </w:t>
      </w:r>
      <w:r w:rsidRPr="00C05B56">
        <w:t xml:space="preserve">det komplexa system de arbetar med. Domarna arbetar naturligtvis på ett annat sätt och kan inte avgränsa sitt arbetsområde på det vis en advokat kan. För att garantera en bibehållen rättssäkerhet, bättre kvalitet i domskäl och domslut samt ett bättre bemötande av parterna </w:t>
      </w:r>
      <w:r w:rsidR="00BF1698" w:rsidRPr="00C05B56">
        <w:t>–</w:t>
      </w:r>
      <w:r w:rsidRPr="00C05B56">
        <w:t xml:space="preserve"> framför allt av brottsof</w:t>
      </w:r>
      <w:r w:rsidRPr="00C05B56">
        <w:t>f</w:t>
      </w:r>
      <w:r w:rsidRPr="00C05B56">
        <w:t xml:space="preserve">ren i vissa typer av brottmål, ungdomsbrottslingar och i familjerättsmål </w:t>
      </w:r>
      <w:r w:rsidR="00BF1698" w:rsidRPr="00C05B56">
        <w:t>–</w:t>
      </w:r>
      <w:r w:rsidRPr="00C05B56">
        <w:t xml:space="preserve"> torde det dock vara viktigt med specialistkompetens även inom domstolsv</w:t>
      </w:r>
      <w:r w:rsidRPr="00C05B56">
        <w:t>ä</w:t>
      </w:r>
      <w:r w:rsidRPr="00C05B56">
        <w:t xml:space="preserve">sendet. </w:t>
      </w:r>
    </w:p>
    <w:p w:rsidR="005A629C" w:rsidRPr="00C05B56" w:rsidRDefault="005A629C" w:rsidP="005A629C">
      <w:pPr>
        <w:pStyle w:val="Normaltindrag"/>
      </w:pPr>
      <w:r w:rsidRPr="00C05B56">
        <w:t>Flera år av socialdemokratisk</w:t>
      </w:r>
      <w:r w:rsidR="005E08C9" w:rsidRPr="00C05B56">
        <w:t xml:space="preserve"> rättspolitik har som ovan sagt</w:t>
      </w:r>
      <w:r w:rsidR="00BF1698" w:rsidRPr="00C05B56">
        <w:t>s</w:t>
      </w:r>
      <w:r w:rsidRPr="00C05B56">
        <w:t xml:space="preserve"> urholkat de svenska domstolarnas ekonomi. En av följderna är också att flera viktiga utbildningsinsatser har lagts på is. Folkpartiet liberalerna menar därför att utökade resurser till domstolsväsendet är nödvändigt också för att säkerställa att utbildningsinsatser kan genomföras.</w:t>
      </w:r>
    </w:p>
    <w:p w:rsidR="005A629C" w:rsidRPr="00C05B56" w:rsidRDefault="005A629C" w:rsidP="005A629C">
      <w:pPr>
        <w:pStyle w:val="Rubrik1"/>
      </w:pPr>
      <w:bookmarkStart w:id="16" w:name="_Toc84235936"/>
      <w:bookmarkStart w:id="17" w:name="_Toc117071542"/>
      <w:r w:rsidRPr="00C05B56">
        <w:t>Ett oberoende och öppet domstolsväsende</w:t>
      </w:r>
      <w:bookmarkEnd w:id="16"/>
      <w:bookmarkEnd w:id="17"/>
    </w:p>
    <w:p w:rsidR="005A629C" w:rsidRPr="00C05B56" w:rsidRDefault="005A629C" w:rsidP="00C55742">
      <w:pPr>
        <w:pStyle w:val="Rubrik2"/>
        <w:numPr>
          <w:ilvl w:val="1"/>
          <w:numId w:val="0"/>
        </w:numPr>
        <w:spacing w:before="120"/>
      </w:pPr>
      <w:bookmarkStart w:id="18" w:name="_Toc84235937"/>
      <w:bookmarkStart w:id="19" w:name="_Toc117071543"/>
      <w:r w:rsidRPr="00C05B56">
        <w:t>Domstolsverkets ställning</w:t>
      </w:r>
      <w:bookmarkEnd w:id="18"/>
      <w:bookmarkEnd w:id="19"/>
    </w:p>
    <w:p w:rsidR="005A629C" w:rsidRPr="00C05B56" w:rsidRDefault="005A629C" w:rsidP="005A629C">
      <w:r w:rsidRPr="00C05B56">
        <w:t>En grundläggande princip i ett demokratiskt rättssamhälle är rättsväsendets och domstolarnas oberoende ställning. Vi anser att den centrala domstolso</w:t>
      </w:r>
      <w:r w:rsidRPr="00C05B56">
        <w:t>r</w:t>
      </w:r>
      <w:r w:rsidRPr="00C05B56">
        <w:t xml:space="preserve">ganisationen inte bör utformas på ett sätt som </w:t>
      </w:r>
      <w:r w:rsidR="00212465" w:rsidRPr="00C05B56">
        <w:t>äventyrar</w:t>
      </w:r>
      <w:r w:rsidRPr="00C05B56">
        <w:t xml:space="preserve"> ett oberoende do</w:t>
      </w:r>
      <w:r w:rsidRPr="00C05B56">
        <w:t>m</w:t>
      </w:r>
      <w:r w:rsidRPr="00C05B56">
        <w:t xml:space="preserve">stolsväsende. Den nuvarande konstruktionen med Domstolsverket underställt regeringen ger </w:t>
      </w:r>
      <w:r w:rsidR="00FF6BA9" w:rsidRPr="00C05B56">
        <w:t>regeringen</w:t>
      </w:r>
      <w:r w:rsidRPr="00C05B56">
        <w:t xml:space="preserve"> ett allt för starkt grepp om domstolsorganisationen. Det visar inte minst förfarandet gällande de senaste årens nedläggningar och sammanslagningar av tingsrätter. Folkpartiet liberalerna menar att det finns skäl att överväga en annan ordning. Om servicen till domstolarna sköttes utan att regeringen hade inflytande över </w:t>
      </w:r>
      <w:r w:rsidR="00DC050B" w:rsidRPr="00C05B56">
        <w:t>domstolarna</w:t>
      </w:r>
      <w:r w:rsidRPr="00C05B56">
        <w:t xml:space="preserve"> skulle också domstolarnas självständighet förstärkas. </w:t>
      </w:r>
    </w:p>
    <w:p w:rsidR="005A629C" w:rsidRPr="00C05B56" w:rsidRDefault="005A629C" w:rsidP="005A629C">
      <w:pPr>
        <w:pStyle w:val="Normaltindrag"/>
      </w:pPr>
      <w:r w:rsidRPr="00C05B56">
        <w:t>I detta sammanhang vill vi därför peka på ett alternativ</w:t>
      </w:r>
      <w:r w:rsidR="00247CD5" w:rsidRPr="00C05B56">
        <w:t>, nämligen det danska systemet.</w:t>
      </w:r>
      <w:r w:rsidRPr="00C05B56">
        <w:t xml:space="preserve"> I Danmark har man en domstolsmyndighet som ligger under motsvarande riksdagen </w:t>
      </w:r>
      <w:r w:rsidR="00BF1698" w:rsidRPr="00C05B56">
        <w:t>–</w:t>
      </w:r>
      <w:r w:rsidRPr="00C05B56">
        <w:t xml:space="preserve"> Folketinget </w:t>
      </w:r>
      <w:r w:rsidR="00BF1698" w:rsidRPr="00C05B56">
        <w:t>–</w:t>
      </w:r>
      <w:r w:rsidRPr="00C05B56">
        <w:t xml:space="preserve"> och vars verksamhet regleras i lag. </w:t>
      </w:r>
    </w:p>
    <w:p w:rsidR="005A629C" w:rsidRPr="00C05B56" w:rsidRDefault="005A629C" w:rsidP="005A629C">
      <w:pPr>
        <w:pStyle w:val="Normaltindrag"/>
      </w:pPr>
      <w:r w:rsidRPr="00C05B56">
        <w:t>En annan lösning skulle också kunna vara att föra över Domstolsverkets uppgifter till domstolarna. Vi anser att regeringen bör få i uppdrag att utreda frågan om Domstolsverkets ställning och funktion i förhållande till domst</w:t>
      </w:r>
      <w:r w:rsidRPr="00C05B56">
        <w:t>o</w:t>
      </w:r>
      <w:r w:rsidRPr="00C05B56">
        <w:t>larna utifrån ovan anförda resonemang.</w:t>
      </w:r>
    </w:p>
    <w:p w:rsidR="005A629C" w:rsidRPr="00C05B56" w:rsidRDefault="005A629C" w:rsidP="005A629C">
      <w:pPr>
        <w:pStyle w:val="Rubrik2"/>
      </w:pPr>
      <w:bookmarkStart w:id="20" w:name="_Toc84235938"/>
      <w:bookmarkStart w:id="21" w:name="_Toc117071544"/>
      <w:r w:rsidRPr="00C05B56">
        <w:t>Ett öppnare förfarande vid tillsättningen av domare</w:t>
      </w:r>
      <w:bookmarkEnd w:id="20"/>
      <w:bookmarkEnd w:id="21"/>
      <w:r w:rsidRPr="00C05B56">
        <w:t xml:space="preserve"> </w:t>
      </w:r>
    </w:p>
    <w:p w:rsidR="005A629C" w:rsidRPr="00C05B56" w:rsidRDefault="005A629C" w:rsidP="005A629C">
      <w:r w:rsidRPr="00C05B56">
        <w:t>I Sverige utses de högsta domartjänsterna av regeringen, ofta med lång tjäns</w:t>
      </w:r>
      <w:r w:rsidRPr="00C05B56">
        <w:t>t</w:t>
      </w:r>
      <w:r w:rsidRPr="00C05B56">
        <w:t>göring inom regeringskansliet som bakgrund. Det är också endast domare eller f.d. domare i de högsta instanserna som kan förordnas till Lagrådet. Detta innebär att regeringen indirekt även utser juristerna i Lagrådet. Det rådande systemet, där regeringen direkt och indirekt utser domarna i de hög</w:t>
      </w:r>
      <w:r w:rsidRPr="00C05B56">
        <w:t>s</w:t>
      </w:r>
      <w:r w:rsidRPr="00C05B56">
        <w:t xml:space="preserve">ta instanserna och det högsta juridiska rådgivande organet, är inte acceptabelt i ett demokratiskt samhälle där domstolarna har ett grundlagsbefäst oberoende gentemot staten. </w:t>
      </w:r>
    </w:p>
    <w:p w:rsidR="005A629C" w:rsidRPr="00C05B56" w:rsidRDefault="005A629C" w:rsidP="005A629C">
      <w:pPr>
        <w:pStyle w:val="Normaltindrag"/>
      </w:pPr>
      <w:r w:rsidRPr="00C05B56">
        <w:t>Utnämningen av domare borde präglas av en större öppenhet än idag. Medborgarnas förtroende för domstolsväsendet och rättstillämpningen föru</w:t>
      </w:r>
      <w:r w:rsidRPr="00C05B56">
        <w:t>t</w:t>
      </w:r>
      <w:r w:rsidRPr="00C05B56">
        <w:t xml:space="preserve">sätter också att utnämningsförfarandet präglas av större insyn. Dagens system med det </w:t>
      </w:r>
      <w:r w:rsidR="00BF1698" w:rsidRPr="00C05B56">
        <w:t xml:space="preserve">s.k. </w:t>
      </w:r>
      <w:r w:rsidRPr="00C05B56">
        <w:t>kallelseförfarandet får därför i allt väsentligt anses ha spelat ut sin roll. Domare till de högsta instanserna borde i stället tillsättas genom ett öpp</w:t>
      </w:r>
      <w:r w:rsidR="00F70621" w:rsidRPr="00C05B56">
        <w:t>nare</w:t>
      </w:r>
      <w:r w:rsidRPr="00C05B56">
        <w:t xml:space="preserve"> ansökningsförfarande</w:t>
      </w:r>
      <w:r w:rsidR="00F70621" w:rsidRPr="00C05B56">
        <w:t>.</w:t>
      </w:r>
      <w:r w:rsidRPr="00C05B56">
        <w:t xml:space="preserve"> </w:t>
      </w:r>
    </w:p>
    <w:p w:rsidR="001403A2" w:rsidRPr="00C05B56" w:rsidRDefault="001403A2" w:rsidP="001403A2">
      <w:pPr>
        <w:pStyle w:val="Rubrik2"/>
      </w:pPr>
      <w:bookmarkStart w:id="22" w:name="_Toc117071545"/>
      <w:r w:rsidRPr="00C05B56">
        <w:t>Lönesättningen</w:t>
      </w:r>
      <w:bookmarkEnd w:id="22"/>
    </w:p>
    <w:p w:rsidR="00AF7EA1" w:rsidRPr="00C05B56" w:rsidRDefault="00AF7EA1" w:rsidP="00AF7EA1">
      <w:r w:rsidRPr="00C05B56">
        <w:t>Domstolsverket arbetar med regeringens goda minne för en prestationsstyrd lön samtidigt som domarkåren och facket oroar sig för att det kan leda till mindre självständighet gentemot den politiska makten. Drivkraften mot pr</w:t>
      </w:r>
      <w:r w:rsidRPr="00C05B56">
        <w:t>e</w:t>
      </w:r>
      <w:r w:rsidRPr="00C05B56">
        <w:t>stationsstyrda löner har varit utvecklingen inom den privata sektorn, vilken i olika avtal överförts på den offentliga arbetsmarknaden. Ur statens synvinkel är det ju billigare att belöna ett fåtal än att lyfta ett kollektiv av befattningsh</w:t>
      </w:r>
      <w:r w:rsidRPr="00C05B56">
        <w:t>a</w:t>
      </w:r>
      <w:r w:rsidRPr="00C05B56">
        <w:t xml:space="preserve">vare. Tanken har officiellt varit att ”skicklighet” ska premieras för att främja framtida rekrytering och leda till kvalitetshöjning. </w:t>
      </w:r>
    </w:p>
    <w:p w:rsidR="00AF7EA1" w:rsidRPr="00C05B56" w:rsidRDefault="00AF7EA1" w:rsidP="00C55742">
      <w:pPr>
        <w:pStyle w:val="Normaltindrag"/>
      </w:pPr>
      <w:r w:rsidRPr="00C05B56">
        <w:t>Ur kon</w:t>
      </w:r>
      <w:r w:rsidR="005065FB" w:rsidRPr="00C05B56">
        <w:t xml:space="preserve">stitutionell synvinkel anser </w:t>
      </w:r>
      <w:r w:rsidRPr="00C05B56">
        <w:t xml:space="preserve">dock </w:t>
      </w:r>
      <w:r w:rsidR="00BF1698" w:rsidRPr="00C05B56">
        <w:t xml:space="preserve">Folkpartiet </w:t>
      </w:r>
      <w:r w:rsidR="005065FB" w:rsidRPr="00C05B56">
        <w:t xml:space="preserve">och </w:t>
      </w:r>
      <w:r w:rsidR="00BB1BBB" w:rsidRPr="00C05B56">
        <w:t>de övriga borgerl</w:t>
      </w:r>
      <w:r w:rsidR="00BB1BBB" w:rsidRPr="00C05B56">
        <w:t>i</w:t>
      </w:r>
      <w:r w:rsidR="00BB1BBB" w:rsidRPr="00C05B56">
        <w:t xml:space="preserve">ga partierna inom </w:t>
      </w:r>
      <w:r w:rsidR="005065FB" w:rsidRPr="00C05B56">
        <w:t>Allians för Sverige</w:t>
      </w:r>
      <w:r w:rsidR="00BB1BBB" w:rsidRPr="00C05B56">
        <w:t>,</w:t>
      </w:r>
      <w:r w:rsidR="005065FB" w:rsidRPr="00C05B56">
        <w:t xml:space="preserve"> </w:t>
      </w:r>
      <w:r w:rsidRPr="00C05B56">
        <w:t>att en prestationsbaserad lönesättning för domare är svårförenlig med strävan att stärka domarnas självständighet och oberoende. Domstolsverket, en förvaltningsmyndighet under regeringen, är formellt arbetsgivarpart och skulle därmed ytterst avgöra hur och var skic</w:t>
      </w:r>
      <w:r w:rsidRPr="00C05B56">
        <w:t>k</w:t>
      </w:r>
      <w:r w:rsidRPr="00C05B56">
        <w:t>lighetskriteriet skulle tillämpas. Det ligger i sakens natur att en skicklighet</w:t>
      </w:r>
      <w:r w:rsidRPr="00C05B56">
        <w:t>s</w:t>
      </w:r>
      <w:r w:rsidRPr="00C05B56">
        <w:t>faktor inte låter sig kristalliseras annat än i mera allmän mening och det är alltså i praktiken fråga om en rent skönsmässig bedömning. Redan den möjl</w:t>
      </w:r>
      <w:r w:rsidRPr="00C05B56">
        <w:t>i</w:t>
      </w:r>
      <w:r w:rsidRPr="00C05B56">
        <w:t>ga misstanken att lönebelöningar ges för att främja lojalitet i viss riktning är förödande för tilltron till domarnas integritet och opartiskhet. Ett överförande av en ”skicklighetsprincip” också för de högsta domarna, exempelvis justiti</w:t>
      </w:r>
      <w:r w:rsidRPr="00C05B56">
        <w:t>e</w:t>
      </w:r>
      <w:r w:rsidRPr="00C05B56">
        <w:t>råd och regeringsråd, medför att systemet med prestationssty</w:t>
      </w:r>
      <w:r w:rsidR="002A274D" w:rsidRPr="00C05B56">
        <w:t>r</w:t>
      </w:r>
      <w:r w:rsidRPr="00C05B56">
        <w:t xml:space="preserve">da löner skulle bli </w:t>
      </w:r>
      <w:r w:rsidR="002A274D" w:rsidRPr="00C05B56">
        <w:t>märkligt</w:t>
      </w:r>
      <w:r w:rsidRPr="00C05B56">
        <w:t xml:space="preserve">. </w:t>
      </w:r>
    </w:p>
    <w:p w:rsidR="00AF7EA1" w:rsidRPr="00C05B56" w:rsidRDefault="00AF7EA1" w:rsidP="00C55742">
      <w:pPr>
        <w:pStyle w:val="Normaltindrag"/>
      </w:pPr>
      <w:r w:rsidRPr="00C05B56">
        <w:t>Sedan december 2000 finns förslag i en statlig utredning (SOU 2000:99)</w:t>
      </w:r>
      <w:r w:rsidR="00DA4699" w:rsidRPr="00C05B56">
        <w:t xml:space="preserve"> om</w:t>
      </w:r>
      <w:r w:rsidRPr="00C05B56">
        <w:t xml:space="preserve"> att öppna och formalisera tillsättningen av de högsta domartjänsterna, vilka nu helt beslutas av regeringen. Förslaget har dock blivit liggande på depart</w:t>
      </w:r>
      <w:r w:rsidRPr="00C05B56">
        <w:t>e</w:t>
      </w:r>
      <w:r w:rsidRPr="00C05B56">
        <w:t>mentet. Vi anser att tillsättningen av domare och deras avlöning bör vara en fråga om institutionell tilltro och inte en tillämpning av kollektivavtal. Önskar man i ett begränsat perspektiv differentiera lönesättningen, bör endast tjänster (befattningar) komma ifråga, vilka kan sökas och besättas efter en öppen prövning. Den arbetsrättsliga strukturen bör allmänt för domarnas del unde</w:t>
      </w:r>
      <w:r w:rsidRPr="00C05B56">
        <w:t>r</w:t>
      </w:r>
      <w:r w:rsidRPr="00C05B56">
        <w:t>ordnas konstitutionella hänsyn. I länder, vilka vi anser som förebilder i rättsstatssammanhang, är också varje tanke på en prestationsbaserad lönesät</w:t>
      </w:r>
      <w:r w:rsidRPr="00C05B56">
        <w:t>t</w:t>
      </w:r>
      <w:r w:rsidRPr="00C05B56">
        <w:t xml:space="preserve">ning för domare helt otänkbar. Att Internationella Domarunionen sett sig tvungen att intervenera till förmån för den svenska domarkåren är helt utan motstycke och riskerar att leda till en mindre smickrande uppmärksamhet för vårt lands del. </w:t>
      </w:r>
      <w:r w:rsidR="00510980" w:rsidRPr="00C05B56">
        <w:t>Vi anser således att en utveckling mot individuella, prestation</w:t>
      </w:r>
      <w:r w:rsidR="00510980" w:rsidRPr="00C05B56">
        <w:t>s</w:t>
      </w:r>
      <w:r w:rsidR="00510980" w:rsidRPr="00C05B56">
        <w:t xml:space="preserve">inriktade löner för domarkåren är olämplig. </w:t>
      </w:r>
    </w:p>
    <w:p w:rsidR="005A629C" w:rsidRPr="00C05B56" w:rsidRDefault="005A629C" w:rsidP="005A629C">
      <w:pPr>
        <w:pStyle w:val="Rubrik1"/>
      </w:pPr>
      <w:bookmarkStart w:id="23" w:name="_Toc84235939"/>
      <w:bookmarkStart w:id="24" w:name="_Toc117071546"/>
      <w:r w:rsidRPr="00C05B56">
        <w:t>Inrätta en författningsdomstol</w:t>
      </w:r>
      <w:bookmarkEnd w:id="23"/>
      <w:bookmarkEnd w:id="24"/>
    </w:p>
    <w:p w:rsidR="005A629C" w:rsidRPr="00C05B56" w:rsidRDefault="005A629C" w:rsidP="005A629C">
      <w:r w:rsidRPr="00C05B56">
        <w:t xml:space="preserve">En författningsdomstol bör inrättas för att stärka domstolsprövningen av statsmakternas lagstiftning. Författningsdomstolen ska kunna pröva om en lag är förenlig med tillämpliga grundlagar. </w:t>
      </w:r>
    </w:p>
    <w:p w:rsidR="005A629C" w:rsidRPr="00C05B56" w:rsidRDefault="005A629C" w:rsidP="005A629C">
      <w:pPr>
        <w:pStyle w:val="Normaltindrag"/>
      </w:pPr>
      <w:r w:rsidRPr="00C05B56">
        <w:t>Enligt nu gällande system har Lagrådet en granskande och rådgivande funktion, främst till regeringen men efter begäran även till riksdagen. På b</w:t>
      </w:r>
      <w:r w:rsidRPr="00C05B56">
        <w:t>e</w:t>
      </w:r>
      <w:r w:rsidRPr="00C05B56">
        <w:t>gäran av regeringen eller ett riksdagsutskott ska yttrande från lagrådet inhä</w:t>
      </w:r>
      <w:r w:rsidRPr="00C05B56">
        <w:t>m</w:t>
      </w:r>
      <w:r w:rsidRPr="00C05B56">
        <w:t xml:space="preserve">tas. Eftersom lagrådets yttrande endast är rådgivande har detta på senare tid lett till att dess synpunkter allt oftare har negligerats. Detta förhållande är olyckligt och visar på ett behov av en förändring. </w:t>
      </w:r>
    </w:p>
    <w:p w:rsidR="005A629C" w:rsidRPr="00C05B56" w:rsidRDefault="005A629C" w:rsidP="005A629C">
      <w:pPr>
        <w:pStyle w:val="Normaltindrag"/>
      </w:pPr>
      <w:r w:rsidRPr="00C05B56">
        <w:t xml:space="preserve">Folkpartiet liberalerna anser att statsmakterna alltför lätt kan stifta lagar vars förenlighet med författningen i högsta grad är diskutabel. Den statliga utredningen, ”En uthållig demokrati” (SOU 2001:1), pekade också på behovet av att utveckla säkrare system för extern tillsyn och domstolskontroll till skydd för medborgarnas rättigheter och integritet. Den </w:t>
      </w:r>
      <w:r w:rsidR="00BF1698" w:rsidRPr="00C05B56">
        <w:t xml:space="preserve">nu pågående </w:t>
      </w:r>
      <w:r w:rsidR="001E5503" w:rsidRPr="00C05B56">
        <w:t>Grun</w:t>
      </w:r>
      <w:r w:rsidR="001E5503" w:rsidRPr="00C05B56">
        <w:t>d</w:t>
      </w:r>
      <w:r w:rsidR="001E5503" w:rsidRPr="00C05B56">
        <w:t xml:space="preserve">lagsutredningen arbetar bland annat med </w:t>
      </w:r>
      <w:r w:rsidRPr="00C05B56">
        <w:t>frågan om en författningsdomstol</w:t>
      </w:r>
      <w:r w:rsidR="00DB523B" w:rsidRPr="00C05B56">
        <w:t xml:space="preserve"> och vi inväntar utredningens förslag. Men</w:t>
      </w:r>
      <w:r w:rsidRPr="00C05B56">
        <w:t xml:space="preserve"> </w:t>
      </w:r>
      <w:r w:rsidR="00DB523B" w:rsidRPr="00C05B56">
        <w:t>v</w:t>
      </w:r>
      <w:r w:rsidR="001E5503" w:rsidRPr="00C05B56">
        <w:t xml:space="preserve">i </w:t>
      </w:r>
      <w:r w:rsidRPr="00C05B56">
        <w:t xml:space="preserve">vill dock ändå tydliggöra att vi anser att en övergripande reform av lagprövningssystemet är nödvändig och där inrättandet av en författningsdomstol utgör en central del. </w:t>
      </w:r>
    </w:p>
    <w:p w:rsidR="005A629C" w:rsidRPr="00C05B56" w:rsidRDefault="005A629C" w:rsidP="005A629C">
      <w:pPr>
        <w:pStyle w:val="Rubrik1"/>
      </w:pPr>
      <w:bookmarkStart w:id="25" w:name="_Toc84235940"/>
      <w:bookmarkStart w:id="26" w:name="_Toc117071547"/>
      <w:r w:rsidRPr="00C05B56">
        <w:t>Rätt till prövning i två instanser</w:t>
      </w:r>
      <w:bookmarkEnd w:id="25"/>
      <w:bookmarkEnd w:id="26"/>
    </w:p>
    <w:p w:rsidR="005A629C" w:rsidRPr="00C05B56" w:rsidRDefault="005A629C" w:rsidP="005A629C">
      <w:r w:rsidRPr="00C05B56">
        <w:t>Rätten till prövning i två instanser måste värnas. Under en följd av år har denna rätt successivt kommit att inskränkas. Dett</w:t>
      </w:r>
      <w:r w:rsidR="00BF1698" w:rsidRPr="00C05B56">
        <w:t>a har skett dels genom att allt</w:t>
      </w:r>
      <w:r w:rsidRPr="00C05B56">
        <w:t>fler</w:t>
      </w:r>
      <w:r w:rsidR="00BF1698" w:rsidRPr="00C05B56">
        <w:t xml:space="preserve"> </w:t>
      </w:r>
      <w:r w:rsidRPr="00C05B56">
        <w:t>avgöranden inte kan överklagas över huvud taget, dels genom att prövningstillstånd för prövning i andra instans har införts i alltfler situationer. Samtidigt med denna utveckling har förenklingar i underrättsförfarandet i</w:t>
      </w:r>
      <w:r w:rsidRPr="00C05B56">
        <w:t>n</w:t>
      </w:r>
      <w:r w:rsidRPr="00C05B56">
        <w:t>förts. Delgivningsförfarandet har förenklats och blivit mer summariskt. Mö</w:t>
      </w:r>
      <w:r w:rsidRPr="00C05B56">
        <w:t>j</w:t>
      </w:r>
      <w:r w:rsidRPr="00C05B56">
        <w:t xml:space="preserve">ligheterna att avgöra mål med ensamdomare eller utan huvudförhandling har ökat. </w:t>
      </w:r>
    </w:p>
    <w:p w:rsidR="005A629C" w:rsidRPr="00C05B56" w:rsidRDefault="005A629C" w:rsidP="005A629C">
      <w:pPr>
        <w:pStyle w:val="Normaltindrag"/>
      </w:pPr>
      <w:r w:rsidRPr="00C05B56">
        <w:t>Rättssäkerheten främjas inte av att prövningen i första instans blir enklare och mer summarisk samtidigt som möjligheten att få till stånd en andra prö</w:t>
      </w:r>
      <w:r w:rsidRPr="00C05B56">
        <w:t>v</w:t>
      </w:r>
      <w:r w:rsidRPr="00C05B56">
        <w:t xml:space="preserve">ning minskar. Vid rationaliseringar i domstolsförfarandet kan en av dessa vägar väljas men inte båda. </w:t>
      </w:r>
    </w:p>
    <w:p w:rsidR="00BD1764" w:rsidRPr="00C05B56" w:rsidRDefault="00BD1764" w:rsidP="008E01BC">
      <w:pPr>
        <w:pStyle w:val="Normaltindrag"/>
      </w:pPr>
      <w:r w:rsidRPr="00C05B56">
        <w:t xml:space="preserve">Det nyligen införda prövningstillståndet till hovrätten gällande tvistemål och </w:t>
      </w:r>
      <w:r w:rsidR="00FD4132" w:rsidRPr="00C05B56">
        <w:t xml:space="preserve">vissa </w:t>
      </w:r>
      <w:r w:rsidRPr="00C05B56">
        <w:t>ärenden</w:t>
      </w:r>
      <w:r w:rsidR="00534462" w:rsidRPr="00C05B56">
        <w:t xml:space="preserve"> (proposition 2004/05:131 ”En modernare rättegång – r</w:t>
      </w:r>
      <w:r w:rsidR="00534462" w:rsidRPr="00C05B56">
        <w:t>e</w:t>
      </w:r>
      <w:r w:rsidR="00534462" w:rsidRPr="00C05B56">
        <w:t>formering av processen i allmän domstol”)</w:t>
      </w:r>
      <w:r w:rsidRPr="00C05B56">
        <w:t xml:space="preserve">, accepterade vi med viss tvekan. Vi anser att </w:t>
      </w:r>
      <w:r w:rsidR="00BF4AC6" w:rsidRPr="00C05B56">
        <w:t xml:space="preserve">frågan om hur hovrätterna kommer att tillämpa villkoren för prövningstillstånd måste följas upp noggrant och utvärderas inom en snar framtid. </w:t>
      </w:r>
    </w:p>
    <w:p w:rsidR="005A629C" w:rsidRPr="00C05B56" w:rsidRDefault="005A629C" w:rsidP="008E01BC">
      <w:pPr>
        <w:pStyle w:val="Rubrik1"/>
      </w:pPr>
      <w:bookmarkStart w:id="27" w:name="_Toc84235941"/>
      <w:bookmarkStart w:id="28" w:name="_Toc117071548"/>
      <w:r w:rsidRPr="00C05B56">
        <w:t>En enda högsta domstolsinstans</w:t>
      </w:r>
      <w:bookmarkEnd w:id="27"/>
      <w:bookmarkEnd w:id="28"/>
    </w:p>
    <w:p w:rsidR="005A629C" w:rsidRPr="00C05B56" w:rsidRDefault="005A629C" w:rsidP="005A629C">
      <w:r w:rsidRPr="00C05B56">
        <w:t xml:space="preserve">Det bör utredas om det endast ska finnas en högsta domstolsinstans i landet. Det förhållandet att det finns två – högsta domstolen och regeringsrätten – har lett och kan leda till kompetenskonflikter. En högsta domstolsinstans skulle kunna leda till bättre stringens och säkerhet i utformandet av praxis. </w:t>
      </w:r>
    </w:p>
    <w:p w:rsidR="005A629C" w:rsidRPr="00C05B56" w:rsidRDefault="005A629C" w:rsidP="005A629C">
      <w:pPr>
        <w:pStyle w:val="Rubrik1"/>
      </w:pPr>
      <w:bookmarkStart w:id="29" w:name="_Toc84235942"/>
      <w:bookmarkStart w:id="30" w:name="_Toc117071549"/>
      <w:r w:rsidRPr="00C05B56">
        <w:t>Avskaffa de partssammansatta domstolarna</w:t>
      </w:r>
      <w:bookmarkEnd w:id="29"/>
      <w:bookmarkEnd w:id="30"/>
    </w:p>
    <w:p w:rsidR="005A629C" w:rsidRPr="00C05B56" w:rsidRDefault="005A629C" w:rsidP="005A629C">
      <w:r w:rsidRPr="00C05B56">
        <w:t xml:space="preserve">Vi står fast vid det principiella synsättet att systemet med specialdomstolar, de </w:t>
      </w:r>
      <w:r w:rsidR="00BF1698" w:rsidRPr="00C05B56">
        <w:t xml:space="preserve">s.k. </w:t>
      </w:r>
      <w:r w:rsidRPr="00C05B56">
        <w:t xml:space="preserve">partssammansatta domstolarna som </w:t>
      </w:r>
      <w:r w:rsidR="00BF1698" w:rsidRPr="00C05B56">
        <w:t xml:space="preserve">t.ex. </w:t>
      </w:r>
      <w:r w:rsidRPr="00C05B56">
        <w:t>arbetsdomstolen och mar</w:t>
      </w:r>
      <w:r w:rsidRPr="00C05B56">
        <w:t>k</w:t>
      </w:r>
      <w:r w:rsidRPr="00C05B56">
        <w:t>nadsdomstolen, i möjligaste mån bör avvecklas och deras uppgifter i stället överföras till de allmänna domstolarna. Vi menar att objektiviteten, allsidi</w:t>
      </w:r>
      <w:r w:rsidRPr="00C05B56">
        <w:t>g</w:t>
      </w:r>
      <w:r w:rsidRPr="00C05B56">
        <w:t xml:space="preserve">heten och opartiskheten i de partssammansatta domstolarnas avgöranden i vissa fall på goda grunder kan ifrågasättas. Den enskilde kan även uppleva att han eller hon inte får en rättvis rättegång när saken ska prövas av ledamöter som representerar intresseorganisationer. </w:t>
      </w:r>
    </w:p>
    <w:p w:rsidR="005A629C" w:rsidRPr="00C05B56" w:rsidRDefault="005A629C" w:rsidP="005A629C">
      <w:pPr>
        <w:pStyle w:val="Normaltindrag"/>
      </w:pPr>
      <w:r w:rsidRPr="00C05B56">
        <w:t>Vid en överföring av specialdomstolarnas uppgifter till de allmänna do</w:t>
      </w:r>
      <w:r w:rsidRPr="00C05B56">
        <w:t>m</w:t>
      </w:r>
      <w:r w:rsidRPr="00C05B56">
        <w:t>stolarna är det givetvis av stor vikt att man tar till vara den kompetens som utvecklats vid specialdomstolarna. Specialdomstolarna har inrättats eftersom det har ansetts kräva särskild sakkunskap att avgöra tvister inom vissa rätt</w:t>
      </w:r>
      <w:r w:rsidRPr="00C05B56">
        <w:t>s</w:t>
      </w:r>
      <w:r w:rsidRPr="00C05B56">
        <w:t xml:space="preserve">områden. För att tillgodose nödvändigheten av denna speciella kompetens vid dylika mål torde ett system med rotlar, där domare med specialistkompetens ingår, kunna införas vid vissa domstolar. Till de specifika målen kan sedan utomstående expertis knytas och kunna höras vid behov. </w:t>
      </w:r>
    </w:p>
    <w:p w:rsidR="005A629C" w:rsidRPr="00C05B56" w:rsidRDefault="005A629C" w:rsidP="005A629C">
      <w:pPr>
        <w:pStyle w:val="Normaltindrag"/>
      </w:pPr>
      <w:r w:rsidRPr="00C05B56">
        <w:t>Folkpartiet liberalerna vill således att ett utredningsarbete påbörjas med den ovan nämnda inriktningen. Kostnaderna och besparingarna för omorgan</w:t>
      </w:r>
      <w:r w:rsidRPr="00C05B56">
        <w:t>i</w:t>
      </w:r>
      <w:r w:rsidRPr="00C05B56">
        <w:t>sationen bör noga utredas och redovisas i samband med förslag till förän</w:t>
      </w:r>
      <w:r w:rsidRPr="00C05B56">
        <w:t>d</w:t>
      </w:r>
      <w:r w:rsidRPr="00C05B56">
        <w:t>ringar.</w:t>
      </w:r>
    </w:p>
    <w:p w:rsidR="005A629C" w:rsidRPr="00C05B56" w:rsidRDefault="005A629C" w:rsidP="005A629C">
      <w:pPr>
        <w:pStyle w:val="Rubrik1"/>
      </w:pPr>
      <w:bookmarkStart w:id="31" w:name="_Toc84235943"/>
      <w:bookmarkStart w:id="32" w:name="_Toc117071550"/>
      <w:r w:rsidRPr="00C05B56">
        <w:t>Offentlighet vid rättegångar</w:t>
      </w:r>
      <w:bookmarkEnd w:id="31"/>
      <w:bookmarkEnd w:id="32"/>
    </w:p>
    <w:p w:rsidR="005A629C" w:rsidRPr="00C05B56" w:rsidRDefault="005A629C" w:rsidP="005A629C">
      <w:r w:rsidRPr="00C05B56">
        <w:t>Det förefaller som om domstolarna i allt större utsträckning håller förhandling inom stängda dörrar. Utvecklingen riskerar att urholka förtroendet för do</w:t>
      </w:r>
      <w:r w:rsidRPr="00C05B56">
        <w:t>m</w:t>
      </w:r>
      <w:r w:rsidRPr="00C05B56">
        <w:t xml:space="preserve">stolarna genom att möjligheterna till insyn minskar. Givetvis finns det ibland anledning att besluta om sådana åtgärder. För att bevara denna möjlighet får det </w:t>
      </w:r>
      <w:r w:rsidR="00375E6C" w:rsidRPr="00C05B56">
        <w:t xml:space="preserve">dock </w:t>
      </w:r>
      <w:r w:rsidRPr="00C05B56">
        <w:t>inte finnas misstanke om att sådana beslut fattas slentrianmässigt</w:t>
      </w:r>
      <w:r w:rsidR="00375E6C" w:rsidRPr="00C05B56">
        <w:t>,</w:t>
      </w:r>
      <w:r w:rsidRPr="00C05B56">
        <w:t xml:space="preserve"> </w:t>
      </w:r>
      <w:r w:rsidR="00375E6C" w:rsidRPr="00C05B56">
        <w:t>b</w:t>
      </w:r>
      <w:r w:rsidRPr="00C05B56">
        <w:t xml:space="preserve">eslut om stängda dörrar </w:t>
      </w:r>
      <w:r w:rsidR="00375E6C" w:rsidRPr="00C05B56">
        <w:t>ska även</w:t>
      </w:r>
      <w:r w:rsidRPr="00C05B56">
        <w:t xml:space="preserve"> fortsättningsvis föregås av noggrann prö</w:t>
      </w:r>
      <w:r w:rsidRPr="00C05B56">
        <w:t>v</w:t>
      </w:r>
      <w:r w:rsidRPr="00C05B56">
        <w:t>ning.</w:t>
      </w:r>
      <w:r w:rsidR="00A71C5F" w:rsidRPr="00C05B56">
        <w:t xml:space="preserve"> </w:t>
      </w:r>
      <w:r w:rsidR="007D044B" w:rsidRPr="00C05B56">
        <w:t xml:space="preserve">Men vi vill </w:t>
      </w:r>
      <w:r w:rsidR="00375E6C" w:rsidRPr="00C05B56">
        <w:t>också</w:t>
      </w:r>
      <w:r w:rsidR="007D044B" w:rsidRPr="00C05B56">
        <w:t xml:space="preserve"> uppmärksamma </w:t>
      </w:r>
      <w:r w:rsidR="008F430C" w:rsidRPr="00C05B56">
        <w:t>att i flera</w:t>
      </w:r>
      <w:r w:rsidR="007D044B" w:rsidRPr="00C05B56">
        <w:t xml:space="preserve"> </w:t>
      </w:r>
      <w:r w:rsidR="008F430C" w:rsidRPr="00C05B56">
        <w:t xml:space="preserve">brottsmål </w:t>
      </w:r>
      <w:r w:rsidR="00DD47ED" w:rsidRPr="00C05B56">
        <w:t xml:space="preserve">förekommer det att åhörarna befinner sig i rättssalen </w:t>
      </w:r>
      <w:r w:rsidR="00CA6443" w:rsidRPr="00C05B56">
        <w:t xml:space="preserve">med syftet </w:t>
      </w:r>
      <w:r w:rsidR="00DD47ED" w:rsidRPr="00C05B56">
        <w:t xml:space="preserve">att utöva påtryckningar och skrämma vittnen och målsägande genom sin blotta närvaro. </w:t>
      </w:r>
      <w:r w:rsidR="00366652" w:rsidRPr="00C05B56">
        <w:t xml:space="preserve">I dessa fall det å andra sidan vara motiverat att överväga en utökad möjlighet till förhandling inom stängda dörrar. </w:t>
      </w:r>
    </w:p>
    <w:p w:rsidR="00EE1EC6" w:rsidRPr="00C05B56" w:rsidRDefault="00F857F7" w:rsidP="00EE1EC6">
      <w:pPr>
        <w:pStyle w:val="Normaltindrag"/>
      </w:pPr>
      <w:r w:rsidRPr="00C05B56">
        <w:t xml:space="preserve">När det gäller TV-sända rättegångar menar vi att det bör övervägas att </w:t>
      </w:r>
      <w:r w:rsidR="00EE1EC6" w:rsidRPr="00C05B56">
        <w:t>ti</w:t>
      </w:r>
      <w:r w:rsidR="00EE1EC6" w:rsidRPr="00C05B56">
        <w:t>l</w:t>
      </w:r>
      <w:r w:rsidR="00EE1EC6" w:rsidRPr="00C05B56">
        <w:t xml:space="preserve">låta </w:t>
      </w:r>
      <w:r w:rsidRPr="00C05B56">
        <w:t xml:space="preserve">detta i fler fall </w:t>
      </w:r>
      <w:r w:rsidR="00EE1EC6" w:rsidRPr="00C05B56">
        <w:t xml:space="preserve">för att verkligen öppna upp </w:t>
      </w:r>
      <w:r w:rsidRPr="00C05B56">
        <w:t xml:space="preserve">domstolarnas verksamhet. I fall med stort allmänintresse </w:t>
      </w:r>
      <w:r w:rsidR="00903797" w:rsidRPr="00C05B56">
        <w:t>kan detta vara viktigt, men givetvis</w:t>
      </w:r>
      <w:r w:rsidR="00EE1EC6" w:rsidRPr="00C05B56">
        <w:t xml:space="preserve"> skall </w:t>
      </w:r>
      <w:r w:rsidR="00903797" w:rsidRPr="00C05B56">
        <w:t xml:space="preserve">det vara </w:t>
      </w:r>
      <w:r w:rsidR="00EE1EC6" w:rsidRPr="00C05B56">
        <w:t xml:space="preserve">domaren </w:t>
      </w:r>
      <w:r w:rsidR="00903797" w:rsidRPr="00C05B56">
        <w:t xml:space="preserve">som </w:t>
      </w:r>
      <w:r w:rsidR="00EE1EC6" w:rsidRPr="00C05B56">
        <w:t>avgör</w:t>
      </w:r>
      <w:r w:rsidR="00903797" w:rsidRPr="00C05B56">
        <w:t xml:space="preserve"> om detta är lämpligt i det enskilda fallet. </w:t>
      </w:r>
      <w:r w:rsidR="00EE1EC6" w:rsidRPr="00C05B56">
        <w:t xml:space="preserve"> </w:t>
      </w:r>
    </w:p>
    <w:p w:rsidR="006546DE" w:rsidRPr="00C05B56" w:rsidRDefault="00EE6334" w:rsidP="006546DE">
      <w:pPr>
        <w:pStyle w:val="Rubrik1"/>
      </w:pPr>
      <w:bookmarkStart w:id="33" w:name="_Toc117071551"/>
      <w:r w:rsidRPr="00C05B56">
        <w:t>A</w:t>
      </w:r>
      <w:r w:rsidR="006546DE" w:rsidRPr="00C05B56">
        <w:t>nvändning</w:t>
      </w:r>
      <w:r w:rsidRPr="00C05B56">
        <w:t>en</w:t>
      </w:r>
      <w:r w:rsidR="006546DE" w:rsidRPr="00C05B56">
        <w:t xml:space="preserve"> av videokonferens</w:t>
      </w:r>
      <w:bookmarkEnd w:id="33"/>
      <w:r w:rsidR="006546DE" w:rsidRPr="00C05B56">
        <w:t xml:space="preserve"> </w:t>
      </w:r>
    </w:p>
    <w:p w:rsidR="00A549E3" w:rsidRPr="00C05B56" w:rsidRDefault="00A549E3" w:rsidP="00A549E3">
      <w:r w:rsidRPr="00C05B56">
        <w:t>Möjligheten för en part att i vissa fall delta i muntlig förhandling inför rätten genom videokonferens, medför en effektivare och flexiblare handläggning av målen i domstolarna – vilket också leder till ökad tillgänglighet för medbo</w:t>
      </w:r>
      <w:r w:rsidRPr="00C05B56">
        <w:t>r</w:t>
      </w:r>
      <w:r w:rsidRPr="00C05B56">
        <w:t>garna. Det är också positivt att tekniken kan användas för bevisupptagning</w:t>
      </w:r>
      <w:r w:rsidR="00577C3C" w:rsidRPr="00C05B56">
        <w:t xml:space="preserve">. </w:t>
      </w:r>
      <w:r w:rsidR="00BF5E35" w:rsidRPr="00C05B56">
        <w:t xml:space="preserve">Folkpartiet </w:t>
      </w:r>
      <w:r w:rsidR="008C5A29" w:rsidRPr="00C05B56">
        <w:t>välkomnade därför i huvudsak lagförslaget ”En modernare rätt</w:t>
      </w:r>
      <w:r w:rsidR="008C5A29" w:rsidRPr="00C05B56">
        <w:t>e</w:t>
      </w:r>
      <w:r w:rsidR="008C5A29" w:rsidRPr="00C05B56">
        <w:t>gång</w:t>
      </w:r>
      <w:r w:rsidR="001C44E0" w:rsidRPr="00C05B56">
        <w:t>”</w:t>
      </w:r>
      <w:r w:rsidR="008C5A29" w:rsidRPr="00C05B56">
        <w:t xml:space="preserve"> (prop. 2004/05:131) som bl. a. </w:t>
      </w:r>
      <w:r w:rsidR="006F3499" w:rsidRPr="00C05B56">
        <w:t xml:space="preserve">innebär </w:t>
      </w:r>
      <w:r w:rsidR="002D62D8" w:rsidRPr="00C05B56">
        <w:t xml:space="preserve">att försöksverksamheten med videokonferens permanentas och utvecklas. </w:t>
      </w:r>
      <w:r w:rsidR="00386231" w:rsidRPr="00C05B56">
        <w:t xml:space="preserve">Vi kommer att följa utveckling och </w:t>
      </w:r>
      <w:r w:rsidR="00173BCE" w:rsidRPr="00C05B56">
        <w:t xml:space="preserve">menar att en utvärdering av systemet bör göras inom en snar framtid för att säkerställa att </w:t>
      </w:r>
      <w:r w:rsidR="00E0047F" w:rsidRPr="00C05B56">
        <w:t>denna teknik verkligen används och att rättssäkerheten up</w:t>
      </w:r>
      <w:r w:rsidR="00E0047F" w:rsidRPr="00C05B56">
        <w:t>p</w:t>
      </w:r>
      <w:r w:rsidR="00E0047F" w:rsidRPr="00C05B56">
        <w:t xml:space="preserve">rätthålls. </w:t>
      </w:r>
    </w:p>
    <w:p w:rsidR="005A629C" w:rsidRPr="00C05B56" w:rsidRDefault="005A629C" w:rsidP="005A629C">
      <w:pPr>
        <w:pStyle w:val="Rubrik1"/>
      </w:pPr>
      <w:bookmarkStart w:id="34" w:name="_Toc84235944"/>
      <w:bookmarkStart w:id="35" w:name="_Toc117071552"/>
      <w:r w:rsidRPr="00C05B56">
        <w:t>Vittnesstöd</w:t>
      </w:r>
      <w:bookmarkEnd w:id="34"/>
      <w:bookmarkEnd w:id="35"/>
      <w:r w:rsidRPr="00C05B56">
        <w:t xml:space="preserve"> </w:t>
      </w:r>
    </w:p>
    <w:p w:rsidR="005A629C" w:rsidRPr="00C05B56" w:rsidRDefault="005A629C" w:rsidP="00AB4FA8">
      <w:r w:rsidRPr="00C05B56">
        <w:t>I Sverige inrättades den första vittnesstödsverksamheten 1995 och hela ver</w:t>
      </w:r>
      <w:r w:rsidRPr="00C05B56">
        <w:t>k</w:t>
      </w:r>
      <w:r w:rsidRPr="00C05B56">
        <w:t>samheten bedrivs ideellt via lokala brottsofferjourer och med stöd från Brottsoffermyndigheten. Folkpartiet liberalerna anser att vittnesstödsver</w:t>
      </w:r>
      <w:r w:rsidRPr="00C05B56">
        <w:t>k</w:t>
      </w:r>
      <w:r w:rsidRPr="00C05B56">
        <w:t>samheten är mycket viktig och bidrar till en ökad chans att vittnen verkligen kommer till domstolarna, avlägger bättre vittnesmål och känner sig bättre till mods när de lämnar do</w:t>
      </w:r>
      <w:r w:rsidRPr="00C05B56">
        <w:t>m</w:t>
      </w:r>
      <w:r w:rsidRPr="00C05B56">
        <w:t>stolen. De idag c</w:t>
      </w:r>
      <w:r w:rsidR="00827870" w:rsidRPr="00C05B56">
        <w:t>irka</w:t>
      </w:r>
      <w:r w:rsidRPr="00C05B56">
        <w:t xml:space="preserve"> tusen personer som arbetar ideellt som vittnesstöd runt om i landet gör således en mycket viktig insats.</w:t>
      </w:r>
    </w:p>
    <w:p w:rsidR="005A629C" w:rsidRPr="00C05B56" w:rsidRDefault="005A629C" w:rsidP="005A629C">
      <w:pPr>
        <w:pStyle w:val="Normaltindrag"/>
      </w:pPr>
      <w:r w:rsidRPr="00C05B56">
        <w:t>Brottsoffermyndigheten och Domstolsverket slutredovisade i april 2004 sitt regeringsuppdrag att medverka till att vittnesstödsverksamhet inrättas vid landets domstolar. De båda myndigheternas rapport visa</w:t>
      </w:r>
      <w:r w:rsidR="00827870" w:rsidRPr="00C05B56">
        <w:t>de</w:t>
      </w:r>
      <w:r w:rsidRPr="00C05B56">
        <w:t xml:space="preserve"> att vittnesstöd</w:t>
      </w:r>
      <w:r w:rsidRPr="00C05B56">
        <w:t>s</w:t>
      </w:r>
      <w:r w:rsidRPr="00C05B56">
        <w:t>verksamheten idag är en utbredd och etablerad verksamhet som f</w:t>
      </w:r>
      <w:r w:rsidR="00827870" w:rsidRPr="00C05B56">
        <w:t>a</w:t>
      </w:r>
      <w:r w:rsidRPr="00C05B56">
        <w:t>nns vid fem av landets sex hovrätter och i 76 av totalt 79 tingsrätter/kansliorter. Särskilt inrättade vittnesstödsrum, som gör att målsägare och vittnen slipper sitta i samma väntrum som de tilltalade, f</w:t>
      </w:r>
      <w:r w:rsidR="00827870" w:rsidRPr="00C05B56">
        <w:t>a</w:t>
      </w:r>
      <w:r w:rsidRPr="00C05B56">
        <w:t>nns vid hälften av hovrätterna och på 50 av tingsrätterna/kansliorterna. De brister och problem som uppmärksammas i rapporten är enligt myndigheterna till stor del av praktisk karaktär och gäller samordning eller kommunikation mellan domstol och vittnesstödsverksamhet.</w:t>
      </w:r>
    </w:p>
    <w:p w:rsidR="005A629C" w:rsidRPr="00C05B56" w:rsidRDefault="005A629C" w:rsidP="005A629C">
      <w:pPr>
        <w:pStyle w:val="Normaltindrag"/>
      </w:pPr>
      <w:r w:rsidRPr="00C05B56">
        <w:t>Några av åtgärdsförslagen i rapporten är att samordningen vid tingsrätterna i Stockholm, Göteborg och Malmö bör få en enhetlig lösning genom heltid</w:t>
      </w:r>
      <w:r w:rsidRPr="00C05B56">
        <w:t>s</w:t>
      </w:r>
      <w:r w:rsidRPr="00C05B56">
        <w:t>anställda vittnesstödssamordnare och att ”ideella föreningar som bedriver vittnesstödsverksamhet bör få ett årligt bidrag för att underlätta samordning och skapa gynnsammare förhållanden för verksamheten.” Folkpartiet liber</w:t>
      </w:r>
      <w:r w:rsidRPr="00C05B56">
        <w:t>a</w:t>
      </w:r>
      <w:r w:rsidRPr="00C05B56">
        <w:t xml:space="preserve">lerna anser att dessa åtgärder </w:t>
      </w:r>
      <w:r w:rsidR="00827870" w:rsidRPr="00C05B56">
        <w:t xml:space="preserve">är viktiga </w:t>
      </w:r>
      <w:r w:rsidRPr="00C05B56">
        <w:t>och att vittnesstödsverksamheten permanentas. De domstolar som fortfarande saknar vittnesstödsrum bör sn</w:t>
      </w:r>
      <w:r w:rsidRPr="00C05B56">
        <w:t>a</w:t>
      </w:r>
      <w:r w:rsidRPr="00C05B56">
        <w:t xml:space="preserve">rast inrätta ett sådant. </w:t>
      </w:r>
      <w:r w:rsidR="002E15A2" w:rsidRPr="00C05B56">
        <w:t xml:space="preserve">Vi menar också att vad som ovan sagts också bör gälla i lika hög grad för målsägare </w:t>
      </w:r>
      <w:r w:rsidR="00B71B4D" w:rsidRPr="00C05B56">
        <w:t>som kallas för att höras i domstol.</w:t>
      </w:r>
    </w:p>
    <w:p w:rsidR="005A629C" w:rsidRPr="00C05B56" w:rsidRDefault="005A629C" w:rsidP="005A629C">
      <w:pPr>
        <w:pStyle w:val="Rubrik1"/>
      </w:pPr>
      <w:bookmarkStart w:id="36" w:name="_Toc84235946"/>
      <w:bookmarkStart w:id="37" w:name="_Toc117071553"/>
      <w:r w:rsidRPr="00C05B56">
        <w:t>Säkerheten i domstolarna</w:t>
      </w:r>
      <w:bookmarkEnd w:id="36"/>
      <w:bookmarkEnd w:id="37"/>
    </w:p>
    <w:p w:rsidR="005A629C" w:rsidRPr="00C05B56" w:rsidRDefault="005A629C" w:rsidP="005A629C">
      <w:r w:rsidRPr="00C05B56">
        <w:t>Domstolspersonal, parterna och ombuden i en rättsprocess, vittnen m</w:t>
      </w:r>
      <w:r w:rsidR="00056BE4" w:rsidRPr="00C05B56">
        <w:t>.</w:t>
      </w:r>
      <w:r w:rsidRPr="00C05B56">
        <w:t>fl</w:t>
      </w:r>
      <w:r w:rsidR="00056BE4" w:rsidRPr="00C05B56">
        <w:t>.</w:t>
      </w:r>
      <w:r w:rsidRPr="00C05B56">
        <w:t xml:space="preserve"> må</w:t>
      </w:r>
      <w:r w:rsidRPr="00C05B56">
        <w:t>s</w:t>
      </w:r>
      <w:r w:rsidRPr="00C05B56">
        <w:t>te garanteras att ett väl utvecklat säkerhetstänkande och säkerhetsarbete för</w:t>
      </w:r>
      <w:r w:rsidRPr="00C05B56">
        <w:t>e</w:t>
      </w:r>
      <w:r w:rsidRPr="00C05B56">
        <w:t>ligger i varje domstol. Domstolsverkets rapport ”Framtida riktlinjer för säke</w:t>
      </w:r>
      <w:r w:rsidRPr="00C05B56">
        <w:t>r</w:t>
      </w:r>
      <w:r w:rsidRPr="00C05B56">
        <w:t>hetsarbete i domstolsväsendet” (DV-rapport 2002:6) visade att hot och våld i domstolarna ökat på senare tid och sannolikt även kommer att fortsätta öka. I rapporten redovisas ett flertal åtgärder som bör vidtas för att ytterligare öka säkerheten i landets domstolar. Arbetet med att förbättra säkerheten har p</w:t>
      </w:r>
      <w:r w:rsidRPr="00C05B56">
        <w:t>å</w:t>
      </w:r>
      <w:r w:rsidRPr="00C05B56">
        <w:t>börjats och omfattar främst åtgärder av praktisk art, t</w:t>
      </w:r>
      <w:r w:rsidR="00056BE4" w:rsidRPr="00C05B56">
        <w:t>.</w:t>
      </w:r>
      <w:r w:rsidRPr="00C05B56">
        <w:t>ex</w:t>
      </w:r>
      <w:r w:rsidR="00056BE4" w:rsidRPr="00C05B56">
        <w:t>.</w:t>
      </w:r>
      <w:r w:rsidRPr="00C05B56">
        <w:t xml:space="preserve"> att upprätta säke</w:t>
      </w:r>
      <w:r w:rsidRPr="00C05B56">
        <w:t>r</w:t>
      </w:r>
      <w:r w:rsidRPr="00C05B56">
        <w:t>hetsplaner, ändrade rutiner och organisering av krisgrupper. Omdispon</w:t>
      </w:r>
      <w:r w:rsidRPr="00C05B56">
        <w:t>e</w:t>
      </w:r>
      <w:r w:rsidRPr="00C05B56">
        <w:t xml:space="preserve">ringar inom befintliga lokaler och om- eller tillbyggnader sker också till viss del. </w:t>
      </w:r>
    </w:p>
    <w:p w:rsidR="005A629C" w:rsidRPr="00C05B56" w:rsidRDefault="005A629C" w:rsidP="005A629C">
      <w:pPr>
        <w:pStyle w:val="Normaltindrag"/>
      </w:pPr>
      <w:r w:rsidRPr="00C05B56">
        <w:t>Folkpartiet liberalerna menar att det behövs en kontinuerlig, ordentlig översyn och uppföljning av säkerheten i landets domstolar. Många av byg</w:t>
      </w:r>
      <w:r w:rsidRPr="00C05B56">
        <w:t>g</w:t>
      </w:r>
      <w:r w:rsidRPr="00C05B56">
        <w:t xml:space="preserve">naderna är gamla och fortfarande inte anpassade efter dagens ökade behov av säkerhet, såväl i själva rättssalen som vid ingångarna till byggnaderna. Även arbetet med åtgärdsplaner och samverkan i säkerhetsfrågor med lokal polis och åklagare måste vara kontinuerligt och väl utvecklat vid samtliga landets domstolar. </w:t>
      </w:r>
    </w:p>
    <w:p w:rsidR="005A629C" w:rsidRPr="00C05B56" w:rsidRDefault="005A629C" w:rsidP="005A629C">
      <w:pPr>
        <w:pStyle w:val="Rubrik2"/>
      </w:pPr>
      <w:bookmarkStart w:id="38" w:name="_Toc84235947"/>
      <w:bookmarkStart w:id="39" w:name="_Toc117071554"/>
      <w:r w:rsidRPr="00C05B56">
        <w:t>Brottsregisterkontroll även för domstolsanställda</w:t>
      </w:r>
      <w:bookmarkEnd w:id="38"/>
      <w:bookmarkEnd w:id="39"/>
    </w:p>
    <w:p w:rsidR="005A629C" w:rsidRPr="00C05B56" w:rsidRDefault="005A629C" w:rsidP="005A629C">
      <w:r w:rsidRPr="00C05B56">
        <w:t>Flertalet myndighetsanställda personalgrupper kontrolleras idag mot polisens brottsregister innan anställning. Detta gäller exempelvis för lärare, poliser och värnpliktiga. Domstolsanställda kan dock inte kontrolleras, varken de som anställs av Domstolsverket som notarier eller de som tillsätts av regeringen som domare. Domstolsverket har dock upptäckt fall där notarier innan a</w:t>
      </w:r>
      <w:r w:rsidRPr="00C05B56">
        <w:t>n</w:t>
      </w:r>
      <w:r w:rsidRPr="00C05B56">
        <w:t xml:space="preserve">ställning hade begått brott. </w:t>
      </w:r>
    </w:p>
    <w:p w:rsidR="005A629C" w:rsidRPr="00C05B56" w:rsidRDefault="005A629C" w:rsidP="005A629C">
      <w:pPr>
        <w:pStyle w:val="Normaltindrag"/>
      </w:pPr>
      <w:r w:rsidRPr="00C05B56">
        <w:t xml:space="preserve">Folkpartiet liberalerna menar att det är viktigt att medborgarnas förtroende för rättsväsendet och särskilt den dömande makten är högt. Vi anser att frågan om möjlighet till brottsregisterkontroll även för domstolsanställda – såväl notarier som domare – snarast bör övervägas noggrant. </w:t>
      </w:r>
    </w:p>
    <w:p w:rsidR="005A629C" w:rsidRPr="00C05B56" w:rsidRDefault="005A629C" w:rsidP="005A629C">
      <w:pPr>
        <w:pStyle w:val="Rubrik1"/>
      </w:pPr>
      <w:bookmarkStart w:id="40" w:name="_Toc84235948"/>
      <w:bookmarkStart w:id="41" w:name="_Toc117071555"/>
      <w:r w:rsidRPr="00C05B56">
        <w:t>Ersättningen till nämndemän</w:t>
      </w:r>
      <w:bookmarkEnd w:id="40"/>
      <w:bookmarkEnd w:id="41"/>
    </w:p>
    <w:p w:rsidR="005A629C" w:rsidRPr="00C05B56" w:rsidRDefault="005A629C" w:rsidP="005A629C">
      <w:r w:rsidRPr="00C05B56">
        <w:t>Idag erhåller nämndemän en ersättning om 300 kronor per förhandlingsdag i domstol. En viss ytterligare ersättning kan tillkomma för förlorad arbetsi</w:t>
      </w:r>
      <w:r w:rsidRPr="00C05B56">
        <w:t>n</w:t>
      </w:r>
      <w:r w:rsidRPr="00C05B56">
        <w:t>komst. Folkpartiet liberalerna kan konstatera att ersättningsbeloppet inte har ändrats sedan 1989. Beloppet kan jämföras med t</w:t>
      </w:r>
      <w:r w:rsidR="00056BE4" w:rsidRPr="00C05B56">
        <w:t>.</w:t>
      </w:r>
      <w:r w:rsidRPr="00C05B56">
        <w:t xml:space="preserve"> ex</w:t>
      </w:r>
      <w:r w:rsidR="00056BE4" w:rsidRPr="00C05B56">
        <w:t>.</w:t>
      </w:r>
      <w:r w:rsidRPr="00C05B56">
        <w:t xml:space="preserve"> vittnesersättningen som oftast uppgår till maximala 700 kronor per dag skattefritt. Det kan också jä</w:t>
      </w:r>
      <w:r w:rsidRPr="00C05B56">
        <w:t>m</w:t>
      </w:r>
      <w:r w:rsidRPr="00C05B56">
        <w:t xml:space="preserve">föras med andra offentliga uppdrag vilket visar att beloppet är </w:t>
      </w:r>
      <w:r w:rsidR="00FF1559" w:rsidRPr="00C05B56">
        <w:t xml:space="preserve">mycket </w:t>
      </w:r>
      <w:r w:rsidRPr="00C05B56">
        <w:t>lågt.</w:t>
      </w:r>
    </w:p>
    <w:p w:rsidR="005A629C" w:rsidRPr="00C05B56" w:rsidRDefault="005A629C" w:rsidP="005A629C">
      <w:pPr>
        <w:pStyle w:val="Normaltindrag"/>
      </w:pPr>
      <w:r w:rsidRPr="00C05B56">
        <w:t>Redan i betänkandet ”Framtidens nämndemän” (SOU 2002:61) föreslogs en höjning av beloppet till 500 kronor fr</w:t>
      </w:r>
      <w:r w:rsidR="00056BE4" w:rsidRPr="00C05B56">
        <w:t>.</w:t>
      </w:r>
      <w:r w:rsidRPr="00C05B56">
        <w:t>o</w:t>
      </w:r>
      <w:r w:rsidR="00056BE4" w:rsidRPr="00C05B56">
        <w:t>.</w:t>
      </w:r>
      <w:r w:rsidRPr="00C05B56">
        <w:t>m</w:t>
      </w:r>
      <w:r w:rsidR="00056BE4" w:rsidRPr="00C05B56">
        <w:t>.</w:t>
      </w:r>
      <w:r w:rsidRPr="00C05B56">
        <w:t xml:space="preserve"> 2004. Folkpartiet liberalerna anser att nämndemännens ersättningsvillkor</w:t>
      </w:r>
      <w:r w:rsidR="00F64600" w:rsidRPr="00C05B56">
        <w:t xml:space="preserve"> i största möjliga mån bör vara utformade på ett sätt som inte gör att människor avstår från uppdraget p</w:t>
      </w:r>
      <w:r w:rsidR="00AB4FA8" w:rsidRPr="00C05B56">
        <w:t>å grund av</w:t>
      </w:r>
      <w:r w:rsidR="00F64600" w:rsidRPr="00C05B56">
        <w:t xml:space="preserve"> ekonomiska skäl. </w:t>
      </w:r>
      <w:r w:rsidRPr="00C05B56">
        <w:t>Vi anser därför att en höjning av ersättningsnivån bör öve</w:t>
      </w:r>
      <w:r w:rsidRPr="00C05B56">
        <w:t>r</w:t>
      </w:r>
      <w:r w:rsidRPr="00C05B56">
        <w:t xml:space="preserve">vägas. </w:t>
      </w:r>
    </w:p>
    <w:p w:rsidR="005A629C" w:rsidRPr="00C05B56" w:rsidRDefault="005A629C" w:rsidP="005A629C">
      <w:pPr>
        <w:pStyle w:val="Rubrik1"/>
      </w:pPr>
      <w:bookmarkStart w:id="42" w:name="_Toc84235949"/>
      <w:bookmarkStart w:id="43" w:name="_Toc117071556"/>
      <w:r w:rsidRPr="00C05B56">
        <w:t>Ett stärkt åklagarväsende</w:t>
      </w:r>
      <w:bookmarkEnd w:id="42"/>
      <w:bookmarkEnd w:id="43"/>
    </w:p>
    <w:p w:rsidR="005A629C" w:rsidRPr="00C05B56" w:rsidRDefault="005A629C" w:rsidP="005A629C">
      <w:r w:rsidRPr="00C05B56">
        <w:t xml:space="preserve">Åklagarväsendets huvuduppgifter är att leda brottsutredningar, besluta om åtal och föra talan vid domstol. Åklagarnas roll är central för en minskning av brottsligheten och för en effektiv och rättssäker lagföring av den som begått brott. Ett väl utvecklat nära samarbete med polisen är även av största vikt för bättre brottsutredningar och ökat antal lagföringar. </w:t>
      </w:r>
    </w:p>
    <w:p w:rsidR="005A629C" w:rsidRPr="00C05B56" w:rsidRDefault="00AB4FA8" w:rsidP="005A629C">
      <w:pPr>
        <w:pStyle w:val="Normaltindrag"/>
      </w:pPr>
      <w:r w:rsidRPr="00C05B56">
        <w:t>Regeringens mål är bl.</w:t>
      </w:r>
      <w:r w:rsidR="00D16E7D" w:rsidRPr="00C05B56">
        <w:t>a</w:t>
      </w:r>
      <w:r w:rsidR="008F3242" w:rsidRPr="00C05B56">
        <w:t>.</w:t>
      </w:r>
      <w:r w:rsidR="005A629C" w:rsidRPr="00C05B56">
        <w:t xml:space="preserve"> att fler brott ska leda till lagföring och att rik</w:t>
      </w:r>
      <w:r w:rsidR="005A629C" w:rsidRPr="00C05B56">
        <w:t>s</w:t>
      </w:r>
      <w:r w:rsidR="005A629C" w:rsidRPr="00C05B56">
        <w:t>åklagaren (RÅ) ska verka för en långsiktig och god personalförsörjning. Det krävs också en förbättring av lagföringskapaciteten som under 1997</w:t>
      </w:r>
      <w:r w:rsidR="00BF1698" w:rsidRPr="00C05B56">
        <w:t>–</w:t>
      </w:r>
      <w:r w:rsidR="005A629C" w:rsidRPr="00C05B56">
        <w:t xml:space="preserve">2002 har legat på 60 </w:t>
      </w:r>
      <w:r w:rsidR="00BF1698" w:rsidRPr="00C05B56">
        <w:t>%</w:t>
      </w:r>
      <w:r w:rsidR="005A629C" w:rsidRPr="00C05B56">
        <w:t>. På kort sikt är åklagarorganisationens ekonomi i balans. A</w:t>
      </w:r>
      <w:r w:rsidR="005A629C" w:rsidRPr="00C05B56">
        <w:t>r</w:t>
      </w:r>
      <w:r w:rsidR="005A629C" w:rsidRPr="00C05B56">
        <w:t xml:space="preserve">betsbelastningen är dock enligt RÅ fortfarande mycket hög </w:t>
      </w:r>
      <w:r w:rsidR="00BF1698" w:rsidRPr="00C05B56">
        <w:t>–</w:t>
      </w:r>
      <w:r w:rsidR="005A629C" w:rsidRPr="00C05B56">
        <w:t xml:space="preserve"> orsaken är e</w:t>
      </w:r>
      <w:r w:rsidR="005A629C" w:rsidRPr="00C05B56">
        <w:t>n</w:t>
      </w:r>
      <w:r w:rsidR="005A629C" w:rsidRPr="00C05B56">
        <w:t>ligt RÅ ”att organisationen varit underdimensionerad från starten” (RÅ:s budgetunderlag för 2005</w:t>
      </w:r>
      <w:r w:rsidR="00BF1698" w:rsidRPr="00C05B56">
        <w:t>–</w:t>
      </w:r>
      <w:r w:rsidR="005A629C" w:rsidRPr="00C05B56">
        <w:t>2007). Mot bakgrund av ett svårt ekonomiskt läge skedde en personalminskning i början av 2003 samt en minskning av utry</w:t>
      </w:r>
      <w:r w:rsidR="005A629C" w:rsidRPr="00C05B56">
        <w:t>m</w:t>
      </w:r>
      <w:r w:rsidR="005A629C" w:rsidRPr="00C05B56">
        <w:t xml:space="preserve">met för utveckling och utbildning. Detta ledde till att Arbetsmiljöinspektionen rapporterade stora brister i balansen mellan resurser och arbetsmängd och att sjukfrånvaron ökade under 2003. </w:t>
      </w:r>
    </w:p>
    <w:p w:rsidR="007E0909" w:rsidRPr="00C05B56" w:rsidRDefault="002A5A47" w:rsidP="007E0909">
      <w:pPr>
        <w:pStyle w:val="Normaltindrag"/>
      </w:pPr>
      <w:r w:rsidRPr="00C05B56">
        <w:t>Regeringen</w:t>
      </w:r>
      <w:r w:rsidR="005A629C" w:rsidRPr="00C05B56">
        <w:t xml:space="preserve"> konstatera</w:t>
      </w:r>
      <w:r w:rsidRPr="00C05B56">
        <w:t>r</w:t>
      </w:r>
      <w:r w:rsidR="005A629C" w:rsidRPr="00C05B56">
        <w:t xml:space="preserve"> att det ekonomiska läget för åklagarorganisationen har varit ”ansträngt med en ohållbar personalsituation och stora neddragnin</w:t>
      </w:r>
      <w:r w:rsidR="005A629C" w:rsidRPr="00C05B56">
        <w:t>g</w:t>
      </w:r>
      <w:r w:rsidR="005A629C" w:rsidRPr="00C05B56">
        <w:t xml:space="preserve">ar i utbildningsverksamheten.” </w:t>
      </w:r>
      <w:r w:rsidR="00B66170" w:rsidRPr="00C05B56">
        <w:t>Vid utgången av 2004 hade åklagarorganis</w:t>
      </w:r>
      <w:r w:rsidR="00B66170" w:rsidRPr="00C05B56">
        <w:t>a</w:t>
      </w:r>
      <w:r w:rsidR="00B66170" w:rsidRPr="00C05B56">
        <w:t xml:space="preserve">tionen ett anslagssparande på knappt 16 miljoner kronor som ställdes till regeringens förfogande. </w:t>
      </w:r>
      <w:r w:rsidR="007E0909" w:rsidRPr="00C05B56">
        <w:t>I budgetpropositionen för 2006 konstaterar regerin</w:t>
      </w:r>
      <w:r w:rsidR="007E0909" w:rsidRPr="00C05B56">
        <w:t>g</w:t>
      </w:r>
      <w:r w:rsidR="007E0909" w:rsidRPr="00C05B56">
        <w:t>en att ”ärendetillströmningen har ökat under de senaste åren samtidigt som ärendena har blivit mer komplicerade.”</w:t>
      </w:r>
      <w:r w:rsidR="001F3AFB" w:rsidRPr="00C05B56">
        <w:t xml:space="preserve"> Men de resurser som anslås är mycket blygsamma jämfört med de ambitioner regeringen ger uttryck för gällande </w:t>
      </w:r>
      <w:r w:rsidR="00CD2098" w:rsidRPr="00C05B56">
        <w:t xml:space="preserve">åklagarväsendet. </w:t>
      </w:r>
      <w:r w:rsidR="00EA6F4B" w:rsidRPr="00C05B56">
        <w:t xml:space="preserve">En av konsekvenserna är att riksåklagaren inte får tillräckligt utrymme i budgeten för att </w:t>
      </w:r>
      <w:r w:rsidR="00833B6D" w:rsidRPr="00C05B56">
        <w:t xml:space="preserve">kunna anställa de 35 specialiståklagare som skulle behövas för att bekämpa familjevåld och sexualbrott – två brottstyper som regeringen själva anser vara viktiga. </w:t>
      </w:r>
    </w:p>
    <w:p w:rsidR="00E40CA3" w:rsidRPr="00C05B56" w:rsidRDefault="005A629C" w:rsidP="00E40CA3">
      <w:pPr>
        <w:pStyle w:val="Normaltindrag"/>
      </w:pPr>
      <w:r w:rsidRPr="00C05B56">
        <w:t>Folkpartiet liberalerna anser att regeringens ambitioner för åklagarväsendet är motsägelsefulla: å ena sidan sätter de höga mål, å andra sidan inskränker de möjligheterna för åklagarna att uppfylla målen.</w:t>
      </w:r>
      <w:r w:rsidR="000E69BF" w:rsidRPr="00C05B56">
        <w:t xml:space="preserve"> </w:t>
      </w:r>
      <w:r w:rsidR="009305E6" w:rsidRPr="00C05B56">
        <w:t xml:space="preserve">I vår ekonomisk-politiska motion ”Liberala satsningar på rättsväsendet” framkommer våra ytterligare satsningar på åklagarväsendet. </w:t>
      </w:r>
    </w:p>
    <w:p w:rsidR="005A629C" w:rsidRPr="00C05B56" w:rsidRDefault="005A629C" w:rsidP="00C55742">
      <w:pPr>
        <w:pStyle w:val="Normaltindrag"/>
      </w:pPr>
      <w:r w:rsidRPr="00C05B56">
        <w:t>I</w:t>
      </w:r>
      <w:r w:rsidR="00BF1698" w:rsidRPr="00C05B56">
        <w:t xml:space="preserve"> RÅ:s budgetunderlag för 2005–</w:t>
      </w:r>
      <w:r w:rsidRPr="00C05B56">
        <w:t>2007 begärs en ökning av anslaget med 50 miljoner kronor från 2005 – att användas främst till nya åklagare som ska arbeta med komplicerade ärenden på specialistnivå inom de av regeringen prioriterade kriminalpolitiska områdena samt för att öka antalet lagförda brottslingar. Det behövs även en förstärkning av utvecklings- och utbil</w:t>
      </w:r>
      <w:r w:rsidRPr="00C05B56">
        <w:t>d</w:t>
      </w:r>
      <w:r w:rsidRPr="00C05B56">
        <w:t xml:space="preserve">ningsverksamheten. </w:t>
      </w:r>
    </w:p>
    <w:p w:rsidR="005A629C" w:rsidRPr="00C05B56" w:rsidRDefault="005A629C" w:rsidP="005A629C">
      <w:pPr>
        <w:pStyle w:val="Normaltindrag"/>
      </w:pPr>
      <w:r w:rsidRPr="00C05B56">
        <w:t>Några av de viktigaste kriminalpolitiska områdena för åklagarväsendet gäller internationellt samarbete och bekämpning av organiserad brottslighet, bekämpningen av familjerelaterat våld, mängdbrottslighet, ekonomisk brott</w:t>
      </w:r>
      <w:r w:rsidRPr="00C05B56">
        <w:t>s</w:t>
      </w:r>
      <w:r w:rsidRPr="00C05B56">
        <w:t>lighet, vålds- och narkotikabrottslighet samt miljöbrott. En stor del av resu</w:t>
      </w:r>
      <w:r w:rsidRPr="00C05B56">
        <w:t>r</w:t>
      </w:r>
      <w:r w:rsidRPr="00C05B56">
        <w:t xml:space="preserve">serna används till att bekämpa de tre sistnämnda brottstyperna – de utgjorde 29 </w:t>
      </w:r>
      <w:r w:rsidR="00BF1698" w:rsidRPr="00C05B56">
        <w:t>%</w:t>
      </w:r>
      <w:r w:rsidRPr="00C05B56">
        <w:t xml:space="preserve"> av den sammanlagda ärendemängden. Ändå är ärendetrycket hos exe</w:t>
      </w:r>
      <w:r w:rsidRPr="00C05B56">
        <w:t>m</w:t>
      </w:r>
      <w:r w:rsidRPr="00C05B56">
        <w:t xml:space="preserve">pelvis landets miljöbrottsåklagare </w:t>
      </w:r>
      <w:r w:rsidR="00602F24" w:rsidRPr="00C05B56">
        <w:t xml:space="preserve">fortfarande </w:t>
      </w:r>
      <w:r w:rsidRPr="00C05B56">
        <w:t>stort. Några verkningsfulla resursförstärkningar till åklagarväsendet kommer dock inte den socialdem</w:t>
      </w:r>
      <w:r w:rsidRPr="00C05B56">
        <w:t>o</w:t>
      </w:r>
      <w:r w:rsidRPr="00C05B56">
        <w:t xml:space="preserve">kratiska regeringen att bidra med. </w:t>
      </w:r>
    </w:p>
    <w:p w:rsidR="005A629C" w:rsidRPr="00C05B56" w:rsidRDefault="005A629C" w:rsidP="00C55742">
      <w:pPr>
        <w:pStyle w:val="Normaltindrag"/>
      </w:pPr>
      <w:r w:rsidRPr="00C05B56">
        <w:t>Folkpartiet liberalerna anser att det är angeläget att åklagarväsendet fö</w:t>
      </w:r>
      <w:r w:rsidRPr="00C05B56">
        <w:t>r</w:t>
      </w:r>
      <w:r w:rsidRPr="00C05B56">
        <w:t xml:space="preserve">stärks för att kunna möta behovet av kortare handläggningstider, hög kvalitet och ökad kompetens inom hela åklagarorganisationen. Ett led i detta </w:t>
      </w:r>
      <w:r w:rsidR="000E21A9" w:rsidRPr="00C05B56">
        <w:t>är</w:t>
      </w:r>
      <w:r w:rsidRPr="00C05B56">
        <w:t xml:space="preserve"> </w:t>
      </w:r>
      <w:r w:rsidR="00621292" w:rsidRPr="00C05B56">
        <w:t>o</w:t>
      </w:r>
      <w:r w:rsidR="00621292" w:rsidRPr="00C05B56">
        <w:t>m</w:t>
      </w:r>
      <w:r w:rsidR="00621292" w:rsidRPr="00C05B56">
        <w:t>bilda</w:t>
      </w:r>
      <w:r w:rsidR="00621292" w:rsidRPr="00C05B56">
        <w:t>n</w:t>
      </w:r>
      <w:r w:rsidR="00621292" w:rsidRPr="00C05B56">
        <w:t xml:space="preserve">det av åklagarväsendet till </w:t>
      </w:r>
      <w:r w:rsidRPr="00C05B56">
        <w:t xml:space="preserve">en </w:t>
      </w:r>
      <w:r w:rsidR="00621292" w:rsidRPr="00C05B56">
        <w:t xml:space="preserve">enda myndighet. </w:t>
      </w:r>
      <w:r w:rsidR="00010DBD" w:rsidRPr="00C05B56">
        <w:t>Vi ställ</w:t>
      </w:r>
      <w:r w:rsidR="00CE73A2" w:rsidRPr="00C05B56">
        <w:t>de</w:t>
      </w:r>
      <w:r w:rsidR="00010DBD" w:rsidRPr="00C05B56">
        <w:t xml:space="preserve"> oss positiva till den nya åklagarorganisationen </w:t>
      </w:r>
      <w:r w:rsidR="000E21A9" w:rsidRPr="00C05B56">
        <w:t>(</w:t>
      </w:r>
      <w:r w:rsidR="00CE73A2" w:rsidRPr="00C05B56">
        <w:t xml:space="preserve">prop. 2004/05:26, </w:t>
      </w:r>
      <w:r w:rsidR="000E21A9" w:rsidRPr="00C05B56">
        <w:t xml:space="preserve">bet. 2004/05:JuU11) som </w:t>
      </w:r>
      <w:r w:rsidR="00010DBD" w:rsidRPr="00C05B56">
        <w:t>lä</w:t>
      </w:r>
      <w:r w:rsidR="00010DBD" w:rsidRPr="00C05B56">
        <w:t>g</w:t>
      </w:r>
      <w:r w:rsidR="00010DBD" w:rsidRPr="00C05B56">
        <w:t>ger f</w:t>
      </w:r>
      <w:r w:rsidRPr="00C05B56">
        <w:t>okus på olika brottsområden där överåklagarna blir ansvariga för nati</w:t>
      </w:r>
      <w:r w:rsidRPr="00C05B56">
        <w:t>o</w:t>
      </w:r>
      <w:r w:rsidRPr="00C05B56">
        <w:t>nella utvecklingscentra som samlar kompetens inom olika, särskilda brott</w:t>
      </w:r>
      <w:r w:rsidRPr="00C05B56">
        <w:t>s</w:t>
      </w:r>
      <w:r w:rsidRPr="00C05B56">
        <w:t>områden. Förslaget kan innebära en mer samlad kraft och kompetens gentemot kriminaliteten, vilket är angeläget mot bakgrund av den ökande våldsbrottsligheten och allt mer organiserade gränsöverskridande brottsligh</w:t>
      </w:r>
      <w:r w:rsidRPr="00C05B56">
        <w:t>e</w:t>
      </w:r>
      <w:r w:rsidRPr="00C05B56">
        <w:t>ten. Förslaget kan också medföra en effektivare administration. Vi anser dock även att det behövs en resursförstärkning till åklagarväsendet i form av ett ökat anslag. Utan detta blir det mycket svårt för åklagarväsendet att kunna anställa flera välbehövliga specialiståklagare och att ku</w:t>
      </w:r>
      <w:r w:rsidR="00E40CA3" w:rsidRPr="00C05B56">
        <w:t>nna korta handläg</w:t>
      </w:r>
      <w:r w:rsidR="00E40CA3" w:rsidRPr="00C05B56">
        <w:t>g</w:t>
      </w:r>
      <w:r w:rsidR="00E40CA3" w:rsidRPr="00C05B56">
        <w:t xml:space="preserve">ningstiderna. </w:t>
      </w:r>
    </w:p>
    <w:p w:rsidR="00E40CA3" w:rsidRPr="00C05B56" w:rsidRDefault="00E40CA3" w:rsidP="00E40CA3">
      <w:pPr>
        <w:pStyle w:val="Normaltindrag"/>
      </w:pPr>
      <w:r w:rsidRPr="00C05B56">
        <w:t xml:space="preserve">Vi anser också att åklagarväsendet, liksom domstolsväsendet, behöver bli bättre på att arbeta för en ökad andel kvinnliga chefer.  </w:t>
      </w:r>
    </w:p>
    <w:p w:rsidR="00905D21" w:rsidRPr="00C05B56" w:rsidRDefault="00905D21" w:rsidP="00C55742">
      <w:pPr>
        <w:pStyle w:val="Normaltindrag"/>
      </w:pPr>
      <w:r w:rsidRPr="00C05B56">
        <w:t xml:space="preserve">I samband med propositionen om den nya åklagarorganisationen, </w:t>
      </w:r>
      <w:r w:rsidR="00AE7AD2" w:rsidRPr="00C05B56">
        <w:t xml:space="preserve">betonade vi dock </w:t>
      </w:r>
      <w:r w:rsidRPr="00C05B56">
        <w:t xml:space="preserve">vi </w:t>
      </w:r>
      <w:r w:rsidR="00AE7AD2" w:rsidRPr="00C05B56">
        <w:t xml:space="preserve">att ett fristående tillsynsorgan bör inrättas för åklagarväsendet. Ett sådant organ skulle även kunna utöva tillsyn över polisväsendet. </w:t>
      </w:r>
      <w:r w:rsidR="00754B88" w:rsidRPr="00C05B56">
        <w:t xml:space="preserve">Vi menade att en utredning om hur förundersökningar mot poliser och åklagare skall handläggas även bör ta upp frågan om fristående tillsyn. </w:t>
      </w:r>
      <w:r w:rsidR="0077042E" w:rsidRPr="00C05B56">
        <w:t>Vi står fast vid denna instä</w:t>
      </w:r>
      <w:r w:rsidR="00994926" w:rsidRPr="00C05B56">
        <w:t xml:space="preserve">llning. </w:t>
      </w:r>
      <w:r w:rsidRPr="00C05B56">
        <w:t xml:space="preserve"> </w:t>
      </w:r>
    </w:p>
    <w:p w:rsidR="005A629C" w:rsidRPr="00C05B56" w:rsidRDefault="005A629C" w:rsidP="005A629C">
      <w:pPr>
        <w:pStyle w:val="Rubrik2"/>
      </w:pPr>
      <w:bookmarkStart w:id="44" w:name="_Toc84235950"/>
      <w:bookmarkStart w:id="45" w:name="_Toc117071557"/>
      <w:r w:rsidRPr="00C05B56">
        <w:t>Ökad specialisering</w:t>
      </w:r>
      <w:bookmarkEnd w:id="44"/>
      <w:bookmarkEnd w:id="45"/>
    </w:p>
    <w:p w:rsidR="005A629C" w:rsidRPr="00C05B56" w:rsidRDefault="005A629C" w:rsidP="005A629C">
      <w:r w:rsidRPr="00C05B56">
        <w:t xml:space="preserve">Specialiseringen inom åklagarväsendet är viktig, inte enbart ur utveckling- och kompetenssynpunkt utan även som ett karriärsteg. Drygt </w:t>
      </w:r>
      <w:r w:rsidR="00F77FF2" w:rsidRPr="00C05B56">
        <w:t>hälften</w:t>
      </w:r>
      <w:r w:rsidRPr="00C05B56">
        <w:t xml:space="preserve"> av åkl</w:t>
      </w:r>
      <w:r w:rsidRPr="00C05B56">
        <w:t>a</w:t>
      </w:r>
      <w:r w:rsidRPr="00C05B56">
        <w:t>gartjänsterna utgörs av specialisttjänster. De flesta specialisttjänster utgörs av ekobrottsåklagare. Andra större specialisttjänster är narkotikaåklagare och miljöbrottsåklagare. Folkpartiet liberalerna vill se en fortsatt specialisering för åklagarna med möjlighet till en gedigen vidareutbildning och kompetensu</w:t>
      </w:r>
      <w:r w:rsidRPr="00C05B56">
        <w:t>t</w:t>
      </w:r>
      <w:r w:rsidRPr="00C05B56">
        <w:t xml:space="preserve">veckling genom specialistkurserna. </w:t>
      </w:r>
    </w:p>
    <w:p w:rsidR="005A629C" w:rsidRPr="00C05B56" w:rsidRDefault="005A629C" w:rsidP="005A629C">
      <w:pPr>
        <w:pStyle w:val="Normaltindrag"/>
      </w:pPr>
      <w:r w:rsidRPr="00C05B56">
        <w:t>För att kunna möta de ökade krav som ställs på svenska åklagare när det gäller ett effektivt internationellt samarbete mot gränsöverskridande brottsli</w:t>
      </w:r>
      <w:r w:rsidRPr="00C05B56">
        <w:t>g</w:t>
      </w:r>
      <w:r w:rsidRPr="00C05B56">
        <w:t>het – inte minst till följd av EU-utvidgningen</w:t>
      </w:r>
      <w:r w:rsidR="00236297" w:rsidRPr="00C05B56">
        <w:t xml:space="preserve"> </w:t>
      </w:r>
      <w:r w:rsidRPr="00C05B56">
        <w:t>– behövs också fler specialis</w:t>
      </w:r>
      <w:r w:rsidRPr="00C05B56">
        <w:t>t</w:t>
      </w:r>
      <w:r w:rsidRPr="00C05B56">
        <w:t xml:space="preserve">åklagare </w:t>
      </w:r>
      <w:r w:rsidR="00F82682" w:rsidRPr="00C05B56">
        <w:t xml:space="preserve">som arbetar mot gränsöverskridande brottslighet. </w:t>
      </w:r>
      <w:r w:rsidRPr="00C05B56">
        <w:t>Åklagarväsendet måste således få utökade resurser för att kunna genomföra fortsatt specialis</w:t>
      </w:r>
      <w:r w:rsidRPr="00C05B56">
        <w:t>e</w:t>
      </w:r>
      <w:r w:rsidRPr="00C05B56">
        <w:t xml:space="preserve">ring och för att åklagarkarriären skall vara attraktiv för jurister. </w:t>
      </w:r>
    </w:p>
    <w:p w:rsidR="005A629C" w:rsidRPr="00C05B56" w:rsidRDefault="005A629C" w:rsidP="005A629C">
      <w:pPr>
        <w:pStyle w:val="Normaltindrag"/>
      </w:pPr>
      <w:r w:rsidRPr="00C05B56">
        <w:t xml:space="preserve">De enheter i </w:t>
      </w:r>
      <w:r w:rsidR="00AB4FA8" w:rsidRPr="00C05B56">
        <w:t>t.</w:t>
      </w:r>
      <w:r w:rsidR="003F3132" w:rsidRPr="00C05B56">
        <w:t xml:space="preserve">ex. </w:t>
      </w:r>
      <w:r w:rsidRPr="00C05B56">
        <w:t>Malmö, Uppsala och Stockholm (Söderort) där polis och åklagare samarbetar särskilt med att utreda brotten sexuella övergrepp mot barn och våld inom familjen</w:t>
      </w:r>
      <w:r w:rsidR="003F3132" w:rsidRPr="00C05B56">
        <w:t>,</w:t>
      </w:r>
      <w:r w:rsidRPr="00C05B56">
        <w:t xml:space="preserve"> har visat sig vara framgångsrika. Berörda my</w:t>
      </w:r>
      <w:r w:rsidRPr="00C05B56">
        <w:t>n</w:t>
      </w:r>
      <w:r w:rsidRPr="00C05B56">
        <w:t>digheter bör arbeta med att fler sådana samarbetsgrupper inrättas där polis och åklagare samt även i förekommande fall socialtjänst, verkar i nära sama</w:t>
      </w:r>
      <w:r w:rsidRPr="00C05B56">
        <w:t>r</w:t>
      </w:r>
      <w:r w:rsidRPr="00C05B56">
        <w:t xml:space="preserve">bete för ett effektivt och kompetent arbete inom olika brottsområden. </w:t>
      </w:r>
      <w:r w:rsidR="00033181" w:rsidRPr="00C05B56">
        <w:t xml:space="preserve">Sådana arbetsformer bör permanentas. </w:t>
      </w:r>
    </w:p>
    <w:p w:rsidR="005A629C" w:rsidRPr="00C05B56" w:rsidRDefault="005A629C" w:rsidP="005A629C">
      <w:pPr>
        <w:pStyle w:val="Rubrik2"/>
      </w:pPr>
      <w:bookmarkStart w:id="46" w:name="_Toc84235951"/>
      <w:bookmarkStart w:id="47" w:name="_Toc117071558"/>
      <w:r w:rsidRPr="00C05B56">
        <w:t>Stärk åklagarnas roll i förundersökningar</w:t>
      </w:r>
      <w:bookmarkEnd w:id="46"/>
      <w:bookmarkEnd w:id="47"/>
    </w:p>
    <w:p w:rsidR="005A629C" w:rsidRPr="00C05B56" w:rsidRDefault="005A629C" w:rsidP="005A629C">
      <w:r w:rsidRPr="00C05B56">
        <w:t>I vissa typer av brottsutredningar kan det vara viktigt att åklagarna i ett så tidigt skede som möjligt deltar i polisens brottsbekämpning. Detta gäller framför allt vid grov och komplicerad brottslighet. De tillgängliga utredning</w:t>
      </w:r>
      <w:r w:rsidRPr="00C05B56">
        <w:t>s</w:t>
      </w:r>
      <w:r w:rsidRPr="00C05B56">
        <w:t>resurserna skulle kunna disponeras bättre och de rent operativa åtgärderna och juridiska bedömningarna bli både bättre och snabbare. För att åklagare ska kunna delta i större omfattning i brottsutredningsverksamhet och koncentrera sina resurser till kvalificerade brottsutredningar, bör polisen i större utsträc</w:t>
      </w:r>
      <w:r w:rsidRPr="00C05B56">
        <w:t>k</w:t>
      </w:r>
      <w:r w:rsidRPr="00C05B56">
        <w:t>ning än idag vara förundersökningsledare i ärenden som gäller brott av min</w:t>
      </w:r>
      <w:r w:rsidRPr="00C05B56">
        <w:t>d</w:t>
      </w:r>
      <w:r w:rsidRPr="00C05B56">
        <w:t xml:space="preserve">re allvarligt slag. Detta förutsätter å andra sidan att renodlingen av polisens uppgifter fortsätter, att polisen blir effektivare och tillförs mer resurser så att inte ärenden med mindre allvarlig brottslighet ligger outredda. </w:t>
      </w:r>
    </w:p>
    <w:p w:rsidR="005A629C" w:rsidRPr="00C05B56" w:rsidRDefault="005A629C" w:rsidP="005A629C">
      <w:pPr>
        <w:pStyle w:val="Rubrik2"/>
      </w:pPr>
      <w:bookmarkStart w:id="48" w:name="_Toc84235952"/>
      <w:bookmarkStart w:id="49" w:name="_Toc117071559"/>
      <w:r w:rsidRPr="00C05B56">
        <w:t>Avskaffa Ekobrottsmyndigheten</w:t>
      </w:r>
      <w:bookmarkEnd w:id="48"/>
      <w:bookmarkEnd w:id="49"/>
    </w:p>
    <w:p w:rsidR="005A629C" w:rsidRPr="00C05B56" w:rsidRDefault="005A629C" w:rsidP="00AB4FA8">
      <w:r w:rsidRPr="00C05B56">
        <w:t>Den särskilda Ekobrottsmyndigheten startade sin verksamhet 1998</w:t>
      </w:r>
      <w:r w:rsidR="00453221" w:rsidRPr="00C05B56">
        <w:t xml:space="preserve"> och han</w:t>
      </w:r>
      <w:r w:rsidR="00453221" w:rsidRPr="00C05B56">
        <w:t>d</w:t>
      </w:r>
      <w:r w:rsidR="00453221" w:rsidRPr="00C05B56">
        <w:t xml:space="preserve">lägger </w:t>
      </w:r>
      <w:r w:rsidRPr="00C05B56">
        <w:t>enbart ärenden som gäller ekonomisk brottslighet. Folkpartiet liber</w:t>
      </w:r>
      <w:r w:rsidRPr="00C05B56">
        <w:t>a</w:t>
      </w:r>
      <w:r w:rsidRPr="00C05B56">
        <w:t>lerna anser som ovan sagts att det är önskvärt att åklagare skaffar sig speciell ko</w:t>
      </w:r>
      <w:r w:rsidRPr="00C05B56">
        <w:t>m</w:t>
      </w:r>
      <w:r w:rsidRPr="00C05B56">
        <w:t>petens för att bättre kunna driva vissa typer av mål, t</w:t>
      </w:r>
      <w:r w:rsidR="0099455D" w:rsidRPr="00C05B56">
        <w:t>.</w:t>
      </w:r>
      <w:r w:rsidRPr="00C05B56">
        <w:t xml:space="preserve"> ex</w:t>
      </w:r>
      <w:r w:rsidR="0099455D" w:rsidRPr="00C05B56">
        <w:t>.</w:t>
      </w:r>
      <w:r w:rsidRPr="00C05B56">
        <w:t xml:space="preserve"> miljöbrottmål och ekobrottmål, men det saknas anledning att ha en egen, särskild åklaga</w:t>
      </w:r>
      <w:r w:rsidRPr="00C05B56">
        <w:t>r</w:t>
      </w:r>
      <w:r w:rsidRPr="00C05B56">
        <w:t>myndighet för bekämpandet av ekonomisk brottslighet. Det förhållandet att en åklagare kan behöva sakkunnigt biträde vid utredningen är inte unikt för ekobrottmål utan gäller för flera andra brottstyper, särskilt inom specialstraf</w:t>
      </w:r>
      <w:r w:rsidRPr="00C05B56">
        <w:t>f</w:t>
      </w:r>
      <w:r w:rsidRPr="00C05B56">
        <w:t>rä</w:t>
      </w:r>
      <w:r w:rsidRPr="00C05B56">
        <w:t>t</w:t>
      </w:r>
      <w:r w:rsidRPr="00C05B56">
        <w:t xml:space="preserve">ten. </w:t>
      </w:r>
    </w:p>
    <w:p w:rsidR="005A629C" w:rsidRPr="00C05B56" w:rsidRDefault="00C00B3A" w:rsidP="007540C1">
      <w:pPr>
        <w:pStyle w:val="Normaltindrag"/>
      </w:pPr>
      <w:r w:rsidRPr="00C05B56">
        <w:t>F</w:t>
      </w:r>
      <w:r w:rsidR="005A629C" w:rsidRPr="00C05B56">
        <w:t xml:space="preserve">olkpartiet liberalerna </w:t>
      </w:r>
      <w:r w:rsidRPr="00C05B56">
        <w:t xml:space="preserve">var emot </w:t>
      </w:r>
      <w:r w:rsidR="005A629C" w:rsidRPr="00C05B56">
        <w:t>bildandet av Ekobrottsmy</w:t>
      </w:r>
      <w:r w:rsidR="005A629C" w:rsidRPr="00C05B56">
        <w:t>n</w:t>
      </w:r>
      <w:r w:rsidR="005A629C" w:rsidRPr="00C05B56">
        <w:t xml:space="preserve">digheten och </w:t>
      </w:r>
      <w:r w:rsidRPr="00C05B56">
        <w:t xml:space="preserve">vi </w:t>
      </w:r>
      <w:r w:rsidR="005A629C" w:rsidRPr="00C05B56">
        <w:t>ansåg redan från början att den nya myndig</w:t>
      </w:r>
      <w:r w:rsidR="006E0708" w:rsidRPr="00C05B56">
        <w:t>h</w:t>
      </w:r>
      <w:r w:rsidR="005A629C" w:rsidRPr="00C05B56">
        <w:t>etsstrukturen riskerade att äve</w:t>
      </w:r>
      <w:r w:rsidR="005A629C" w:rsidRPr="00C05B56">
        <w:t>n</w:t>
      </w:r>
      <w:r w:rsidR="005A629C" w:rsidRPr="00C05B56">
        <w:t>tyra både regeringens mål och åklagarväsendets möjligheter att uppnå up</w:t>
      </w:r>
      <w:r w:rsidR="005A629C" w:rsidRPr="00C05B56">
        <w:t>p</w:t>
      </w:r>
      <w:r w:rsidR="005A629C" w:rsidRPr="00C05B56">
        <w:t>ställda mål inom ekobrottsområdet. De analyser och utvärderingar av Ek</w:t>
      </w:r>
      <w:r w:rsidR="005A629C" w:rsidRPr="00C05B56">
        <w:t>o</w:t>
      </w:r>
      <w:r w:rsidR="005A629C" w:rsidRPr="00C05B56">
        <w:t>brottsmyndigheten som har genomförts av bl</w:t>
      </w:r>
      <w:r w:rsidR="006E0708" w:rsidRPr="00C05B56">
        <w:t>.</w:t>
      </w:r>
      <w:r w:rsidR="005A629C" w:rsidRPr="00C05B56">
        <w:t>a</w:t>
      </w:r>
      <w:r w:rsidR="006E0708" w:rsidRPr="00C05B56">
        <w:t>.</w:t>
      </w:r>
      <w:r w:rsidR="005A629C" w:rsidRPr="00C05B56">
        <w:t xml:space="preserve"> Riksrevision</w:t>
      </w:r>
      <w:r w:rsidR="005A629C" w:rsidRPr="00C05B56">
        <w:t>s</w:t>
      </w:r>
      <w:r w:rsidR="005A629C" w:rsidRPr="00C05B56">
        <w:t>verket och Riksdagens revisorer, har till stor del bekräftat de farhågor vi hade – där framkommer brister såväl i fråga om samordning och styrning som i fråga om hantering av ekonomi och prioriteringar i verksamheten. Systemet med den särskilda Ekobrottsmyndigheten medför stora kostnader och en onödigt o</w:t>
      </w:r>
      <w:r w:rsidR="005A629C" w:rsidRPr="00C05B56">
        <w:t>m</w:t>
      </w:r>
      <w:r w:rsidR="005A629C" w:rsidRPr="00C05B56">
        <w:t>fattande administrativ apparat. Det bör därför övervägas om Ekobrottsmy</w:t>
      </w:r>
      <w:r w:rsidR="005A629C" w:rsidRPr="00C05B56">
        <w:t>n</w:t>
      </w:r>
      <w:r w:rsidR="005A629C" w:rsidRPr="00C05B56">
        <w:t>digheten skall avskaffas. Regeringskansliets styrning av ekobrott</w:t>
      </w:r>
      <w:r w:rsidR="005A629C" w:rsidRPr="00C05B56">
        <w:t>s</w:t>
      </w:r>
      <w:r w:rsidR="005A629C" w:rsidRPr="00C05B56">
        <w:t xml:space="preserve">frågorna bör också ses över. </w:t>
      </w:r>
    </w:p>
    <w:p w:rsidR="005A629C" w:rsidRPr="00C05B56" w:rsidRDefault="005A629C" w:rsidP="00F50ECB">
      <w:pPr>
        <w:pStyle w:val="Normaltindrag"/>
      </w:pPr>
      <w:r w:rsidRPr="00C05B56">
        <w:t>Ekobrottmål är dock ofta omfattande och komplicerade och kräver därmed åklagare med speciell kompetens. Ekobrottmålen bör därför kunna hanteras inom riksåklagarens organisation på samma sätt som miljöbrottmålen idag administreras, d</w:t>
      </w:r>
      <w:r w:rsidR="00BF1698" w:rsidRPr="00C05B56">
        <w:t>vs.</w:t>
      </w:r>
      <w:r w:rsidRPr="00C05B56">
        <w:t xml:space="preserve"> genom en central enhet vid Riksåklagarens kansli</w:t>
      </w:r>
      <w:r w:rsidR="00F50ECB" w:rsidRPr="00C05B56">
        <w:t>.</w:t>
      </w:r>
      <w:r w:rsidRPr="00C05B56">
        <w:t xml:space="preserve"> Inrik</w:t>
      </w:r>
      <w:r w:rsidRPr="00C05B56">
        <w:t>t</w:t>
      </w:r>
      <w:r w:rsidRPr="00C05B56">
        <w:t xml:space="preserve">ningen av ekobrottshanteringen bör ske genom samråd mellan Riksåklagaren och de centrala myndigheterna inom ekobrottsområdet. På detta vis torde förutsättningarna för en helhet och effektivitet i organisationen öka. </w:t>
      </w:r>
    </w:p>
    <w:p w:rsidR="005A629C" w:rsidRPr="00C05B56" w:rsidRDefault="005A629C" w:rsidP="005A629C">
      <w:pPr>
        <w:pStyle w:val="Normaltindrag"/>
      </w:pPr>
      <w:r w:rsidRPr="00C05B56">
        <w:t>Folkpartiet liberalerna vill i detta sammanhang också betona vikten av att fler poliser med rätt kompetens arbetar med ekonomisk brottslighet. Ek</w:t>
      </w:r>
      <w:r w:rsidRPr="00C05B56">
        <w:t>o</w:t>
      </w:r>
      <w:r w:rsidRPr="00C05B56">
        <w:t>brottsmyndigheten ansvarar idag för bekämpningen av ekobrott i vissa delar av landet. De delar av landet som ligger utanför myndighetens område han</w:t>
      </w:r>
      <w:r w:rsidRPr="00C05B56">
        <w:t>d</w:t>
      </w:r>
      <w:r w:rsidRPr="00C05B56">
        <w:t>läggs av den vanliga polisen. Hos flera av dessa polismyndigheter är ekon</w:t>
      </w:r>
      <w:r w:rsidRPr="00C05B56">
        <w:t>o</w:t>
      </w:r>
      <w:r w:rsidRPr="00C05B56">
        <w:t>misk brottslighet i praktiken lågt prioriterat. Följden blir att många komplic</w:t>
      </w:r>
      <w:r w:rsidRPr="00C05B56">
        <w:t>e</w:t>
      </w:r>
      <w:r w:rsidRPr="00C05B56">
        <w:t>rade och grova ekobrott förblir outredda. Från både polis och åklagare fra</w:t>
      </w:r>
      <w:r w:rsidRPr="00C05B56">
        <w:t>m</w:t>
      </w:r>
      <w:r w:rsidRPr="00C05B56">
        <w:t>kommer önskemål om fler specialister och mindre arbetsgrupper med utred</w:t>
      </w:r>
      <w:r w:rsidRPr="00C05B56">
        <w:t>a</w:t>
      </w:r>
      <w:r w:rsidRPr="00C05B56">
        <w:t xml:space="preserve">re och åklagare tillsammans. Vikten av fler poliser och en breddad rekrytering lyfts även fram i Förtroendekommissionens betänkande (SOU 2004:47). </w:t>
      </w:r>
    </w:p>
    <w:p w:rsidR="005A629C" w:rsidRPr="00C05B56" w:rsidRDefault="005A629C" w:rsidP="005A629C">
      <w:pPr>
        <w:pStyle w:val="Rubrik1"/>
      </w:pPr>
      <w:bookmarkStart w:id="50" w:name="_Toc84235953"/>
      <w:bookmarkStart w:id="51" w:name="_Toc117071560"/>
      <w:r w:rsidRPr="00C05B56">
        <w:t>Intensifierat internationellt samarbete</w:t>
      </w:r>
      <w:bookmarkEnd w:id="50"/>
      <w:bookmarkEnd w:id="51"/>
    </w:p>
    <w:p w:rsidR="005A629C" w:rsidRPr="00C05B56" w:rsidRDefault="005A629C" w:rsidP="005A629C">
      <w:r w:rsidRPr="00C05B56">
        <w:t>Den organiserade brottsligheten känner inga gränser och medför rubbad tilltro till demokratiska rättssystem. I takt med att det blir lättare att resa och verka i olika medlemsländer och i takt med att den elektroniska utvecklingen unde</w:t>
      </w:r>
      <w:r w:rsidRPr="00C05B56">
        <w:t>r</w:t>
      </w:r>
      <w:r w:rsidRPr="00C05B56">
        <w:t>lättar kommunikationen mellan människor runt om i hela världen, ökar också den internationella, organiserade kriminalitetens möjligheter att begå brott.</w:t>
      </w:r>
    </w:p>
    <w:p w:rsidR="005A629C" w:rsidRPr="00C05B56" w:rsidRDefault="005A629C" w:rsidP="007540C1">
      <w:pPr>
        <w:pStyle w:val="Normaltindrag"/>
      </w:pPr>
      <w:r w:rsidRPr="00C05B56">
        <w:t>Bekämpningen av den internationella organiserade brottsligheten har blivit en allt större uppgift för de nationella rättsväsendena. Inom EU och genom Ö</w:t>
      </w:r>
      <w:r w:rsidRPr="00C05B56">
        <w:t>s</w:t>
      </w:r>
      <w:r w:rsidRPr="00C05B56">
        <w:t xml:space="preserve">tersjösamarbetet utvecklas samarbetet inom detta område allt mer. </w:t>
      </w:r>
    </w:p>
    <w:p w:rsidR="005A629C" w:rsidRPr="00C05B56" w:rsidRDefault="005A629C" w:rsidP="005A629C">
      <w:pPr>
        <w:pStyle w:val="Normaltindrag"/>
      </w:pPr>
      <w:r w:rsidRPr="00C05B56">
        <w:t>Riksåklagaren har en central och samordnande funktion då det gäller det internationella rättsliga samarbetet för åklagarväsendets del, bl</w:t>
      </w:r>
      <w:r w:rsidR="00CF545C" w:rsidRPr="00C05B56">
        <w:t>.</w:t>
      </w:r>
      <w:r w:rsidRPr="00C05B56">
        <w:t>a</w:t>
      </w:r>
      <w:r w:rsidR="00CF545C" w:rsidRPr="00C05B56">
        <w:t>.</w:t>
      </w:r>
      <w:r w:rsidRPr="00C05B56">
        <w:t xml:space="preserve"> genom huvudansvaret för den svenska delen av Eurojust, d</w:t>
      </w:r>
      <w:r w:rsidR="00BF1698" w:rsidRPr="00C05B56">
        <w:t>vs.</w:t>
      </w:r>
      <w:r w:rsidRPr="00C05B56">
        <w:t xml:space="preserve"> åklagarsamarbetet mellan EU:s medlemsstater gällande brottsutredningar. Folkpartiet liberalerna anser att det är nödvändigt att det internationella samarbetet mellan åklaga</w:t>
      </w:r>
      <w:r w:rsidRPr="00C05B56">
        <w:t>r</w:t>
      </w:r>
      <w:r w:rsidRPr="00C05B56">
        <w:t>myndigheterna inom Eurojust intensifieras. Utökat samarbete och till viss del harmoniserade rättsmedel är några av de centralaste medlen för att bekämpa den internationella organiserade brottsligheten.</w:t>
      </w:r>
    </w:p>
    <w:p w:rsidR="005A629C" w:rsidRPr="00C05B56" w:rsidRDefault="000B73A1" w:rsidP="005A629C">
      <w:pPr>
        <w:pStyle w:val="Normaltindrag"/>
      </w:pPr>
      <w:r w:rsidRPr="00C05B56">
        <w:t>Cirka</w:t>
      </w:r>
      <w:r w:rsidR="005A629C" w:rsidRPr="00C05B56">
        <w:t xml:space="preserve"> 300 ärenden </w:t>
      </w:r>
      <w:r w:rsidRPr="00C05B56">
        <w:t xml:space="preserve">hänvisas </w:t>
      </w:r>
      <w:r w:rsidR="005A629C" w:rsidRPr="00C05B56">
        <w:t>till Eurojust från EU:s medlemsstater. Enligt Eurojust har nu många nationella myndigheter upptäckt dess förmåga att se till att framställningar om rättslig hjälp, bl</w:t>
      </w:r>
      <w:r w:rsidRPr="00C05B56">
        <w:t>.</w:t>
      </w:r>
      <w:r w:rsidR="005A629C" w:rsidRPr="00C05B56">
        <w:t>a</w:t>
      </w:r>
      <w:r w:rsidRPr="00C05B56">
        <w:t>.</w:t>
      </w:r>
      <w:r w:rsidR="005A629C" w:rsidRPr="00C05B56">
        <w:t xml:space="preserve"> bevisupptagning, snabbt kan verkställas i det internationella rättsliga samarbetet. Folkpartiet liberalerna anser att det gemensamma åklagarsamarbetet Eurojust bör utvecklas. Det ska även fortsättningsvis bestå av representanter för motsvarigheten till Riksåkl</w:t>
      </w:r>
      <w:r w:rsidR="005A629C" w:rsidRPr="00C05B56">
        <w:t>a</w:t>
      </w:r>
      <w:r w:rsidR="005A629C" w:rsidRPr="00C05B56">
        <w:t>garen i varje medlemsland men dessa åklagare/representanter ska ha ett lång</w:t>
      </w:r>
      <w:r w:rsidR="005A629C" w:rsidRPr="00C05B56">
        <w:t>t</w:t>
      </w:r>
      <w:r w:rsidR="005A629C" w:rsidRPr="00C05B56">
        <w:t xml:space="preserve">gående och likartat mandat från sina hemländer – så är det inte idag. Vi vill att Eurojust ska kunna beordra – inte bara uppmana – medlemsländerna att vidta åtgärder som tillstånd till </w:t>
      </w:r>
      <w:r w:rsidR="00BF1698" w:rsidRPr="00C05B56">
        <w:t xml:space="preserve">s.k. </w:t>
      </w:r>
      <w:r w:rsidR="005A629C" w:rsidRPr="00C05B56">
        <w:t>kontrollerad leverans vid narkotikabrott</w:t>
      </w:r>
      <w:r w:rsidR="005A629C" w:rsidRPr="00C05B56">
        <w:t>s</w:t>
      </w:r>
      <w:r w:rsidR="005A629C" w:rsidRPr="00C05B56">
        <w:t>lighet och att se till att berörda länder genomför koordinerade förundersö</w:t>
      </w:r>
      <w:r w:rsidR="005A629C" w:rsidRPr="00C05B56">
        <w:t>k</w:t>
      </w:r>
      <w:r w:rsidR="005A629C" w:rsidRPr="00C05B56">
        <w:t xml:space="preserve">ningar med hjälp av ett utbyggt polissamarbete via den europeiska polisbyrån Europol – åtgärder som ett medlemsland får neka </w:t>
      </w:r>
      <w:r w:rsidR="00BF1698" w:rsidRPr="00C05B56">
        <w:t xml:space="preserve">till </w:t>
      </w:r>
      <w:r w:rsidR="005A629C" w:rsidRPr="00C05B56">
        <w:t xml:space="preserve">bara om särskilda skäl saknas. Folkpartiet liberalerna anser således att Sverige bör verka i denna riktning inom EU.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55742" w:rsidRPr="00C05B56">
        <w:tblPrEx>
          <w:tblCellMar>
            <w:top w:w="0" w:type="dxa"/>
            <w:bottom w:w="0" w:type="dxa"/>
          </w:tblCellMar>
        </w:tblPrEx>
        <w:trPr>
          <w:cantSplit/>
        </w:trPr>
        <w:tc>
          <w:tcPr>
            <w:tcW w:w="3046" w:type="dxa"/>
          </w:tcPr>
          <w:p w:rsidR="00C55742" w:rsidRPr="00C05B56" w:rsidRDefault="00C55742" w:rsidP="00C55742">
            <w:pPr>
              <w:pStyle w:val="UnderskriftDatum"/>
              <w:spacing w:before="240"/>
            </w:pPr>
            <w:r w:rsidRPr="00C05B56">
              <w:t>Stockholm den 30 september 2005</w:t>
            </w:r>
          </w:p>
        </w:tc>
        <w:tc>
          <w:tcPr>
            <w:tcW w:w="3047" w:type="dxa"/>
          </w:tcPr>
          <w:p w:rsidR="00C55742" w:rsidRPr="00C05B56" w:rsidRDefault="00C55742" w:rsidP="00C55742">
            <w:pPr>
              <w:pStyle w:val="Underskrifter"/>
              <w:spacing w:before="240"/>
            </w:pPr>
          </w:p>
        </w:tc>
      </w:tr>
      <w:tr w:rsidR="00C55742" w:rsidRPr="00C05B56">
        <w:tblPrEx>
          <w:tblCellMar>
            <w:top w:w="0" w:type="dxa"/>
            <w:bottom w:w="0" w:type="dxa"/>
          </w:tblCellMar>
        </w:tblPrEx>
        <w:trPr>
          <w:cantSplit/>
        </w:trPr>
        <w:tc>
          <w:tcPr>
            <w:tcW w:w="3046" w:type="dxa"/>
          </w:tcPr>
          <w:p w:rsidR="00C55742" w:rsidRPr="00C05B56" w:rsidRDefault="00C55742" w:rsidP="00C55742">
            <w:pPr>
              <w:pStyle w:val="Underskrifter"/>
            </w:pPr>
            <w:r w:rsidRPr="00C05B56">
              <w:t>Johan Pehrson (fp)</w:t>
            </w:r>
          </w:p>
        </w:tc>
        <w:tc>
          <w:tcPr>
            <w:tcW w:w="3047" w:type="dxa"/>
          </w:tcPr>
          <w:p w:rsidR="00C55742" w:rsidRPr="00C05B56" w:rsidRDefault="00C55742" w:rsidP="00C55742">
            <w:pPr>
              <w:pStyle w:val="Underskrifter"/>
            </w:pPr>
          </w:p>
        </w:tc>
      </w:tr>
      <w:tr w:rsidR="00C55742" w:rsidRPr="00C05B56">
        <w:tblPrEx>
          <w:tblCellMar>
            <w:top w:w="0" w:type="dxa"/>
            <w:bottom w:w="0" w:type="dxa"/>
          </w:tblCellMar>
        </w:tblPrEx>
        <w:trPr>
          <w:cantSplit/>
        </w:trPr>
        <w:tc>
          <w:tcPr>
            <w:tcW w:w="3046" w:type="dxa"/>
          </w:tcPr>
          <w:p w:rsidR="00C55742" w:rsidRPr="00C05B56" w:rsidRDefault="00C55742" w:rsidP="00C55742">
            <w:pPr>
              <w:pStyle w:val="Underskrifter"/>
            </w:pPr>
            <w:r w:rsidRPr="00C05B56">
              <w:t>Torkild Strandberg (fp)</w:t>
            </w:r>
          </w:p>
        </w:tc>
        <w:tc>
          <w:tcPr>
            <w:tcW w:w="3047" w:type="dxa"/>
          </w:tcPr>
          <w:p w:rsidR="00C55742" w:rsidRPr="00C05B56" w:rsidRDefault="00C55742" w:rsidP="00C55742">
            <w:pPr>
              <w:pStyle w:val="Underskrifter"/>
            </w:pPr>
            <w:r w:rsidRPr="00C05B56">
              <w:t>Karin Granbom (fp)</w:t>
            </w:r>
          </w:p>
        </w:tc>
      </w:tr>
      <w:tr w:rsidR="00C55742" w:rsidRPr="00C05B56">
        <w:tblPrEx>
          <w:tblCellMar>
            <w:top w:w="0" w:type="dxa"/>
            <w:bottom w:w="0" w:type="dxa"/>
          </w:tblCellMar>
        </w:tblPrEx>
        <w:trPr>
          <w:cantSplit/>
        </w:trPr>
        <w:tc>
          <w:tcPr>
            <w:tcW w:w="3046" w:type="dxa"/>
          </w:tcPr>
          <w:p w:rsidR="00C55742" w:rsidRPr="00C05B56" w:rsidRDefault="00C55742" w:rsidP="00C55742">
            <w:pPr>
              <w:pStyle w:val="Underskrifter"/>
            </w:pPr>
            <w:r w:rsidRPr="00C05B56">
              <w:t>Jan Ertsborn (fp)</w:t>
            </w:r>
          </w:p>
        </w:tc>
        <w:tc>
          <w:tcPr>
            <w:tcW w:w="3047" w:type="dxa"/>
          </w:tcPr>
          <w:p w:rsidR="00C55742" w:rsidRPr="00C05B56" w:rsidRDefault="00C55742" w:rsidP="00C55742">
            <w:pPr>
              <w:pStyle w:val="Underskrifter"/>
            </w:pPr>
            <w:r w:rsidRPr="00C05B56">
              <w:t>Helena Bargholtz (fp)</w:t>
            </w:r>
          </w:p>
        </w:tc>
      </w:tr>
      <w:tr w:rsidR="00C55742" w:rsidRPr="00C05B56">
        <w:tblPrEx>
          <w:tblCellMar>
            <w:top w:w="0" w:type="dxa"/>
            <w:bottom w:w="0" w:type="dxa"/>
          </w:tblCellMar>
        </w:tblPrEx>
        <w:trPr>
          <w:cantSplit/>
        </w:trPr>
        <w:tc>
          <w:tcPr>
            <w:tcW w:w="3046" w:type="dxa"/>
          </w:tcPr>
          <w:p w:rsidR="00C55742" w:rsidRPr="00C05B56" w:rsidRDefault="00C55742" w:rsidP="00C55742">
            <w:pPr>
              <w:pStyle w:val="Underskrifter"/>
            </w:pPr>
            <w:r w:rsidRPr="00C05B56">
              <w:t>Cecilia Wigström (fp)</w:t>
            </w:r>
          </w:p>
        </w:tc>
        <w:tc>
          <w:tcPr>
            <w:tcW w:w="3047" w:type="dxa"/>
          </w:tcPr>
          <w:p w:rsidR="00C55742" w:rsidRPr="00C05B56" w:rsidRDefault="00C55742" w:rsidP="00C55742">
            <w:pPr>
              <w:pStyle w:val="Underskrifter"/>
            </w:pPr>
          </w:p>
        </w:tc>
      </w:tr>
    </w:tbl>
    <w:p w:rsidR="006B20FF" w:rsidRPr="00C05B56" w:rsidRDefault="006B20FF" w:rsidP="00C55742">
      <w:pPr>
        <w:pStyle w:val="Normaltindrag"/>
      </w:pPr>
    </w:p>
    <w:sectPr w:rsidR="006B20FF" w:rsidRPr="00C05B56" w:rsidSect="00C557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096C" w:rsidRPr="00C05B56" w:rsidRDefault="00F0096C">
      <w:r w:rsidRPr="00C05B56">
        <w:separator/>
      </w:r>
    </w:p>
  </w:endnote>
  <w:endnote w:type="continuationSeparator" w:id="0">
    <w:p w:rsidR="00F0096C" w:rsidRPr="00C05B56" w:rsidRDefault="00F0096C">
      <w:r w:rsidRPr="00C05B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0C1" w:rsidRPr="00C05B56" w:rsidRDefault="00C05B56" w:rsidP="00C55742">
    <w:pPr>
      <w:pStyle w:val="Sidfot"/>
    </w:pPr>
    <w:r w:rsidRPr="00C05B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031372593"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0C1" w:rsidRDefault="007540C1">
                          <w:pPr>
                            <w:pStyle w:val="NormalS5sidnrV"/>
                          </w:pPr>
                          <w:r>
                            <w:fldChar w:fldCharType="begin"/>
                          </w:r>
                          <w:r>
                            <w:instrText xml:space="preserve"> PAGE *\charformat</w:instrText>
                          </w:r>
                          <w:r>
                            <w:fldChar w:fldCharType="separate"/>
                          </w:r>
                          <w:r w:rsidR="008E01B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40C1" w:rsidRDefault="007540C1">
                    <w:pPr>
                      <w:pStyle w:val="NormalS5sidnrV"/>
                    </w:pPr>
                    <w:r>
                      <w:fldChar w:fldCharType="begin"/>
                    </w:r>
                    <w:r>
                      <w:instrText xml:space="preserve"> PAGE *\charformat</w:instrText>
                    </w:r>
                    <w:r>
                      <w:fldChar w:fldCharType="separate"/>
                    </w:r>
                    <w:r w:rsidR="008E01B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0C1" w:rsidRPr="00C05B56" w:rsidRDefault="00C05B56" w:rsidP="00C55742">
    <w:pPr>
      <w:pStyle w:val="Sidfot"/>
    </w:pPr>
    <w:r w:rsidRPr="00C05B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8584483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0C1" w:rsidRDefault="007540C1">
                          <w:pPr>
                            <w:pStyle w:val="NormalS5sidnrH"/>
                            <w:ind w:right="0"/>
                          </w:pPr>
                          <w:r>
                            <w:fldChar w:fldCharType="begin"/>
                          </w:r>
                          <w:r>
                            <w:instrText xml:space="preserve"> PAGE *\charformat</w:instrText>
                          </w:r>
                          <w:r>
                            <w:fldChar w:fldCharType="separate"/>
                          </w:r>
                          <w:r w:rsidR="008E01BC">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40C1" w:rsidRDefault="007540C1">
                    <w:pPr>
                      <w:pStyle w:val="NormalS5sidnrH"/>
                      <w:ind w:right="0"/>
                    </w:pPr>
                    <w:r>
                      <w:fldChar w:fldCharType="begin"/>
                    </w:r>
                    <w:r>
                      <w:instrText xml:space="preserve"> PAGE *\charformat</w:instrText>
                    </w:r>
                    <w:r>
                      <w:fldChar w:fldCharType="separate"/>
                    </w:r>
                    <w:r w:rsidR="008E01BC">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0C1" w:rsidRPr="00C05B56" w:rsidRDefault="00C05B56" w:rsidP="00C55742">
    <w:pPr>
      <w:pStyle w:val="Sidfot"/>
    </w:pPr>
    <w:r w:rsidRPr="00C05B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60684486"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0C1" w:rsidRDefault="007540C1">
                          <w:pPr>
                            <w:pStyle w:val="NormalS5sidnrH"/>
                            <w:ind w:right="0"/>
                          </w:pPr>
                          <w:r>
                            <w:fldChar w:fldCharType="begin"/>
                          </w:r>
                          <w:r>
                            <w:instrText xml:space="preserve"> PAGE *\charformat</w:instrText>
                          </w:r>
                          <w:r>
                            <w:fldChar w:fldCharType="separate"/>
                          </w:r>
                          <w:r w:rsidR="008E01B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40C1" w:rsidRDefault="007540C1">
                    <w:pPr>
                      <w:pStyle w:val="NormalS5sidnrH"/>
                      <w:ind w:right="0"/>
                    </w:pPr>
                    <w:r>
                      <w:fldChar w:fldCharType="begin"/>
                    </w:r>
                    <w:r>
                      <w:instrText xml:space="preserve"> PAGE *\charformat</w:instrText>
                    </w:r>
                    <w:r>
                      <w:fldChar w:fldCharType="separate"/>
                    </w:r>
                    <w:r w:rsidR="008E01B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096C" w:rsidRPr="00C05B56" w:rsidRDefault="00F0096C">
      <w:r w:rsidRPr="00C05B56">
        <w:separator/>
      </w:r>
    </w:p>
  </w:footnote>
  <w:footnote w:type="continuationSeparator" w:id="0">
    <w:p w:rsidR="00F0096C" w:rsidRPr="00C05B56" w:rsidRDefault="00F0096C">
      <w:r w:rsidRPr="00C05B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0C1" w:rsidRPr="00C05B56" w:rsidRDefault="00C05B56" w:rsidP="00C55742">
    <w:pPr>
      <w:pStyle w:val="Sidhuvud"/>
    </w:pPr>
    <w:r w:rsidRPr="00C05B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94307774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0C1" w:rsidRDefault="007540C1">
                          <w:pPr>
                            <w:pStyle w:val="KantRubrikS5V"/>
                          </w:pPr>
                          <w:r>
                            <w:fldChar w:fldCharType="begin"/>
                          </w:r>
                          <w:r>
                            <w:instrText xml:space="preserve"> DOCPROPERTY "YearUser" *\charformat </w:instrText>
                          </w:r>
                          <w:r>
                            <w:fldChar w:fldCharType="separate"/>
                          </w:r>
                          <w:r w:rsidR="008E01BC">
                            <w:t>2005/06</w:t>
                          </w:r>
                          <w:r>
                            <w:fldChar w:fldCharType="end"/>
                          </w:r>
                          <w:r>
                            <w:t>:</w:t>
                          </w:r>
                          <w:r>
                            <w:fldChar w:fldCharType="begin"/>
                          </w:r>
                          <w:r>
                            <w:instrText xml:space="preserve"> DOCPROPERTY "Motionsnummer" *\charformat </w:instrText>
                          </w:r>
                          <w:r>
                            <w:fldChar w:fldCharType="separate"/>
                          </w:r>
                          <w:r w:rsidR="008E01BC">
                            <w:t>Ju376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40C1" w:rsidRDefault="007540C1">
                    <w:pPr>
                      <w:pStyle w:val="KantRubrikS5V"/>
                    </w:pPr>
                    <w:r>
                      <w:fldChar w:fldCharType="begin"/>
                    </w:r>
                    <w:r>
                      <w:instrText xml:space="preserve"> DOCPROPERTY "YearUser" *\charformat </w:instrText>
                    </w:r>
                    <w:r>
                      <w:fldChar w:fldCharType="separate"/>
                    </w:r>
                    <w:r w:rsidR="008E01BC">
                      <w:t>2005/06</w:t>
                    </w:r>
                    <w:r>
                      <w:fldChar w:fldCharType="end"/>
                    </w:r>
                    <w:r>
                      <w:t>:</w:t>
                    </w:r>
                    <w:r>
                      <w:fldChar w:fldCharType="begin"/>
                    </w:r>
                    <w:r>
                      <w:instrText xml:space="preserve"> DOCPROPERTY "Motionsnummer" *\charformat </w:instrText>
                    </w:r>
                    <w:r>
                      <w:fldChar w:fldCharType="separate"/>
                    </w:r>
                    <w:r w:rsidR="008E01BC">
                      <w:t>Ju376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0C1" w:rsidRPr="00C05B56" w:rsidRDefault="00C05B56" w:rsidP="00C55742">
    <w:pPr>
      <w:pStyle w:val="Sidhuvud"/>
    </w:pPr>
    <w:r w:rsidRPr="00C05B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515282318"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0C1" w:rsidRDefault="007540C1">
                          <w:pPr>
                            <w:pStyle w:val="KantRubrikS5H"/>
                            <w:ind w:right="0"/>
                          </w:pPr>
                          <w:r>
                            <w:fldChar w:fldCharType="begin"/>
                          </w:r>
                          <w:r>
                            <w:instrText xml:space="preserve"> DOCPROPERTY "YearUser" *\charformat </w:instrText>
                          </w:r>
                          <w:r>
                            <w:fldChar w:fldCharType="separate"/>
                          </w:r>
                          <w:r w:rsidR="008E01BC">
                            <w:t>2005/06</w:t>
                          </w:r>
                          <w:r>
                            <w:fldChar w:fldCharType="end"/>
                          </w:r>
                          <w:r>
                            <w:t>:</w:t>
                          </w:r>
                          <w:r>
                            <w:fldChar w:fldCharType="begin"/>
                          </w:r>
                          <w:r>
                            <w:instrText xml:space="preserve"> DOCPROPERTY "Motionsnummer" *\charformat </w:instrText>
                          </w:r>
                          <w:r>
                            <w:fldChar w:fldCharType="separate"/>
                          </w:r>
                          <w:r w:rsidR="008E01BC">
                            <w:t>Ju376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40C1" w:rsidRDefault="007540C1">
                    <w:pPr>
                      <w:pStyle w:val="KantRubrikS5H"/>
                      <w:ind w:right="0"/>
                    </w:pPr>
                    <w:r>
                      <w:fldChar w:fldCharType="begin"/>
                    </w:r>
                    <w:r>
                      <w:instrText xml:space="preserve"> DOCPROPERTY "YearUser" *\charformat </w:instrText>
                    </w:r>
                    <w:r>
                      <w:fldChar w:fldCharType="separate"/>
                    </w:r>
                    <w:r w:rsidR="008E01BC">
                      <w:t>2005/06</w:t>
                    </w:r>
                    <w:r>
                      <w:fldChar w:fldCharType="end"/>
                    </w:r>
                    <w:r>
                      <w:t>:</w:t>
                    </w:r>
                    <w:r>
                      <w:fldChar w:fldCharType="begin"/>
                    </w:r>
                    <w:r>
                      <w:instrText xml:space="preserve"> DOCPROPERTY "Motionsnummer" *\charformat </w:instrText>
                    </w:r>
                    <w:r>
                      <w:fldChar w:fldCharType="separate"/>
                    </w:r>
                    <w:r w:rsidR="008E01BC">
                      <w:t>Ju376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0C1" w:rsidRPr="00C05B56" w:rsidRDefault="007540C1">
    <w:pPr>
      <w:pStyle w:val="FSHNormal"/>
      <w:tabs>
        <w:tab w:val="right" w:pos="5840"/>
      </w:tabs>
    </w:pPr>
    <w:r w:rsidRPr="00C05B56">
      <w:br/>
    </w:r>
    <w:r w:rsidRPr="00C05B56">
      <w:fldChar w:fldCharType="begin" w:fldLock="1"/>
    </w:r>
    <w:r w:rsidRPr="00C05B56">
      <w:instrText xml:space="preserve"> DOCPROPERTY</w:instrText>
    </w:r>
    <w:r w:rsidRPr="00C05B56">
      <w:rPr>
        <w:sz w:val="18"/>
      </w:rPr>
      <w:instrText xml:space="preserve"> "YearUser" *\charformat </w:instrText>
    </w:r>
    <w:r w:rsidRPr="00C05B56">
      <w:fldChar w:fldCharType="separate"/>
    </w:r>
    <w:r w:rsidR="008E01BC" w:rsidRPr="00C05B56">
      <w:t>2005/06</w:t>
    </w:r>
    <w:r w:rsidRPr="00C05B56">
      <w:fldChar w:fldCharType="end"/>
    </w:r>
    <w:r w:rsidRPr="00C05B56">
      <w:t xml:space="preserve"> </w:t>
    </w:r>
    <w:r w:rsidRPr="00C05B56">
      <w:tab/>
      <w:t xml:space="preserve">mnr: </w:t>
    </w:r>
    <w:r w:rsidRPr="00C05B56">
      <w:fldChar w:fldCharType="begin" w:fldLock="1"/>
    </w:r>
    <w:r w:rsidRPr="00C05B56">
      <w:instrText xml:space="preserve"> DOCPROPERTY</w:instrText>
    </w:r>
    <w:r w:rsidRPr="00C05B56">
      <w:rPr>
        <w:sz w:val="18"/>
      </w:rPr>
      <w:instrText xml:space="preserve"> "Motionsnummer" *\charformat </w:instrText>
    </w:r>
    <w:r w:rsidRPr="00C05B56">
      <w:fldChar w:fldCharType="separate"/>
    </w:r>
    <w:r w:rsidR="008E01BC" w:rsidRPr="00C05B56">
      <w:t>Ju376</w:t>
    </w:r>
    <w:r w:rsidRPr="00C05B56">
      <w:fldChar w:fldCharType="end"/>
    </w:r>
    <w:r w:rsidRPr="00C05B56">
      <w:br/>
    </w:r>
    <w:r w:rsidRPr="00C05B56">
      <w:fldChar w:fldCharType="begin" w:fldLock="1"/>
    </w:r>
    <w:r w:rsidRPr="00C05B56">
      <w:instrText xml:space="preserve"> DOCPROPERTY</w:instrText>
    </w:r>
    <w:r w:rsidRPr="00C05B56">
      <w:rPr>
        <w:sz w:val="18"/>
      </w:rPr>
      <w:instrText xml:space="preserve"> "Samling" *\charformat </w:instrText>
    </w:r>
    <w:r w:rsidRPr="00C05B56">
      <w:fldChar w:fldCharType="end"/>
    </w:r>
    <w:r w:rsidRPr="00C05B56">
      <w:tab/>
      <w:t xml:space="preserve">pnr: </w:t>
    </w:r>
    <w:r w:rsidRPr="00C05B56">
      <w:fldChar w:fldCharType="begin" w:fldLock="1"/>
    </w:r>
    <w:r w:rsidRPr="00C05B56">
      <w:instrText xml:space="preserve"> DOCPROPERTY</w:instrText>
    </w:r>
    <w:r w:rsidRPr="00C05B56">
      <w:rPr>
        <w:sz w:val="18"/>
      </w:rPr>
      <w:instrText xml:space="preserve"> "Partinummer" *\charformat </w:instrText>
    </w:r>
    <w:r w:rsidRPr="00C05B56">
      <w:fldChar w:fldCharType="separate"/>
    </w:r>
    <w:r w:rsidR="008E01BC" w:rsidRPr="00C05B56">
      <w:t>fp107</w:t>
    </w:r>
    <w:r w:rsidRPr="00C05B56">
      <w:fldChar w:fldCharType="end"/>
    </w:r>
  </w:p>
  <w:p w:rsidR="007540C1" w:rsidRPr="00C05B56" w:rsidRDefault="007540C1">
    <w:pPr>
      <w:pStyle w:val="FSHRub1"/>
    </w:pPr>
    <w:r w:rsidRPr="00C05B56">
      <w:t>Motion till riksdagen</w:t>
    </w:r>
    <w:r w:rsidRPr="00C05B56">
      <w:br/>
    </w:r>
    <w:r w:rsidRPr="00C05B56">
      <w:fldChar w:fldCharType="begin" w:fldLock="1"/>
    </w:r>
    <w:r w:rsidRPr="00C05B56">
      <w:instrText xml:space="preserve"> DOCPROPERTY "YearUser" *\charformat </w:instrText>
    </w:r>
    <w:r w:rsidRPr="00C05B56">
      <w:fldChar w:fldCharType="separate"/>
    </w:r>
    <w:r w:rsidR="008E01BC" w:rsidRPr="00C05B56">
      <w:t>2005/06</w:t>
    </w:r>
    <w:r w:rsidRPr="00C05B56">
      <w:fldChar w:fldCharType="end"/>
    </w:r>
    <w:r w:rsidRPr="00C05B56">
      <w:t>:</w:t>
    </w:r>
    <w:r w:rsidRPr="00C05B56">
      <w:fldChar w:fldCharType="begin" w:fldLock="1"/>
    </w:r>
    <w:r w:rsidRPr="00C05B56">
      <w:instrText xml:space="preserve"> DOCPROPERTY "Motionsnummer" *\charformat </w:instrText>
    </w:r>
    <w:r w:rsidRPr="00C05B56">
      <w:fldChar w:fldCharType="separate"/>
    </w:r>
    <w:r w:rsidR="008E01BC" w:rsidRPr="00C05B56">
      <w:t>Ju376</w:t>
    </w:r>
    <w:r w:rsidRPr="00C05B56">
      <w:fldChar w:fldCharType="end"/>
    </w:r>
  </w:p>
  <w:p w:rsidR="007540C1" w:rsidRPr="00C05B56" w:rsidRDefault="007540C1">
    <w:pPr>
      <w:pStyle w:val="FSHNormalS5"/>
    </w:pPr>
    <w:r w:rsidRPr="00C05B56">
      <w:fldChar w:fldCharType="begin" w:fldLock="1"/>
    </w:r>
    <w:r w:rsidRPr="00C05B56">
      <w:instrText xml:space="preserve"> DOCPROPERTY "MotionarText" *\charformat </w:instrText>
    </w:r>
    <w:r w:rsidRPr="00C05B56">
      <w:fldChar w:fldCharType="separate"/>
    </w:r>
    <w:r w:rsidR="008E01BC" w:rsidRPr="00C05B56">
      <w:t>av Johan Pehrson m.fl. (fp)</w:t>
    </w:r>
    <w:r w:rsidRPr="00C05B56">
      <w:fldChar w:fldCharType="end"/>
    </w:r>
    <w:r w:rsidRPr="00C05B56">
      <w:br/>
    </w:r>
    <w:r w:rsidRPr="00C05B56">
      <w:fldChar w:fldCharType="begin" w:fldLock="1"/>
    </w:r>
    <w:r w:rsidRPr="00C05B56">
      <w:instrText xml:space="preserve"> DOCPROPERTY "SvarFrasKort" *\charformat </w:instrText>
    </w:r>
    <w:r w:rsidRPr="00C05B56">
      <w:fldChar w:fldCharType="end"/>
    </w:r>
  </w:p>
  <w:p w:rsidR="007540C1" w:rsidRPr="00C05B56" w:rsidRDefault="007540C1">
    <w:pPr>
      <w:pStyle w:val="FSHTitel"/>
    </w:pPr>
    <w:r w:rsidRPr="00C05B56">
      <w:fldChar w:fldCharType="begin" w:fldLock="1"/>
    </w:r>
    <w:r w:rsidRPr="00C05B56">
      <w:instrText xml:space="preserve"> DOCPROPERTY</w:instrText>
    </w:r>
    <w:r w:rsidRPr="00C05B56">
      <w:rPr>
        <w:sz w:val="18"/>
      </w:rPr>
      <w:instrText xml:space="preserve"> "RubrikSvar" *\charformat </w:instrText>
    </w:r>
    <w:r w:rsidRPr="00C05B56">
      <w:fldChar w:fldCharType="separate"/>
    </w:r>
    <w:r w:rsidR="008E01BC" w:rsidRPr="00C05B56">
      <w:t>Domstolarna och åklagarväsendet</w:t>
    </w:r>
    <w:r w:rsidRPr="00C05B56">
      <w:fldChar w:fldCharType="end"/>
    </w:r>
  </w:p>
  <w:p w:rsidR="007540C1" w:rsidRPr="00C05B56" w:rsidRDefault="007540C1" w:rsidP="00C5574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1C4742"/>
    <w:multiLevelType w:val="hybridMultilevel"/>
    <w:tmpl w:val="1DF47742"/>
    <w:lvl w:ilvl="0" w:tplc="43989FA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0151779">
    <w:abstractNumId w:val="10"/>
  </w:num>
  <w:num w:numId="2" w16cid:durableId="1913270777">
    <w:abstractNumId w:val="12"/>
  </w:num>
  <w:num w:numId="3" w16cid:durableId="1403526448">
    <w:abstractNumId w:val="8"/>
  </w:num>
  <w:num w:numId="4" w16cid:durableId="1673023989">
    <w:abstractNumId w:val="3"/>
  </w:num>
  <w:num w:numId="5" w16cid:durableId="1723559207">
    <w:abstractNumId w:val="2"/>
  </w:num>
  <w:num w:numId="6" w16cid:durableId="772239570">
    <w:abstractNumId w:val="1"/>
  </w:num>
  <w:num w:numId="7" w16cid:durableId="1778796353">
    <w:abstractNumId w:val="0"/>
  </w:num>
  <w:num w:numId="8" w16cid:durableId="1174799783">
    <w:abstractNumId w:val="9"/>
  </w:num>
  <w:num w:numId="9" w16cid:durableId="18048071">
    <w:abstractNumId w:val="7"/>
  </w:num>
  <w:num w:numId="10" w16cid:durableId="1014765697">
    <w:abstractNumId w:val="6"/>
  </w:num>
  <w:num w:numId="11" w16cid:durableId="923564583">
    <w:abstractNumId w:val="5"/>
  </w:num>
  <w:num w:numId="12" w16cid:durableId="1990596914">
    <w:abstractNumId w:val="4"/>
  </w:num>
  <w:num w:numId="13" w16cid:durableId="1416365570">
    <w:abstractNumId w:val="10"/>
  </w:num>
  <w:num w:numId="14" w16cid:durableId="459109191">
    <w:abstractNumId w:val="12"/>
  </w:num>
  <w:num w:numId="15" w16cid:durableId="770469784">
    <w:abstractNumId w:val="11"/>
  </w:num>
  <w:num w:numId="16" w16cid:durableId="15758238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4"/>
  </w:docVars>
  <w:rsids>
    <w:rsidRoot w:val="005A629C"/>
    <w:rsid w:val="00006021"/>
    <w:rsid w:val="00010DBD"/>
    <w:rsid w:val="00015362"/>
    <w:rsid w:val="00027C9F"/>
    <w:rsid w:val="00033181"/>
    <w:rsid w:val="000341DD"/>
    <w:rsid w:val="00056BE4"/>
    <w:rsid w:val="000634BA"/>
    <w:rsid w:val="000815A2"/>
    <w:rsid w:val="00082829"/>
    <w:rsid w:val="000A305D"/>
    <w:rsid w:val="000B2071"/>
    <w:rsid w:val="000B73A1"/>
    <w:rsid w:val="000C0152"/>
    <w:rsid w:val="000E21A9"/>
    <w:rsid w:val="000E69BF"/>
    <w:rsid w:val="000F1D11"/>
    <w:rsid w:val="000F50DC"/>
    <w:rsid w:val="001110C6"/>
    <w:rsid w:val="00125A0F"/>
    <w:rsid w:val="00127E14"/>
    <w:rsid w:val="001401DA"/>
    <w:rsid w:val="001403A2"/>
    <w:rsid w:val="001421B2"/>
    <w:rsid w:val="0014514C"/>
    <w:rsid w:val="00173BCE"/>
    <w:rsid w:val="00185980"/>
    <w:rsid w:val="001877BC"/>
    <w:rsid w:val="0019426D"/>
    <w:rsid w:val="00196B06"/>
    <w:rsid w:val="001B6BD5"/>
    <w:rsid w:val="001C1736"/>
    <w:rsid w:val="001C44E0"/>
    <w:rsid w:val="001E1FA9"/>
    <w:rsid w:val="001E5503"/>
    <w:rsid w:val="001F3AFB"/>
    <w:rsid w:val="00212465"/>
    <w:rsid w:val="00220E98"/>
    <w:rsid w:val="00222E31"/>
    <w:rsid w:val="00227B7F"/>
    <w:rsid w:val="00231FF6"/>
    <w:rsid w:val="00236297"/>
    <w:rsid w:val="00247CD5"/>
    <w:rsid w:val="00283564"/>
    <w:rsid w:val="00295C87"/>
    <w:rsid w:val="00297920"/>
    <w:rsid w:val="002A0EA5"/>
    <w:rsid w:val="002A274D"/>
    <w:rsid w:val="002A5A47"/>
    <w:rsid w:val="002A6912"/>
    <w:rsid w:val="002B7203"/>
    <w:rsid w:val="002D62D8"/>
    <w:rsid w:val="002E15A2"/>
    <w:rsid w:val="002F5C5A"/>
    <w:rsid w:val="003070B9"/>
    <w:rsid w:val="003433EE"/>
    <w:rsid w:val="003645C0"/>
    <w:rsid w:val="00366652"/>
    <w:rsid w:val="00371239"/>
    <w:rsid w:val="00375E6C"/>
    <w:rsid w:val="0037624C"/>
    <w:rsid w:val="00386231"/>
    <w:rsid w:val="00394993"/>
    <w:rsid w:val="003C0F68"/>
    <w:rsid w:val="003C1918"/>
    <w:rsid w:val="003C2171"/>
    <w:rsid w:val="003C375C"/>
    <w:rsid w:val="003C3D2A"/>
    <w:rsid w:val="003C71C9"/>
    <w:rsid w:val="003F24B5"/>
    <w:rsid w:val="003F3132"/>
    <w:rsid w:val="003F6A4D"/>
    <w:rsid w:val="003F79E6"/>
    <w:rsid w:val="00404166"/>
    <w:rsid w:val="00405F9A"/>
    <w:rsid w:val="0042772B"/>
    <w:rsid w:val="004323E9"/>
    <w:rsid w:val="004416F6"/>
    <w:rsid w:val="00453221"/>
    <w:rsid w:val="00465AB2"/>
    <w:rsid w:val="00467B6C"/>
    <w:rsid w:val="0047558C"/>
    <w:rsid w:val="00493087"/>
    <w:rsid w:val="0049599E"/>
    <w:rsid w:val="0050616D"/>
    <w:rsid w:val="005065FB"/>
    <w:rsid w:val="00510980"/>
    <w:rsid w:val="005218B1"/>
    <w:rsid w:val="005321FD"/>
    <w:rsid w:val="00534462"/>
    <w:rsid w:val="005604EC"/>
    <w:rsid w:val="00571B55"/>
    <w:rsid w:val="00577C3C"/>
    <w:rsid w:val="005820E8"/>
    <w:rsid w:val="005A1F7E"/>
    <w:rsid w:val="005A31D9"/>
    <w:rsid w:val="005A629C"/>
    <w:rsid w:val="005B54E2"/>
    <w:rsid w:val="005C6175"/>
    <w:rsid w:val="005E05E2"/>
    <w:rsid w:val="005E08C9"/>
    <w:rsid w:val="00602F24"/>
    <w:rsid w:val="0061513E"/>
    <w:rsid w:val="00621292"/>
    <w:rsid w:val="006246ED"/>
    <w:rsid w:val="00641467"/>
    <w:rsid w:val="006460CB"/>
    <w:rsid w:val="006546DE"/>
    <w:rsid w:val="00656B56"/>
    <w:rsid w:val="006969AF"/>
    <w:rsid w:val="006B20FF"/>
    <w:rsid w:val="006E0708"/>
    <w:rsid w:val="006F3499"/>
    <w:rsid w:val="00731875"/>
    <w:rsid w:val="00750038"/>
    <w:rsid w:val="007540C1"/>
    <w:rsid w:val="00754B88"/>
    <w:rsid w:val="007602EE"/>
    <w:rsid w:val="007675AB"/>
    <w:rsid w:val="0077042E"/>
    <w:rsid w:val="0077420A"/>
    <w:rsid w:val="007C0DD2"/>
    <w:rsid w:val="007C7275"/>
    <w:rsid w:val="007D044B"/>
    <w:rsid w:val="007E0909"/>
    <w:rsid w:val="007F6D24"/>
    <w:rsid w:val="00802C15"/>
    <w:rsid w:val="00803DCE"/>
    <w:rsid w:val="00813A48"/>
    <w:rsid w:val="0081684D"/>
    <w:rsid w:val="00821208"/>
    <w:rsid w:val="008263D1"/>
    <w:rsid w:val="00827870"/>
    <w:rsid w:val="00830165"/>
    <w:rsid w:val="00833A32"/>
    <w:rsid w:val="00833B6D"/>
    <w:rsid w:val="008767A1"/>
    <w:rsid w:val="008806EC"/>
    <w:rsid w:val="008973E7"/>
    <w:rsid w:val="008C0809"/>
    <w:rsid w:val="008C2EE2"/>
    <w:rsid w:val="008C5A29"/>
    <w:rsid w:val="008C789B"/>
    <w:rsid w:val="008D4248"/>
    <w:rsid w:val="008E01BC"/>
    <w:rsid w:val="008E16F8"/>
    <w:rsid w:val="008F3242"/>
    <w:rsid w:val="008F430C"/>
    <w:rsid w:val="009009FC"/>
    <w:rsid w:val="00903797"/>
    <w:rsid w:val="00905D21"/>
    <w:rsid w:val="009305E6"/>
    <w:rsid w:val="00941033"/>
    <w:rsid w:val="00950C7F"/>
    <w:rsid w:val="00950DC7"/>
    <w:rsid w:val="00960BB6"/>
    <w:rsid w:val="00970008"/>
    <w:rsid w:val="00980D26"/>
    <w:rsid w:val="00985A50"/>
    <w:rsid w:val="0099455D"/>
    <w:rsid w:val="00994926"/>
    <w:rsid w:val="009B5BF7"/>
    <w:rsid w:val="009C1417"/>
    <w:rsid w:val="009C54BB"/>
    <w:rsid w:val="009C6A31"/>
    <w:rsid w:val="009D6393"/>
    <w:rsid w:val="009E5657"/>
    <w:rsid w:val="009E6BBA"/>
    <w:rsid w:val="009F19F1"/>
    <w:rsid w:val="00A02A7B"/>
    <w:rsid w:val="00A174A0"/>
    <w:rsid w:val="00A31898"/>
    <w:rsid w:val="00A41AD4"/>
    <w:rsid w:val="00A45854"/>
    <w:rsid w:val="00A549E3"/>
    <w:rsid w:val="00A71C5F"/>
    <w:rsid w:val="00AB4FA8"/>
    <w:rsid w:val="00AD401B"/>
    <w:rsid w:val="00AE0471"/>
    <w:rsid w:val="00AE7AD2"/>
    <w:rsid w:val="00AF7EA1"/>
    <w:rsid w:val="00B12F07"/>
    <w:rsid w:val="00B27665"/>
    <w:rsid w:val="00B561C8"/>
    <w:rsid w:val="00B66170"/>
    <w:rsid w:val="00B6652E"/>
    <w:rsid w:val="00B71B4D"/>
    <w:rsid w:val="00B864CD"/>
    <w:rsid w:val="00BA7233"/>
    <w:rsid w:val="00BB1BBB"/>
    <w:rsid w:val="00BB7523"/>
    <w:rsid w:val="00BC1EB7"/>
    <w:rsid w:val="00BD1764"/>
    <w:rsid w:val="00BE455C"/>
    <w:rsid w:val="00BF1698"/>
    <w:rsid w:val="00BF42DC"/>
    <w:rsid w:val="00BF4AC6"/>
    <w:rsid w:val="00BF5E35"/>
    <w:rsid w:val="00C00B3A"/>
    <w:rsid w:val="00C01AD1"/>
    <w:rsid w:val="00C02A51"/>
    <w:rsid w:val="00C05B56"/>
    <w:rsid w:val="00C05E5D"/>
    <w:rsid w:val="00C15B32"/>
    <w:rsid w:val="00C241E3"/>
    <w:rsid w:val="00C303F2"/>
    <w:rsid w:val="00C510EB"/>
    <w:rsid w:val="00C55742"/>
    <w:rsid w:val="00CA3B93"/>
    <w:rsid w:val="00CA6443"/>
    <w:rsid w:val="00CB49DB"/>
    <w:rsid w:val="00CB514E"/>
    <w:rsid w:val="00CD2098"/>
    <w:rsid w:val="00CD6644"/>
    <w:rsid w:val="00CD79EB"/>
    <w:rsid w:val="00CE1C87"/>
    <w:rsid w:val="00CE73A2"/>
    <w:rsid w:val="00CF1B05"/>
    <w:rsid w:val="00CF545C"/>
    <w:rsid w:val="00CF7901"/>
    <w:rsid w:val="00D00655"/>
    <w:rsid w:val="00D16E7D"/>
    <w:rsid w:val="00D341EB"/>
    <w:rsid w:val="00D43D9C"/>
    <w:rsid w:val="00D63AE6"/>
    <w:rsid w:val="00D74F7C"/>
    <w:rsid w:val="00DA4699"/>
    <w:rsid w:val="00DB523B"/>
    <w:rsid w:val="00DC050B"/>
    <w:rsid w:val="00DC1258"/>
    <w:rsid w:val="00DD054C"/>
    <w:rsid w:val="00DD47ED"/>
    <w:rsid w:val="00DE58AF"/>
    <w:rsid w:val="00DF6FA8"/>
    <w:rsid w:val="00E0047F"/>
    <w:rsid w:val="00E06EF8"/>
    <w:rsid w:val="00E1008E"/>
    <w:rsid w:val="00E13426"/>
    <w:rsid w:val="00E14682"/>
    <w:rsid w:val="00E356C6"/>
    <w:rsid w:val="00E401D5"/>
    <w:rsid w:val="00E40CA3"/>
    <w:rsid w:val="00E43E39"/>
    <w:rsid w:val="00E53ABD"/>
    <w:rsid w:val="00E7673F"/>
    <w:rsid w:val="00EA6F4B"/>
    <w:rsid w:val="00EC23D6"/>
    <w:rsid w:val="00ED61CD"/>
    <w:rsid w:val="00EE1EC6"/>
    <w:rsid w:val="00EE2B8E"/>
    <w:rsid w:val="00EE3D02"/>
    <w:rsid w:val="00EE6334"/>
    <w:rsid w:val="00EF101E"/>
    <w:rsid w:val="00F0096C"/>
    <w:rsid w:val="00F00EEA"/>
    <w:rsid w:val="00F04FF8"/>
    <w:rsid w:val="00F12183"/>
    <w:rsid w:val="00F140F0"/>
    <w:rsid w:val="00F26363"/>
    <w:rsid w:val="00F27264"/>
    <w:rsid w:val="00F50ECB"/>
    <w:rsid w:val="00F64600"/>
    <w:rsid w:val="00F66464"/>
    <w:rsid w:val="00F70621"/>
    <w:rsid w:val="00F713E2"/>
    <w:rsid w:val="00F72789"/>
    <w:rsid w:val="00F77FF2"/>
    <w:rsid w:val="00F82682"/>
    <w:rsid w:val="00F857F7"/>
    <w:rsid w:val="00F86323"/>
    <w:rsid w:val="00FC3BDE"/>
    <w:rsid w:val="00FC4865"/>
    <w:rsid w:val="00FC6E23"/>
    <w:rsid w:val="00FD0EFE"/>
    <w:rsid w:val="00FD4132"/>
    <w:rsid w:val="00FD5C38"/>
    <w:rsid w:val="00FF1559"/>
    <w:rsid w:val="00FF302B"/>
    <w:rsid w:val="00FF51B0"/>
    <w:rsid w:val="00FF6B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804C951-E532-4CDB-99BF-029C402F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BF1698"/>
    <w:pPr>
      <w:spacing w:after="250"/>
    </w:pPr>
  </w:style>
  <w:style w:type="paragraph" w:customStyle="1" w:styleId="Hemstlatt">
    <w:name w:val="Hemstl_att"/>
    <w:aliases w:val="HemstPunkt,HemstPunktFlera,HemställansPunkt,Förslagstext"/>
    <w:basedOn w:val="Normal"/>
    <w:next w:val="Normal"/>
    <w:rsid w:val="00C55742"/>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6526</Words>
  <Characters>41904</Characters>
  <Application>Microsoft Office Word</Application>
  <DocSecurity>4</DocSecurity>
  <Lines>735</Lines>
  <Paragraphs>183</Paragraphs>
  <ScaleCrop>false</ScaleCrop>
  <HeadingPairs>
    <vt:vector size="2" baseType="variant">
      <vt:variant>
        <vt:lpstr>Rubrik</vt:lpstr>
      </vt:variant>
      <vt:variant>
        <vt:i4>1</vt:i4>
      </vt:variant>
    </vt:vector>
  </HeadingPairs>
  <TitlesOfParts>
    <vt:vector size="1" baseType="lpstr">
      <vt:lpstr>Ju376</vt:lpstr>
    </vt:vector>
  </TitlesOfParts>
  <Company>RD/RFK/IT/DTSL</Company>
  <LinksUpToDate>false</LinksUpToDate>
  <CharactersWithSpaces>48247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Ju376</dc:title>
  <dc:subject>Ju376</dc:subject>
  <dc:creator>Riksdagen</dc:creator>
  <cp:keywords>Riksdagen</cp:keywords>
  <dc:description>Q- och KP/XP-anpassad. v3.</dc:description>
  <cp:lastModifiedBy>Lars Brink</cp:lastModifiedBy>
  <cp:revision>2</cp:revision>
  <cp:lastPrinted>2005-11-04T07:25:00Z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mot2000_423_2005-10-14</vt:lpwstr>
  </property>
  <property fmtid="{D5CDD505-2E9C-101B-9397-08002B2CF9AE}" pid="3" name="Sekr">
    <vt:lpwstr>mb</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Domstolarna och åklagarväsendet</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Domstolarna och åklagarväsendet</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fp107</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6</vt:lpwstr>
  </property>
  <property fmtid="{D5CDD505-2E9C-101B-9397-08002B2CF9AE}" pid="19" name="MotionarText">
    <vt:lpwstr>av Johan Pehrson m.fl. (fp)</vt:lpwstr>
  </property>
  <property fmtid="{D5CDD505-2E9C-101B-9397-08002B2CF9AE}" pid="20" name="MotionarLista">
    <vt:lpwstr>Pehrson, Johan (fp)\Strandberg, Torkild (fp)\Granbom, Karin (fp)\Ertsborn, Jan (fp)\Bargholtz, Helena (fp)\Wigström, Cecilia (fp)</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Johan Pehrson (fp), Torkild Strandberg (fp), Karin Granbom (fp), Jan Ertsborn (fp), Helena Bargholtz (fp), Cecilia Wigström (fp)</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42</vt:lpwstr>
  </property>
  <property fmtid="{D5CDD505-2E9C-101B-9397-08002B2CF9AE}" pid="30" name="Samling">
    <vt:lpwstr/>
  </property>
  <property fmtid="{D5CDD505-2E9C-101B-9397-08002B2CF9AE}" pid="31" name="SamlingPrint">
    <vt:lpwstr/>
  </property>
  <property fmtid="{D5CDD505-2E9C-101B-9397-08002B2CF9AE}" pid="32" name="Motionsnummer">
    <vt:lpwstr>Ju376</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30 september 2005</vt:lpwstr>
  </property>
  <property fmtid="{D5CDD505-2E9C-101B-9397-08002B2CF9AE}" pid="38" name="NotesUID">
    <vt:lpwstr>anna.prucha@riksdagen.se</vt:lpwstr>
  </property>
  <property fmtid="{D5CDD505-2E9C-101B-9397-08002B2CF9AE}" pid="39" name="ReservUID">
    <vt:lpwstr>peter jansson</vt:lpwstr>
  </property>
  <property fmtid="{D5CDD505-2E9C-101B-9397-08002B2CF9AE}" pid="40" name="MotionID">
    <vt:lpwstr>20052006000001020112000001070075</vt:lpwstr>
  </property>
  <property fmtid="{D5CDD505-2E9C-101B-9397-08002B2CF9AE}" pid="41" name="avs-org">
    <vt:lpwstr/>
  </property>
  <property fmtid="{D5CDD505-2E9C-101B-9397-08002B2CF9AE}" pid="42" name="datum">
    <vt:lpwstr>050930</vt:lpwstr>
  </property>
  <property fmtid="{D5CDD505-2E9C-101B-9397-08002B2CF9AE}" pid="43" name="dokumenttyp">
    <vt:lpwstr>motion</vt:lpwstr>
  </property>
  <property fmtid="{D5CDD505-2E9C-101B-9397-08002B2CF9AE}" pid="44" name="avsändar-e-post">
    <vt:lpwstr>anna.prucha@riksdagen.se</vt:lpwstr>
  </property>
  <property fmtid="{D5CDD505-2E9C-101B-9397-08002B2CF9AE}" pid="45" name="id">
    <vt:lpwstr>20052006000001020112000001070075</vt:lpwstr>
  </property>
  <property fmtid="{D5CDD505-2E9C-101B-9397-08002B2CF9AE}" pid="46" name="nummer">
    <vt:lpwstr>376</vt:lpwstr>
  </property>
  <property fmtid="{D5CDD505-2E9C-101B-9397-08002B2CF9AE}" pid="47" name="partibeteckning">
    <vt:lpwstr>fp</vt:lpwstr>
  </property>
  <property fmtid="{D5CDD505-2E9C-101B-9397-08002B2CF9AE}" pid="48" name="årsuppgift">
    <vt:lpwstr>200506</vt:lpwstr>
  </property>
  <property fmtid="{D5CDD505-2E9C-101B-9397-08002B2CF9AE}" pid="49" name="utskottsbeteckning">
    <vt:lpwstr>Ju</vt:lpwstr>
  </property>
  <property fmtid="{D5CDD505-2E9C-101B-9397-08002B2CF9AE}" pid="50" name="version">
    <vt:lpwstr/>
  </property>
  <property fmtid="{D5CDD505-2E9C-101B-9397-08002B2CF9AE}" pid="51" name="DeladMotion">
    <vt:lpwstr>nej</vt:lpwstr>
  </property>
</Properties>
</file>