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9D719B">
        <w:tblPrEx>
          <w:tblCellMar>
            <w:top w:w="0" w:type="dxa"/>
            <w:bottom w:w="0" w:type="dxa"/>
          </w:tblCellMar>
        </w:tblPrEx>
        <w:trPr>
          <w:cantSplit/>
          <w:trHeight w:val="635"/>
        </w:trPr>
        <w:tc>
          <w:tcPr>
            <w:tcW w:w="5457" w:type="dxa"/>
            <w:gridSpan w:val="2"/>
            <w:vMerge w:val="restart"/>
            <w:tcBorders>
              <w:bottom w:val="nil"/>
            </w:tcBorders>
          </w:tcPr>
          <w:p w:rsidR="001F14AF" w:rsidRPr="009D719B" w:rsidRDefault="001F14AF">
            <w:pPr>
              <w:pStyle w:val="HuvudRubrik"/>
              <w:spacing w:before="0"/>
              <w:rPr>
                <w:sz w:val="36"/>
              </w:rPr>
            </w:pPr>
            <w:r w:rsidRPr="009D719B">
              <w:rPr>
                <w:sz w:val="36"/>
              </w:rPr>
              <w:t>Förslag till riksdagen</w:t>
            </w:r>
          </w:p>
          <w:p w:rsidR="001F14AF" w:rsidRPr="009D719B" w:rsidRDefault="001F14AF">
            <w:pPr>
              <w:pStyle w:val="HuvudRubrik"/>
              <w:spacing w:before="0"/>
            </w:pPr>
            <w:r w:rsidRPr="009D719B">
              <w:rPr>
                <w:sz w:val="36"/>
              </w:rPr>
              <w:t>2002/03:RR14</w:t>
            </w:r>
          </w:p>
          <w:p w:rsidR="001F14AF" w:rsidRPr="009D719B" w:rsidRDefault="001F14AF">
            <w:pPr>
              <w:pStyle w:val="HuvudRubrik"/>
              <w:spacing w:before="0"/>
            </w:pPr>
            <w:r w:rsidRPr="009D719B">
              <w:t xml:space="preserve">Riksdagens revisorers förslag angående </w:t>
            </w:r>
            <w:bookmarkStart w:id="0" w:name="Mittenrubrik2"/>
            <w:bookmarkEnd w:id="0"/>
            <w:r w:rsidRPr="009D719B">
              <w:t>Försvarsmaktens arbetsgivarpolitik</w:t>
            </w:r>
          </w:p>
        </w:tc>
        <w:tc>
          <w:tcPr>
            <w:tcW w:w="2126" w:type="dxa"/>
          </w:tcPr>
          <w:p w:rsidR="001F14AF" w:rsidRPr="009D719B" w:rsidRDefault="009D719B">
            <w:pPr>
              <w:pStyle w:val="rtal"/>
              <w:ind w:left="0"/>
              <w:rPr>
                <w:sz w:val="2"/>
              </w:rPr>
            </w:pPr>
            <w:r w:rsidRPr="009D719B">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9D719B">
        <w:tblPrEx>
          <w:tblCellMar>
            <w:top w:w="0" w:type="dxa"/>
            <w:bottom w:w="0" w:type="dxa"/>
          </w:tblCellMar>
        </w:tblPrEx>
        <w:trPr>
          <w:cantSplit/>
          <w:trHeight w:val="313"/>
        </w:trPr>
        <w:tc>
          <w:tcPr>
            <w:tcW w:w="5457" w:type="dxa"/>
            <w:gridSpan w:val="2"/>
            <w:vMerge/>
            <w:tcBorders>
              <w:bottom w:val="nil"/>
            </w:tcBorders>
          </w:tcPr>
          <w:p w:rsidR="001F14AF" w:rsidRPr="009D719B" w:rsidRDefault="001F14AF">
            <w:pPr>
              <w:pStyle w:val="HuvudRubrik"/>
            </w:pPr>
          </w:p>
        </w:tc>
        <w:tc>
          <w:tcPr>
            <w:tcW w:w="2126" w:type="dxa"/>
          </w:tcPr>
          <w:p w:rsidR="001F14AF" w:rsidRPr="009D719B" w:rsidRDefault="001F14AF">
            <w:pPr>
              <w:pStyle w:val="rtal"/>
              <w:ind w:left="0"/>
            </w:pPr>
            <w:r w:rsidRPr="009D719B">
              <w:t>2002/03</w:t>
            </w:r>
          </w:p>
        </w:tc>
      </w:tr>
      <w:tr w:rsidR="00000000" w:rsidRPr="009D719B">
        <w:tblPrEx>
          <w:tblCellMar>
            <w:top w:w="0" w:type="dxa"/>
            <w:bottom w:w="0" w:type="dxa"/>
          </w:tblCellMar>
        </w:tblPrEx>
        <w:trPr>
          <w:cantSplit/>
          <w:trHeight w:val="635"/>
        </w:trPr>
        <w:tc>
          <w:tcPr>
            <w:tcW w:w="5457" w:type="dxa"/>
            <w:gridSpan w:val="2"/>
            <w:vMerge/>
            <w:tcBorders>
              <w:bottom w:val="single" w:sz="4" w:space="0" w:color="auto"/>
            </w:tcBorders>
          </w:tcPr>
          <w:p w:rsidR="001F14AF" w:rsidRPr="009D719B" w:rsidRDefault="001F14AF">
            <w:pPr>
              <w:pStyle w:val="HuvudRubrik"/>
            </w:pPr>
          </w:p>
        </w:tc>
        <w:tc>
          <w:tcPr>
            <w:tcW w:w="2126" w:type="dxa"/>
            <w:tcBorders>
              <w:bottom w:val="single" w:sz="6" w:space="0" w:color="auto"/>
            </w:tcBorders>
          </w:tcPr>
          <w:p w:rsidR="001F14AF" w:rsidRPr="009D719B" w:rsidRDefault="001F14AF">
            <w:pPr>
              <w:pStyle w:val="rtal"/>
              <w:ind w:left="0"/>
            </w:pPr>
            <w:r w:rsidRPr="009D719B">
              <w:t>RR14</w:t>
            </w:r>
          </w:p>
        </w:tc>
      </w:tr>
      <w:tr w:rsidR="00000000" w:rsidRPr="009D719B">
        <w:tblPrEx>
          <w:tblCellMar>
            <w:top w:w="0" w:type="dxa"/>
            <w:bottom w:w="0" w:type="dxa"/>
          </w:tblCellMar>
        </w:tblPrEx>
        <w:trPr>
          <w:cantSplit/>
          <w:trHeight w:hRule="exact" w:val="660"/>
        </w:trPr>
        <w:tc>
          <w:tcPr>
            <w:tcW w:w="3012" w:type="dxa"/>
          </w:tcPr>
          <w:p w:rsidR="001F14AF" w:rsidRPr="009D719B" w:rsidRDefault="001F14AF">
            <w:pPr>
              <w:pStyle w:val="StatusSida1"/>
            </w:pPr>
          </w:p>
        </w:tc>
        <w:tc>
          <w:tcPr>
            <w:tcW w:w="2445" w:type="dxa"/>
          </w:tcPr>
          <w:p w:rsidR="001F14AF" w:rsidRPr="009D719B" w:rsidRDefault="001F14AF">
            <w:pPr>
              <w:pStyle w:val="UtskriftsdatumSida1"/>
              <w:rPr>
                <w:b/>
                <w:sz w:val="28"/>
              </w:rPr>
            </w:pPr>
          </w:p>
        </w:tc>
        <w:tc>
          <w:tcPr>
            <w:tcW w:w="2126" w:type="dxa"/>
          </w:tcPr>
          <w:p w:rsidR="001F14AF" w:rsidRPr="009D719B" w:rsidRDefault="001F14AF"/>
        </w:tc>
      </w:tr>
    </w:tbl>
    <w:p w:rsidR="001F14AF" w:rsidRPr="009D719B" w:rsidRDefault="001F14AF">
      <w:pPr>
        <w:pStyle w:val="Rubrik1"/>
      </w:pPr>
      <w:bookmarkStart w:id="1" w:name="Textstart"/>
      <w:bookmarkStart w:id="2" w:name="_Toc38103326"/>
      <w:bookmarkEnd w:id="1"/>
      <w:r w:rsidRPr="009D719B">
        <w:t>Revisorernas granskning</w:t>
      </w:r>
      <w:bookmarkEnd w:id="2"/>
    </w:p>
    <w:p w:rsidR="001F14AF" w:rsidRPr="009D719B" w:rsidRDefault="001F14AF">
      <w:r w:rsidRPr="009D719B">
        <w:t>Riksdagens revisorer har efter ett förslag från försvarsutskottet granskat arbetsgivarpolitiken inom Försvarsmakten med särskild inriktning på lön</w:t>
      </w:r>
      <w:r w:rsidRPr="009D719B">
        <w:t>e</w:t>
      </w:r>
      <w:r w:rsidRPr="009D719B">
        <w:t>bildningen. Myndighetens lönebildning påverkar inte bara den egna ver</w:t>
      </w:r>
      <w:r w:rsidRPr="009D719B">
        <w:t>k</w:t>
      </w:r>
      <w:r w:rsidRPr="009D719B">
        <w:t>samheten, utan har dessutom verkningar för samhällsekonomin i stort. Lön</w:t>
      </w:r>
      <w:r w:rsidRPr="009D719B">
        <w:t>e</w:t>
      </w:r>
      <w:r w:rsidRPr="009D719B">
        <w:t xml:space="preserve">bildningen är bl.a. därför ett av myndighetens viktigaste arbetsgivarpolitiska instrument. </w:t>
      </w:r>
    </w:p>
    <w:p w:rsidR="001F14AF" w:rsidRPr="009D719B" w:rsidRDefault="001F14AF">
      <w:pPr>
        <w:pStyle w:val="Normaltindrag"/>
      </w:pPr>
      <w:r w:rsidRPr="009D719B">
        <w:t xml:space="preserve">I rapporten </w:t>
      </w:r>
      <w:r w:rsidRPr="009D719B">
        <w:rPr>
          <w:i/>
        </w:rPr>
        <w:t>Giv akt på lönebildningen</w:t>
      </w:r>
      <w:r w:rsidRPr="009D719B">
        <w:t xml:space="preserve"> (bilaga till denna skrivelse) konst</w:t>
      </w:r>
      <w:r w:rsidRPr="009D719B">
        <w:t>a</w:t>
      </w:r>
      <w:r w:rsidRPr="009D719B">
        <w:t>terar revisorerna att flera faktorer försvårar Försvarsmaktens möjligheter att anpassa lönebildningen till att främja verksamhetsintresset. Det gäller attit</w:t>
      </w:r>
      <w:r w:rsidRPr="009D719B">
        <w:t>y</w:t>
      </w:r>
      <w:r w:rsidRPr="009D719B">
        <w:t>derna till arbetsgivarfrågor inom Försvarsmakten, myndighetens storlek och struktur samt den pågående omstruktureringen.</w:t>
      </w:r>
    </w:p>
    <w:p w:rsidR="001F14AF" w:rsidRPr="009D719B" w:rsidRDefault="001F14AF">
      <w:pPr>
        <w:pStyle w:val="Normaltindrag"/>
      </w:pPr>
      <w:r w:rsidRPr="009D719B">
        <w:t>Granskningen visar att förbandschefen i stor utsträckning står ensam i l</w:t>
      </w:r>
      <w:r w:rsidRPr="009D719B">
        <w:t>ö</w:t>
      </w:r>
      <w:r w:rsidRPr="009D719B">
        <w:t>nebildningen, medan motparten vid förbanden är väl organiserad. Högkvart</w:t>
      </w:r>
      <w:r w:rsidRPr="009D719B">
        <w:t>e</w:t>
      </w:r>
      <w:r w:rsidRPr="009D719B">
        <w:t>rets organisation är splittrad. Arbetsgivarfrågorna hanteras inom olika avde</w:t>
      </w:r>
      <w:r w:rsidRPr="009D719B">
        <w:t>l</w:t>
      </w:r>
      <w:r w:rsidRPr="009D719B">
        <w:t>ningar av Högkvarteret. Detta resulterar i att ansvaret för styrning och up</w:t>
      </w:r>
      <w:r w:rsidRPr="009D719B">
        <w:t>p</w:t>
      </w:r>
      <w:r w:rsidRPr="009D719B">
        <w:t>följning är oklart. På grund av de oklara ansvarsförhållandena följs t.ex. inte förbandens lönekostnader upp. Splittringen i Högkvarterets organisation leder också till att förbanden får oklara och ibland motstridiga styrsignaler vad gäller arbetsg</w:t>
      </w:r>
      <w:r w:rsidRPr="009D719B">
        <w:t>i</w:t>
      </w:r>
      <w:r w:rsidRPr="009D719B">
        <w:t>varpolitiken.</w:t>
      </w:r>
    </w:p>
    <w:p w:rsidR="001F14AF" w:rsidRPr="009D719B" w:rsidRDefault="001F14AF">
      <w:pPr>
        <w:pStyle w:val="Normaltindrag"/>
      </w:pPr>
      <w:r w:rsidRPr="009D719B">
        <w:t xml:space="preserve">Revisorerna anser att </w:t>
      </w:r>
      <w:r w:rsidRPr="009D719B">
        <w:t>uppföljningen av arbetsgivarpolitiken är ett viktigt instrument för att Försvarsmakten ska kunna verksamhetsanpassa lönebil</w:t>
      </w:r>
      <w:r w:rsidRPr="009D719B">
        <w:t>d</w:t>
      </w:r>
      <w:r w:rsidRPr="009D719B">
        <w:t>ningen. Trots att förutsättningarna har förbättrats är Försvarsmaktens up</w:t>
      </w:r>
      <w:r w:rsidRPr="009D719B">
        <w:t>p</w:t>
      </w:r>
      <w:r w:rsidRPr="009D719B">
        <w:t>följning av lönebildningen fortfarande otillräcklig. Regeringen har också brustit i sitt ansvar att ställa krav på och följa upp Försvarsmaktens arbetsg</w:t>
      </w:r>
      <w:r w:rsidRPr="009D719B">
        <w:t>i</w:t>
      </w:r>
      <w:r w:rsidRPr="009D719B">
        <w:t>va</w:t>
      </w:r>
      <w:r w:rsidRPr="009D719B">
        <w:t>r</w:t>
      </w:r>
      <w:r w:rsidRPr="009D719B">
        <w:t>politik.</w:t>
      </w:r>
    </w:p>
    <w:p w:rsidR="001F14AF" w:rsidRPr="009D719B" w:rsidRDefault="001F14AF">
      <w:pPr>
        <w:pStyle w:val="Normaltindrag"/>
      </w:pPr>
      <w:r w:rsidRPr="009D719B">
        <w:t>Rapporten har remissbehandlats. Yttranden över rapporten har lämnats av Arbetsgivarverket, Ekonomistyrningsverket, Facket för service och komm</w:t>
      </w:r>
      <w:r w:rsidRPr="009D719B">
        <w:t>u</w:t>
      </w:r>
      <w:r w:rsidRPr="009D719B">
        <w:t xml:space="preserve">nikation (SEKO), Försvarsförbundet, Försvarsmakten, Officersförbundet och Statskontoret. </w:t>
      </w:r>
    </w:p>
    <w:p w:rsidR="001F14AF" w:rsidRPr="009D719B" w:rsidRDefault="001F14AF">
      <w:pPr>
        <w:pStyle w:val="Normaltindrag"/>
        <w:sectPr w:rsidR="00000000" w:rsidRPr="009D719B">
          <w:headerReference w:type="default" r:id="rId8"/>
          <w:footerReference w:type="default" r:id="rId9"/>
          <w:pgSz w:w="11906" w:h="16838" w:code="9"/>
          <w:pgMar w:top="567" w:right="4876" w:bottom="4508" w:left="1134" w:header="227" w:footer="227" w:gutter="0"/>
          <w:cols w:space="720"/>
        </w:sectPr>
      </w:pPr>
    </w:p>
    <w:p w:rsidR="001F14AF" w:rsidRPr="009D719B" w:rsidRDefault="001F14AF">
      <w:pPr>
        <w:pStyle w:val="Rubrik1"/>
        <w:tabs>
          <w:tab w:val="clear" w:pos="227"/>
          <w:tab w:val="clear" w:pos="432"/>
          <w:tab w:val="num" w:pos="284"/>
        </w:tabs>
        <w:spacing w:before="0"/>
        <w:ind w:left="284" w:hanging="284"/>
      </w:pPr>
      <w:bookmarkStart w:id="3" w:name="_Toc38103327"/>
      <w:r w:rsidRPr="009D719B">
        <w:lastRenderedPageBreak/>
        <w:t>Remissinstansernas synpunkter och revisorernas överväganden</w:t>
      </w:r>
      <w:bookmarkEnd w:id="3"/>
    </w:p>
    <w:p w:rsidR="001F14AF" w:rsidRPr="009D719B" w:rsidRDefault="001F14AF">
      <w:pPr>
        <w:pStyle w:val="Rubrik2"/>
      </w:pPr>
      <w:bookmarkStart w:id="4" w:name="_Toc38103328"/>
      <w:r w:rsidRPr="009D719B">
        <w:t>Allmänna utgångspunkter</w:t>
      </w:r>
      <w:bookmarkEnd w:id="4"/>
    </w:p>
    <w:p w:rsidR="001F14AF" w:rsidRPr="009D719B" w:rsidRDefault="001F14AF">
      <w:pPr>
        <w:pStyle w:val="RubrikUtanNr3"/>
        <w:spacing w:before="123"/>
      </w:pPr>
      <w:r w:rsidRPr="009D719B">
        <w:t>Rapporten</w:t>
      </w:r>
    </w:p>
    <w:p w:rsidR="001F14AF" w:rsidRPr="009D719B" w:rsidRDefault="001F14AF">
      <w:r w:rsidRPr="009D719B">
        <w:t>Revisorerna framhöll i rapporten att Försvarsmakten kan stärka sin arbetsg</w:t>
      </w:r>
      <w:r w:rsidRPr="009D719B">
        <w:t>i</w:t>
      </w:r>
      <w:r w:rsidRPr="009D719B">
        <w:t>varroll på tre olika sätt: genom att påverka och förändra attityder till arbet</w:t>
      </w:r>
      <w:r w:rsidRPr="009D719B">
        <w:t>s</w:t>
      </w:r>
      <w:r w:rsidRPr="009D719B">
        <w:t>givarpolitiken inom organisationen, genom att skapa organisatoriska föru</w:t>
      </w:r>
      <w:r w:rsidRPr="009D719B">
        <w:t>t</w:t>
      </w:r>
      <w:r w:rsidRPr="009D719B">
        <w:t xml:space="preserve">sättningar för en starkare arbetsgivarroll samt genom en förbättrad styrning och uppföljning av arbetsgivarpolitiken. </w:t>
      </w:r>
    </w:p>
    <w:p w:rsidR="001F14AF" w:rsidRPr="009D719B" w:rsidRDefault="001F14AF">
      <w:pPr>
        <w:pStyle w:val="Normaltindrag"/>
      </w:pPr>
      <w:r w:rsidRPr="009D719B">
        <w:t>Granskningen har visat att Försvarsmakten bedriver en mycket kostsam arbetsgivarpolitik. Sedan 1996 har antalet anställda i Försvarsmakten min</w:t>
      </w:r>
      <w:r w:rsidRPr="009D719B">
        <w:t>s</w:t>
      </w:r>
      <w:r w:rsidRPr="009D719B">
        <w:t>kat med en fjärdedel. Vid utgången av 2002 hade Försvarsmakten knappt 21 000 anställda. Försvarsmaktens personalkostnader har däremot inte min</w:t>
      </w:r>
      <w:r w:rsidRPr="009D719B">
        <w:t>s</w:t>
      </w:r>
      <w:r w:rsidRPr="009D719B">
        <w:t xml:space="preserve">kat sedan 1996. </w:t>
      </w:r>
    </w:p>
    <w:p w:rsidR="001F14AF" w:rsidRPr="009D719B" w:rsidRDefault="001F14AF">
      <w:pPr>
        <w:pStyle w:val="RubrikUtanNr3"/>
      </w:pPr>
      <w:r w:rsidRPr="009D719B">
        <w:t>Remissinstansernas synpunkter</w:t>
      </w:r>
    </w:p>
    <w:p w:rsidR="001F14AF" w:rsidRPr="009D719B" w:rsidRDefault="001F14AF">
      <w:r w:rsidRPr="009D719B">
        <w:rPr>
          <w:i/>
        </w:rPr>
        <w:t>Försvarsmakten</w:t>
      </w:r>
      <w:r w:rsidRPr="009D719B">
        <w:t xml:space="preserve"> håller delvis med om de synpunkter och förslag som redov</w:t>
      </w:r>
      <w:r w:rsidRPr="009D719B">
        <w:t>i</w:t>
      </w:r>
      <w:r w:rsidRPr="009D719B">
        <w:t>sas i rapporten. Däremot menar Försvarsmakten att de problem och fakta som revisorerna framför är väl kända. En del av frågorna hör enligt Fö</w:t>
      </w:r>
      <w:r w:rsidRPr="009D719B">
        <w:t>r</w:t>
      </w:r>
      <w:r w:rsidRPr="009D719B">
        <w:t>svarsmakten samman med den pågående omstruktureringen och är därför inte möjliga att rätta till. Andra frågor har Försvarsmakten arbetat för att lösa. I sitt remissyttrande skriver Försvarsmakten att arbetet med lönebil</w:t>
      </w:r>
      <w:r w:rsidRPr="009D719B">
        <w:t>d</w:t>
      </w:r>
      <w:r w:rsidRPr="009D719B">
        <w:t>ningen har resulterat i att myndigheten under 2002 haft god kontroll på lön</w:t>
      </w:r>
      <w:r w:rsidRPr="009D719B">
        <w:t>e</w:t>
      </w:r>
      <w:r w:rsidRPr="009D719B">
        <w:t>utvecklingen i m</w:t>
      </w:r>
      <w:r w:rsidRPr="009D719B">
        <w:t>yndigheten.</w:t>
      </w:r>
    </w:p>
    <w:p w:rsidR="001F14AF" w:rsidRPr="009D719B" w:rsidRDefault="001F14AF">
      <w:pPr>
        <w:pStyle w:val="Normaltindrag"/>
      </w:pPr>
      <w:r w:rsidRPr="009D719B">
        <w:rPr>
          <w:i/>
        </w:rPr>
        <w:t>Arbetsgivarverket</w:t>
      </w:r>
      <w:r w:rsidRPr="009D719B">
        <w:t xml:space="preserve"> skriver att man allmänt intygar revisorernas beskri</w:t>
      </w:r>
      <w:r w:rsidRPr="009D719B">
        <w:t>v</w:t>
      </w:r>
      <w:r w:rsidRPr="009D719B">
        <w:t>ningar av dels sakförhållanden, dels de brister som påtalas. Verket menar att de problem som revisorerna tar upp är väl kända genom bl.a. tidigare utre</w:t>
      </w:r>
      <w:r w:rsidRPr="009D719B">
        <w:t>d</w:t>
      </w:r>
      <w:r w:rsidRPr="009D719B">
        <w:t>nin</w:t>
      </w:r>
      <w:r w:rsidRPr="009D719B">
        <w:t>g</w:t>
      </w:r>
      <w:r w:rsidRPr="009D719B">
        <w:t xml:space="preserve">ar. </w:t>
      </w:r>
    </w:p>
    <w:p w:rsidR="001F14AF" w:rsidRPr="009D719B" w:rsidRDefault="001F14AF">
      <w:pPr>
        <w:pStyle w:val="Normaltindrag"/>
      </w:pPr>
      <w:r w:rsidRPr="009D719B">
        <w:rPr>
          <w:i/>
        </w:rPr>
        <w:t>Ekonomistyrningsverket</w:t>
      </w:r>
      <w:r w:rsidRPr="009D719B">
        <w:t xml:space="preserve"> tillstyrker de förslag som revisorerna lämnar. Verket betonar särskilt vikten av att Försvarsmaktens lönebildning kopplas till ekonomi- och verksamhetsstyrningen. Man kan enligt Ekonomistyrning</w:t>
      </w:r>
      <w:r w:rsidRPr="009D719B">
        <w:t>s</w:t>
      </w:r>
      <w:r w:rsidRPr="009D719B">
        <w:t xml:space="preserve">verket inte se vare sig lönebildning eller arbetsgivarpolitik isolerad från övrig styrning. </w:t>
      </w:r>
    </w:p>
    <w:p w:rsidR="001F14AF" w:rsidRPr="009D719B" w:rsidRDefault="001F14AF">
      <w:pPr>
        <w:pStyle w:val="Normaltindrag"/>
      </w:pPr>
      <w:r w:rsidRPr="009D719B">
        <w:rPr>
          <w:i/>
        </w:rPr>
        <w:t>SEKO</w:t>
      </w:r>
      <w:r w:rsidRPr="009D719B">
        <w:t xml:space="preserve"> delar revisorernas uppfattning om problemen med Försvarsmaktens arbetsgivarpolitik. Enligt SEKO bör regeringen ta initiativ till en översyn av Försvarsmakten som revisorerna föreslår.</w:t>
      </w:r>
    </w:p>
    <w:p w:rsidR="001F14AF" w:rsidRPr="009D719B" w:rsidRDefault="001F14AF">
      <w:pPr>
        <w:pStyle w:val="Normaltindrag"/>
      </w:pPr>
      <w:r w:rsidRPr="009D719B">
        <w:rPr>
          <w:i/>
        </w:rPr>
        <w:t>Försvarsförbundet</w:t>
      </w:r>
      <w:r w:rsidRPr="009D719B">
        <w:t xml:space="preserve"> konstaterar att revisorernas rapport till stor del omfattar endast en del av Försvarsmaktens personal, nämligen yrkesofficerarna. Detta borde enligt förbundet betonas bättre än vad som gjorts i rapporten. Förbu</w:t>
      </w:r>
      <w:r w:rsidRPr="009D719B">
        <w:t>n</w:t>
      </w:r>
      <w:r w:rsidRPr="009D719B">
        <w:t>det påpekar att 45 % av Försvarsmaktens anställda utgörs av civilanställda och att i princip ingen av dessa fått sin utbildning betald av staten. Försvar</w:t>
      </w:r>
      <w:r w:rsidRPr="009D719B">
        <w:t>s</w:t>
      </w:r>
      <w:r w:rsidRPr="009D719B">
        <w:t xml:space="preserve">förbundet understryker att utvecklingen av personalkostnader i förhållande </w:t>
      </w:r>
      <w:r w:rsidRPr="009D719B">
        <w:lastRenderedPageBreak/>
        <w:t>till antalet anställda inte sammanhänger med de civilanställdas löner e</w:t>
      </w:r>
      <w:r w:rsidRPr="009D719B">
        <w:t xml:space="preserve">ller förmåner.  </w:t>
      </w:r>
    </w:p>
    <w:p w:rsidR="001F14AF" w:rsidRPr="009D719B" w:rsidRDefault="001F14AF">
      <w:pPr>
        <w:pStyle w:val="RubrikUtanNr3"/>
      </w:pPr>
      <w:r w:rsidRPr="009D719B">
        <w:t>Revisorernas överväganden</w:t>
      </w:r>
    </w:p>
    <w:p w:rsidR="001F14AF" w:rsidRPr="009D719B" w:rsidRDefault="001F14AF">
      <w:r w:rsidRPr="009D719B">
        <w:t>Problemen med Försvarsmaktens arbetsgivarpolitik och lönebildning har varit kända länge. Riksrevisionsverket har tidigare påtalat många problem i samband med olika granskningar. Av revisorernas rapport framgår att Fö</w:t>
      </w:r>
      <w:r w:rsidRPr="009D719B">
        <w:t>r</w:t>
      </w:r>
      <w:r w:rsidRPr="009D719B">
        <w:t>svarsmakten inte lyckats åtgärda problemen, trots att de sedan länge är vä</w:t>
      </w:r>
      <w:r w:rsidRPr="009D719B">
        <w:t>l</w:t>
      </w:r>
      <w:r w:rsidRPr="009D719B">
        <w:t>kända.</w:t>
      </w:r>
    </w:p>
    <w:p w:rsidR="001F14AF" w:rsidRPr="009D719B" w:rsidRDefault="001F14AF">
      <w:pPr>
        <w:pStyle w:val="Normaltindrag"/>
      </w:pPr>
      <w:r w:rsidRPr="009D719B">
        <w:t>Revisorernas granskning har inriktats mot hur Försvarsmakten centralt hanterar lönebildningen inom myndigheten samt hur regeringen agerar i fråga om myndighetens arbetsgivarpolitik. Styrning och uppföljning påve</w:t>
      </w:r>
      <w:r w:rsidRPr="009D719B">
        <w:t>r</w:t>
      </w:r>
      <w:r w:rsidRPr="009D719B">
        <w:t xml:space="preserve">kar lönebildningen för såväl yrkesofficerare som civilanställda. Många av de problem som revisorerna funnit i sin granskning hänger dock samman med Försvarsmaktens hantering av yrkesofficerarna. </w:t>
      </w:r>
    </w:p>
    <w:p w:rsidR="001F14AF" w:rsidRPr="009D719B" w:rsidRDefault="001F14AF">
      <w:pPr>
        <w:pStyle w:val="Normaltindrag"/>
      </w:pPr>
      <w:r w:rsidRPr="009D719B">
        <w:t>Försvarsmakten menar att man, i och med det arbete som lagts ned på l</w:t>
      </w:r>
      <w:r w:rsidRPr="009D719B">
        <w:t>ö</w:t>
      </w:r>
      <w:r w:rsidRPr="009D719B">
        <w:t>nebildningsfrågorna, under 2002 haft en god kontroll på löneutvecklingen i myndigheten. Revisorerna visade i rapporten hur Försvarsmaktens persona</w:t>
      </w:r>
      <w:r w:rsidRPr="009D719B">
        <w:t>l</w:t>
      </w:r>
      <w:r w:rsidRPr="009D719B">
        <w:t>kostnader förändrats i förhållande till antalet anställda mellan åren 1996 och 2001 (s. 39, bilagan s. 41). Enligt Försvarsmaktens senaste årsredovisning har personalkostnaderna stigit ytterligare under år 2002, samtidigt som ant</w:t>
      </w:r>
      <w:r w:rsidRPr="009D719B">
        <w:t>a</w:t>
      </w:r>
      <w:r w:rsidRPr="009D719B">
        <w:t>let anställda minskat endast marginellt. Detta illustreras i diagrammet nedan. Försvar</w:t>
      </w:r>
      <w:r w:rsidRPr="009D719B">
        <w:t>s</w:t>
      </w:r>
      <w:r w:rsidRPr="009D719B">
        <w:t>maktens personalkostnader uppgick 2002 till 12,</w:t>
      </w:r>
      <w:r w:rsidRPr="009D719B">
        <w:t>5 miljarder kronor.</w:t>
      </w:r>
    </w:p>
    <w:p w:rsidR="001F14AF" w:rsidRPr="009D719B" w:rsidRDefault="001F14AF">
      <w:pPr>
        <w:rPr>
          <w:b/>
        </w:rPr>
      </w:pPr>
      <w:r w:rsidRPr="009D719B">
        <w:rPr>
          <w:b/>
        </w:rPr>
        <w:t xml:space="preserve">Diagram:  Försvarsmaktens personalkostnader (fasta priser) och antalet </w:t>
      </w:r>
    </w:p>
    <w:p w:rsidR="001F14AF" w:rsidRPr="009D719B" w:rsidRDefault="001F14AF">
      <w:pPr>
        <w:spacing w:before="0"/>
        <w:rPr>
          <w:b/>
        </w:rPr>
      </w:pPr>
      <w:r w:rsidRPr="009D719B">
        <w:rPr>
          <w:b/>
        </w:rPr>
        <w:t xml:space="preserve">                  a</w:t>
      </w:r>
      <w:r w:rsidRPr="009D719B">
        <w:rPr>
          <w:b/>
        </w:rPr>
        <w:t>n</w:t>
      </w:r>
      <w:r w:rsidRPr="009D719B">
        <w:rPr>
          <w:b/>
        </w:rPr>
        <w:t>ställda 1996–2002 uttryckt i index (basår 1996)</w:t>
      </w:r>
    </w:p>
    <w:p w:rsidR="001F14AF" w:rsidRPr="009D719B" w:rsidRDefault="001F14AF">
      <w:pPr>
        <w:pStyle w:val="Tabellrubrik"/>
        <w:tabs>
          <w:tab w:val="left" w:pos="851"/>
        </w:tabs>
        <w:jc w:val="left"/>
      </w:pPr>
      <w:r w:rsidRPr="009D719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3.75pt;margin-top:9.25pt;width:287.25pt;height:174pt;z-index:251662336;mso-position-horizontal:absolute;mso-position-horizontal-relative:text;mso-position-vertical:absolute;mso-position-vertical-relative:text" o:allowincell="f">
            <v:imagedata r:id="rId10" o:title=""/>
            <w10:wrap type="topAndBottom"/>
          </v:shape>
          <o:OLEObject Type="Embed" ProgID="Excel.Sheet.8" ShapeID="_x0000_s1080" DrawAspect="Content" ObjectID="_1827361175" r:id="rId11"/>
        </w:object>
      </w:r>
    </w:p>
    <w:p w:rsidR="001F14AF" w:rsidRPr="009D719B" w:rsidRDefault="001F14AF">
      <w:pPr>
        <w:pStyle w:val="Tabell"/>
        <w:tabs>
          <w:tab w:val="left" w:pos="426"/>
        </w:tabs>
      </w:pPr>
      <w:r w:rsidRPr="009D719B">
        <w:t xml:space="preserve">Not: </w:t>
      </w:r>
      <w:r w:rsidRPr="009D719B">
        <w:tab/>
        <w:t xml:space="preserve">Personalkostnaderna har räknats om till år 2001 års prisläge med hjälp av </w:t>
      </w:r>
      <w:r w:rsidRPr="009D719B">
        <w:br/>
      </w:r>
      <w:r w:rsidRPr="009D719B">
        <w:tab/>
        <w:t>konsumentprisindex.</w:t>
      </w:r>
    </w:p>
    <w:p w:rsidR="001F14AF" w:rsidRPr="009D719B" w:rsidRDefault="001F14AF">
      <w:r w:rsidRPr="009D719B">
        <w:t xml:space="preserve">Trots att Försvarsmakten minskat antalet anställda med en fjärdedel har personalkostnaderna inte minskat under samma period. År 2002 uppvisas tvärtom en ökning av personalkostnaderna mätt i fasta priser. </w:t>
      </w:r>
    </w:p>
    <w:p w:rsidR="001F14AF" w:rsidRPr="009D719B" w:rsidRDefault="001F14AF">
      <w:pPr>
        <w:pStyle w:val="Normaltindrag"/>
      </w:pPr>
      <w:r w:rsidRPr="009D719B">
        <w:lastRenderedPageBreak/>
        <w:t>Remissinstanserna hänför delvis de problem med lönebildningen som rev</w:t>
      </w:r>
      <w:r w:rsidRPr="009D719B">
        <w:t>i</w:t>
      </w:r>
      <w:r w:rsidRPr="009D719B">
        <w:t>sorerna har påtalat till den pågående omstruktureringen av försvaret. Revis</w:t>
      </w:r>
      <w:r w:rsidRPr="009D719B">
        <w:t>o</w:t>
      </w:r>
      <w:r w:rsidRPr="009D719B">
        <w:t>rerna bedömer dock att Försvarsmakten genom att styra kompetensförsör</w:t>
      </w:r>
      <w:r w:rsidRPr="009D719B">
        <w:t>j</w:t>
      </w:r>
      <w:r w:rsidRPr="009D719B">
        <w:t>ningen skulle kunnat lindra kompetensbristen i samband med omstruktur</w:t>
      </w:r>
      <w:r w:rsidRPr="009D719B">
        <w:t>e</w:t>
      </w:r>
      <w:r w:rsidRPr="009D719B">
        <w:t xml:space="preserve">ringen. Den kraftiga ökning av löner och personalkostnader som inträffade under 2000 till följd av omstruktureringen skulle också ha kunnat undvikas genom tydligare styrning och uppföljning från Försvarsmaktens sida. </w:t>
      </w:r>
    </w:p>
    <w:p w:rsidR="001F14AF" w:rsidRPr="009D719B" w:rsidRDefault="001F14AF">
      <w:pPr>
        <w:pStyle w:val="Rubrik2"/>
      </w:pPr>
      <w:bookmarkStart w:id="5" w:name="_Toc38103329"/>
      <w:r w:rsidRPr="009D719B">
        <w:t>Regeringens ansvar för arbetsgivarpolitiken</w:t>
      </w:r>
      <w:bookmarkEnd w:id="5"/>
    </w:p>
    <w:p w:rsidR="001F14AF" w:rsidRPr="009D719B" w:rsidRDefault="001F14AF">
      <w:pPr>
        <w:pStyle w:val="RubrikUtanNr3"/>
        <w:spacing w:before="123"/>
      </w:pPr>
      <w:r w:rsidRPr="009D719B">
        <w:t>Rapporten</w:t>
      </w:r>
    </w:p>
    <w:p w:rsidR="001F14AF" w:rsidRPr="009D719B" w:rsidRDefault="001F14AF">
      <w:r w:rsidRPr="009D719B">
        <w:t>Det delegerade arbetsgivaransvaret innebär att regeringen ska följa upp och ställa krav på myndigheternas arbetsgivarpolitik, medan myndigheterna har ansvar för att utforma och genomföra arbetsgivarpolitiken. I rapporten kunde revisorerna konstatera att Försvarsdepartementet inte förmått ställa krav på Försvarsmaktens arbetsgivarpolitik. Enligt egen utsago hade departementet inte tillräcklig kompetens för att hantera arbetsgivarfrågorna. När det gällde frågor om tjänstgöringstiden per befattning för yrkeso</w:t>
      </w:r>
      <w:r w:rsidRPr="009D719B">
        <w:t>fficerare samt kraven på återrapportering till regeringen har departementet inte förmått att ställa krav på Försvar</w:t>
      </w:r>
      <w:r w:rsidRPr="009D719B">
        <w:t>s</w:t>
      </w:r>
      <w:r w:rsidRPr="009D719B">
        <w:t>makten.</w:t>
      </w:r>
    </w:p>
    <w:p w:rsidR="001F14AF" w:rsidRPr="009D719B" w:rsidRDefault="001F14AF">
      <w:pPr>
        <w:pStyle w:val="Normaltindrag"/>
      </w:pPr>
      <w:r w:rsidRPr="009D719B">
        <w:t>Revisorerna konstaterade också att det rådde en långt driven växeltjänstg</w:t>
      </w:r>
      <w:r w:rsidRPr="009D719B">
        <w:t>ö</w:t>
      </w:r>
      <w:r w:rsidRPr="009D719B">
        <w:t>ring för yrkesofficerare vid Försvarsdepartementet där yrkesofficerare b</w:t>
      </w:r>
      <w:r w:rsidRPr="009D719B">
        <w:t>e</w:t>
      </w:r>
      <w:r w:rsidRPr="009D719B">
        <w:t>mannade flera viktiga befattningar vid departementets militära enhet. Revis</w:t>
      </w:r>
      <w:r w:rsidRPr="009D719B">
        <w:t>o</w:t>
      </w:r>
      <w:r w:rsidRPr="009D719B">
        <w:t>rerna ansåg att det fanns uppenbara risker med denna växeltjänstgöring och föreslog att regeringen noggrant skulle överväga fördelar och nackdelar med systemet.</w:t>
      </w:r>
    </w:p>
    <w:p w:rsidR="001F14AF" w:rsidRPr="009D719B" w:rsidRDefault="001F14AF">
      <w:pPr>
        <w:pStyle w:val="Normaltindrag"/>
      </w:pPr>
      <w:r w:rsidRPr="009D719B">
        <w:t>I rapporten upprepade revisorerna sin tidigare framförda uppfattning att regeringens uppföljning av myndigheternas arbetsgivarpolitik borde fördj</w:t>
      </w:r>
      <w:r w:rsidRPr="009D719B">
        <w:t>u</w:t>
      </w:r>
      <w:r w:rsidRPr="009D719B">
        <w:t>pas. I detta samanhang var det enligt revisorerna viktigt att se till att respe</w:t>
      </w:r>
      <w:r w:rsidRPr="009D719B">
        <w:t>k</w:t>
      </w:r>
      <w:r w:rsidRPr="009D719B">
        <w:t>tive departement har tillräcklig kompetens för att tillgodogöra sig resultaten av en fördj</w:t>
      </w:r>
      <w:r w:rsidRPr="009D719B">
        <w:t>u</w:t>
      </w:r>
      <w:r w:rsidRPr="009D719B">
        <w:t xml:space="preserve">pad uppföljning. </w:t>
      </w:r>
    </w:p>
    <w:p w:rsidR="001F14AF" w:rsidRPr="009D719B" w:rsidRDefault="001F14AF">
      <w:pPr>
        <w:pStyle w:val="RubrikUtanNr3"/>
      </w:pPr>
      <w:r w:rsidRPr="009D719B">
        <w:t>Remissinstansernas synpunkter</w:t>
      </w:r>
    </w:p>
    <w:p w:rsidR="001F14AF" w:rsidRPr="009D719B" w:rsidRDefault="001F14AF">
      <w:pPr>
        <w:rPr>
          <w:i/>
        </w:rPr>
      </w:pPr>
      <w:r w:rsidRPr="009D719B">
        <w:rPr>
          <w:i/>
        </w:rPr>
        <w:t>Försvarsmakten</w:t>
      </w:r>
      <w:r w:rsidRPr="009D719B">
        <w:t xml:space="preserve"> menar att regeringen följer upp myndighetens arbetsgiva</w:t>
      </w:r>
      <w:r w:rsidRPr="009D719B">
        <w:t>r</w:t>
      </w:r>
      <w:r w:rsidRPr="009D719B">
        <w:t>politik kontinuerligt, dels i regelbundna muntliga genomgångar, dels genom Försvarsmaktens års- och delårsredovisning som vid behov kompletteras med muntliga genomgångar.</w:t>
      </w:r>
    </w:p>
    <w:p w:rsidR="001F14AF" w:rsidRPr="009D719B" w:rsidRDefault="001F14AF">
      <w:pPr>
        <w:pStyle w:val="Normaltindrag"/>
      </w:pPr>
      <w:r w:rsidRPr="009D719B">
        <w:rPr>
          <w:i/>
        </w:rPr>
        <w:t>Ekonomistyrningsverket</w:t>
      </w:r>
      <w:r w:rsidRPr="009D719B">
        <w:t xml:space="preserve"> tillstyrker revisorernas förslag om regeringens uppföljning av arbetsgivarpolitiken. Verket menar dessutom att det är viktigt att regeringen samordnar redovisningen av myndigheternas kompetensfö</w:t>
      </w:r>
      <w:r w:rsidRPr="009D719B">
        <w:t>r</w:t>
      </w:r>
      <w:r w:rsidRPr="009D719B">
        <w:t>sörjning med resultatstyrningen. Kompetensförsörjningen redovisas enligt verket i dag på oklara grunder vid sidan av myndigheternas årsredovisning, men vid samma tidpunkt. Ekonomistyrningsverket menar att om kompeten</w:t>
      </w:r>
      <w:r w:rsidRPr="009D719B">
        <w:t>s</w:t>
      </w:r>
      <w:r w:rsidRPr="009D719B">
        <w:t>redovisningen inordnades i årsredovisningen skulle administrativt merarbete kunna undanröjas. Dessu</w:t>
      </w:r>
      <w:r w:rsidRPr="009D719B">
        <w:t xml:space="preserve">tom skulle den analytiska precisionen i den löne- </w:t>
      </w:r>
      <w:r w:rsidRPr="009D719B">
        <w:lastRenderedPageBreak/>
        <w:t xml:space="preserve">och arbetsgivarpolitiska uppföljningen öka. Uppföljningen av lönebildningen skulle därmed kunna bli en viktig del av budgetprocessen. </w:t>
      </w:r>
    </w:p>
    <w:p w:rsidR="001F14AF" w:rsidRPr="009D719B" w:rsidRDefault="001F14AF">
      <w:pPr>
        <w:pStyle w:val="Normaltindrag"/>
      </w:pPr>
      <w:r w:rsidRPr="009D719B">
        <w:rPr>
          <w:i/>
        </w:rPr>
        <w:t>Statskontoret</w:t>
      </w:r>
      <w:r w:rsidRPr="009D719B">
        <w:t xml:space="preserve"> delar revisorernas uppfattning att en väsentlig del av rege</w:t>
      </w:r>
      <w:r w:rsidRPr="009D719B">
        <w:t>r</w:t>
      </w:r>
      <w:r w:rsidRPr="009D719B">
        <w:t>ingens arbetsgivarpolitiska ansvar består i att ställa krav på myndigheternas arbetsgivarpolitik och deras interna uppföljning av denna. Regeringens a</w:t>
      </w:r>
      <w:r w:rsidRPr="009D719B">
        <w:t>r</w:t>
      </w:r>
      <w:r w:rsidRPr="009D719B">
        <w:t>betsgivarpolitiska ansvar handlar ytterst om att skapa förutsättningar för myndigheternas agerande och att följa upp resultatet på det arbetsgivarpol</w:t>
      </w:r>
      <w:r w:rsidRPr="009D719B">
        <w:t>i</w:t>
      </w:r>
      <w:r w:rsidRPr="009D719B">
        <w:t xml:space="preserve">tiska området. </w:t>
      </w:r>
    </w:p>
    <w:p w:rsidR="001F14AF" w:rsidRPr="009D719B" w:rsidRDefault="001F14AF">
      <w:pPr>
        <w:pStyle w:val="Normaltindrag"/>
      </w:pPr>
      <w:r w:rsidRPr="009D719B">
        <w:t xml:space="preserve">Statskontoret delar vidare revisorernas uppfattning att uppföljningen av den statliga arbetsgivarpolitiken i stort måste utvidgas och </w:t>
      </w:r>
      <w:r w:rsidRPr="009D719B">
        <w:t>fördjupas. En arbetsgivarpolitisk stabsresurs kan vara en del av ett utvecklat uppföljnings- och utvärderingssystem. Statskontoret vill dessutom framhålla vikten av en samlad och systematisk redovisning av statens arbetsgivarpolitik samt mö</w:t>
      </w:r>
      <w:r w:rsidRPr="009D719B">
        <w:t>j</w:t>
      </w:r>
      <w:r w:rsidRPr="009D719B">
        <w:t>ligh</w:t>
      </w:r>
      <w:r w:rsidRPr="009D719B">
        <w:t>e</w:t>
      </w:r>
      <w:r w:rsidRPr="009D719B">
        <w:t xml:space="preserve">ten att göra arbetsgivarpolitiska jämförelser mellan myndigheter. </w:t>
      </w:r>
    </w:p>
    <w:p w:rsidR="001F14AF" w:rsidRPr="009D719B" w:rsidRDefault="001F14AF">
      <w:pPr>
        <w:pStyle w:val="Normaltindrag"/>
      </w:pPr>
      <w:r w:rsidRPr="009D719B">
        <w:rPr>
          <w:i/>
        </w:rPr>
        <w:t>SEKO</w:t>
      </w:r>
      <w:r w:rsidRPr="009D719B">
        <w:t xml:space="preserve"> menar att det finns anledning att överväga hur regeringens ansvar för försvaret ska utövas. Enligt förbundet bör Finansdepartementet i större utsträckning delta i styrningen av försvaret, eftersom Finansdepartementet har ett allmänt policyansvar för den statliga förvaltningspolitiken.</w:t>
      </w:r>
    </w:p>
    <w:p w:rsidR="001F14AF" w:rsidRPr="009D719B" w:rsidRDefault="001F14AF">
      <w:pPr>
        <w:pStyle w:val="Normaltindrag"/>
      </w:pPr>
      <w:r w:rsidRPr="009D719B">
        <w:rPr>
          <w:i/>
        </w:rPr>
        <w:t>Officersförbundet</w:t>
      </w:r>
      <w:r w:rsidRPr="009D719B">
        <w:t xml:space="preserve"> ställer sig positivt till växeltjänstgöringen för yrkesoff</w:t>
      </w:r>
      <w:r w:rsidRPr="009D719B">
        <w:t>i</w:t>
      </w:r>
      <w:r w:rsidRPr="009D719B">
        <w:t>cerare vid Försvarsdepartementet. Förbundet menar att de fördelar det inn</w:t>
      </w:r>
      <w:r w:rsidRPr="009D719B">
        <w:t>e</w:t>
      </w:r>
      <w:r w:rsidRPr="009D719B">
        <w:t>bär att ha tillgång till sakkunskap vid beredning av beslutsunderlag, förvä</w:t>
      </w:r>
      <w:r w:rsidRPr="009D719B">
        <w:t>r</w:t>
      </w:r>
      <w:r w:rsidRPr="009D719B">
        <w:t>vad genom mångårig yrkeserfarenhet, klart överväger de eventuella nackd</w:t>
      </w:r>
      <w:r w:rsidRPr="009D719B">
        <w:t>e</w:t>
      </w:r>
      <w:r w:rsidRPr="009D719B">
        <w:t>lar revisorerna fört fram.</w:t>
      </w:r>
    </w:p>
    <w:p w:rsidR="001F14AF" w:rsidRPr="009D719B" w:rsidRDefault="001F14AF">
      <w:pPr>
        <w:pStyle w:val="RubrikUtanNr3"/>
      </w:pPr>
      <w:r w:rsidRPr="009D719B">
        <w:t>Revisorernas överväganden och förslag</w:t>
      </w:r>
    </w:p>
    <w:p w:rsidR="001F14AF" w:rsidRPr="009D719B" w:rsidRDefault="001F14AF">
      <w:r w:rsidRPr="009D719B">
        <w:t>En förutsättning för att förbättringar av Försvarsmaktens arbetsgivarpolitik ska komma till stånd är att regeringen tar sitt ansvar inom ramen för den delegerade arbetsgivarpolitiken i staten. Försvarsdepartementet saknar dock enligt egen utsago nödvändig komp</w:t>
      </w:r>
      <w:r w:rsidRPr="009D719B">
        <w:t>e</w:t>
      </w:r>
      <w:r w:rsidRPr="009D719B">
        <w:t xml:space="preserve">tens inom arbetsgivarområdet. </w:t>
      </w:r>
    </w:p>
    <w:p w:rsidR="001F14AF" w:rsidRPr="009D719B" w:rsidRDefault="001F14AF">
      <w:pPr>
        <w:pStyle w:val="Normaltindrag"/>
      </w:pPr>
      <w:r w:rsidRPr="009D719B">
        <w:t>Växeltjänstgöringen för officerare vid Försvarsdepartementet har inte i</w:t>
      </w:r>
      <w:r w:rsidRPr="009D719B">
        <w:t>n</w:t>
      </w:r>
      <w:r w:rsidRPr="009D719B">
        <w:t>neburit någon förbättring av departementets förmåga att hantera arbetsgiva</w:t>
      </w:r>
      <w:r w:rsidRPr="009D719B">
        <w:t>r</w:t>
      </w:r>
      <w:r w:rsidRPr="009D719B">
        <w:t>frågorna. Andra granskningar och utredningar visar att Försvarsdeparteme</w:t>
      </w:r>
      <w:r w:rsidRPr="009D719B">
        <w:t>n</w:t>
      </w:r>
      <w:r w:rsidRPr="009D719B">
        <w:t>tet, trots den omfattande växeltjänstgöringen, inte har kunnat analysera fö</w:t>
      </w:r>
      <w:r w:rsidRPr="009D719B">
        <w:t>r</w:t>
      </w:r>
      <w:r w:rsidRPr="009D719B">
        <w:t>svaret. Detta har inneburit att departementets styrning av försvaret har fö</w:t>
      </w:r>
      <w:r w:rsidRPr="009D719B">
        <w:t>r</w:t>
      </w:r>
      <w:r w:rsidRPr="009D719B">
        <w:t xml:space="preserve">svårats (se t.ex. FOI:s rapport från år 2000, </w:t>
      </w:r>
      <w:r w:rsidRPr="009D719B">
        <w:rPr>
          <w:i/>
        </w:rPr>
        <w:t>Den problematiska styrningen</w:t>
      </w:r>
      <w:r w:rsidRPr="009D719B">
        <w:t>).</w:t>
      </w:r>
    </w:p>
    <w:p w:rsidR="001F14AF" w:rsidRPr="009D719B" w:rsidRDefault="001F14AF">
      <w:pPr>
        <w:pStyle w:val="Normaltindrag"/>
      </w:pPr>
      <w:r w:rsidRPr="009D719B">
        <w:t>Revisorerna har svårt att se de positiva effekterna av växeltjänstgöringen. Däremot är riskerna tydligare. Den omfattande växeltjänstg</w:t>
      </w:r>
      <w:r w:rsidRPr="009D719B">
        <w:t>öringen kan göra det svårare för regeringen att värdera Försvarsmaktens förslag i olika frågor utifrån ett övergripande politiskt perspe</w:t>
      </w:r>
      <w:r w:rsidRPr="009D719B">
        <w:t>k</w:t>
      </w:r>
      <w:r w:rsidRPr="009D719B">
        <w:t xml:space="preserve">tiv. </w:t>
      </w:r>
    </w:p>
    <w:p w:rsidR="001F14AF" w:rsidRPr="009D719B" w:rsidRDefault="001F14AF">
      <w:pPr>
        <w:pStyle w:val="Normaltindrag"/>
      </w:pPr>
      <w:r w:rsidRPr="009D719B">
        <w:t>I granskningen om statens personalpolitik (förs. 2002/03:RR2) föreslog revisorerna att regeringens uppföljning av myndigheternas arbetsgivarpolitik skulle fördjupas. Även Arbetsgivarpolitikutredningen (SOU 2002:32) har framfört detta förslag. En ny stabsmyndighet skulle enligt revisorerna kunna ge regeringen bättre underlag inom personalpolitikens område. Revisorerna</w:t>
      </w:r>
      <w:r w:rsidRPr="009D719B">
        <w:t xml:space="preserve"> anser att departementen också bör ha tillräcklig kompetens för att följa upp och ställa krav på myndigheternas arbetsgivarpolitik.  </w:t>
      </w:r>
    </w:p>
    <w:p w:rsidR="001F14AF" w:rsidRPr="009D719B" w:rsidRDefault="001F14AF">
      <w:r w:rsidRPr="009D719B">
        <w:lastRenderedPageBreak/>
        <w:t>Revisorerna föreslår</w:t>
      </w:r>
    </w:p>
    <w:p w:rsidR="001F14AF" w:rsidRPr="009D719B" w:rsidRDefault="001F14AF">
      <w:pPr>
        <w:numPr>
          <w:ilvl w:val="0"/>
          <w:numId w:val="14"/>
        </w:numPr>
      </w:pPr>
      <w:r w:rsidRPr="009D719B">
        <w:t xml:space="preserve">att regeringen informerar riksdagen om hur regeringen fortsättningsvis ska följa upp och ställa krav på Försvarsmaktens arbetsgivarpolitik </w:t>
      </w:r>
    </w:p>
    <w:p w:rsidR="001F14AF" w:rsidRPr="009D719B" w:rsidRDefault="001F14AF">
      <w:pPr>
        <w:numPr>
          <w:ilvl w:val="0"/>
          <w:numId w:val="14"/>
        </w:numPr>
      </w:pPr>
      <w:r w:rsidRPr="009D719B">
        <w:t>att regeringen prövar möjligheten att avbryta systemet med växeltjäns</w:t>
      </w:r>
      <w:r w:rsidRPr="009D719B">
        <w:t>t</w:t>
      </w:r>
      <w:r w:rsidRPr="009D719B">
        <w:t>göring för yrkesofficerare vid Försvarsdepartementet och redovisar fö</w:t>
      </w:r>
      <w:r w:rsidRPr="009D719B">
        <w:t>r</w:t>
      </w:r>
      <w:r w:rsidRPr="009D719B">
        <w:t>delar och nackdelar med systemet för riksdagen</w:t>
      </w:r>
    </w:p>
    <w:p w:rsidR="001F14AF" w:rsidRPr="009D719B" w:rsidRDefault="001F14AF">
      <w:pPr>
        <w:numPr>
          <w:ilvl w:val="0"/>
          <w:numId w:val="14"/>
        </w:numPr>
      </w:pPr>
      <w:r w:rsidRPr="009D719B">
        <w:t>att regeringen, i samband med att man lämnar förslag om hur uppföl</w:t>
      </w:r>
      <w:r w:rsidRPr="009D719B">
        <w:t>j</w:t>
      </w:r>
      <w:r w:rsidRPr="009D719B">
        <w:t>ningen av myndigheternas arbetsgivarpolitik kan utformas, bedömer b</w:t>
      </w:r>
      <w:r w:rsidRPr="009D719B">
        <w:t>e</w:t>
      </w:r>
      <w:r w:rsidRPr="009D719B">
        <w:t>hovet av kompetens inom Regeringskansliet för att hantera arbetsgiva</w:t>
      </w:r>
      <w:r w:rsidRPr="009D719B">
        <w:t>r</w:t>
      </w:r>
      <w:r w:rsidRPr="009D719B">
        <w:t>fr</w:t>
      </w:r>
      <w:r w:rsidRPr="009D719B">
        <w:t>å</w:t>
      </w:r>
      <w:r w:rsidRPr="009D719B">
        <w:t>gorna.</w:t>
      </w:r>
    </w:p>
    <w:p w:rsidR="001F14AF" w:rsidRPr="009D719B" w:rsidRDefault="001F14AF">
      <w:pPr>
        <w:pStyle w:val="Rubrik2"/>
      </w:pPr>
      <w:bookmarkStart w:id="6" w:name="_Toc38103330"/>
      <w:r w:rsidRPr="009D719B">
        <w:t>Högkvarterets organisation</w:t>
      </w:r>
      <w:bookmarkEnd w:id="6"/>
    </w:p>
    <w:p w:rsidR="001F14AF" w:rsidRPr="009D719B" w:rsidRDefault="001F14AF">
      <w:pPr>
        <w:pStyle w:val="RubrikUtanNr3"/>
        <w:spacing w:before="123"/>
      </w:pPr>
      <w:r w:rsidRPr="009D719B">
        <w:t>Rapporten</w:t>
      </w:r>
    </w:p>
    <w:p w:rsidR="001F14AF" w:rsidRPr="009D719B" w:rsidRDefault="001F14AF">
      <w:r w:rsidRPr="009D719B">
        <w:t>Revisorerna konstaterade i rapporten att Högkvarterets ansvar för persona</w:t>
      </w:r>
      <w:r w:rsidRPr="009D719B">
        <w:t>l</w:t>
      </w:r>
      <w:r w:rsidRPr="009D719B">
        <w:t>frågor var oklart. Personal- och arbetsgivarfrågor hanteras inom olika delar av Högkvarteret. Rapporten visar att olika och ibland motstridiga styrsignaler har gått ut till förbanden från Högkvarteret. Den oklara ansvarsfördelningen har också lett till att ingen avdelning i Högkvarteret följde upp förbandens lönekostn</w:t>
      </w:r>
      <w:r w:rsidRPr="009D719B">
        <w:t>a</w:t>
      </w:r>
      <w:r w:rsidRPr="009D719B">
        <w:t xml:space="preserve">der. </w:t>
      </w:r>
    </w:p>
    <w:p w:rsidR="001F14AF" w:rsidRPr="009D719B" w:rsidRDefault="001F14AF">
      <w:pPr>
        <w:pStyle w:val="Normaltindrag"/>
      </w:pPr>
      <w:r w:rsidRPr="009D719B">
        <w:t>Personalstabens inflytande i Försvarsmakten är också begränsat. I de fall där tolkningen av den arbetsgivarpolitiska styrningen skilde sig mellan pe</w:t>
      </w:r>
      <w:r w:rsidRPr="009D719B">
        <w:t>r</w:t>
      </w:r>
      <w:r w:rsidRPr="009D719B">
        <w:t>sonalstaben och grundorganisationsledningen hade grundorganisationsle</w:t>
      </w:r>
      <w:r w:rsidRPr="009D719B">
        <w:t>d</w:t>
      </w:r>
      <w:r w:rsidRPr="009D719B">
        <w:t>ningen fått tol</w:t>
      </w:r>
      <w:r w:rsidRPr="009D719B">
        <w:t>k</w:t>
      </w:r>
      <w:r w:rsidRPr="009D719B">
        <w:t xml:space="preserve">ningsföreträde. </w:t>
      </w:r>
    </w:p>
    <w:p w:rsidR="001F14AF" w:rsidRPr="009D719B" w:rsidRDefault="001F14AF">
      <w:pPr>
        <w:pStyle w:val="RubrikUtanNr3"/>
      </w:pPr>
      <w:r w:rsidRPr="009D719B">
        <w:t>Remissinstansernas synpunkter</w:t>
      </w:r>
    </w:p>
    <w:p w:rsidR="001F14AF" w:rsidRPr="009D719B" w:rsidRDefault="001F14AF">
      <w:r w:rsidRPr="009D719B">
        <w:rPr>
          <w:i/>
        </w:rPr>
        <w:t>Försvarsmakten</w:t>
      </w:r>
      <w:r w:rsidRPr="009D719B">
        <w:t xml:space="preserve"> menar att den senaste omorganisationen, som trädde i kraft den 1 januari 2003, lett till en renodling av strategiska och verkställande frågor. Strategiska och långsiktiga frågor avgörs av personalstaben, som finns inom strategiledningen på Högkvarteret. Andra frågor som rör pers</w:t>
      </w:r>
      <w:r w:rsidRPr="009D719B">
        <w:t>o</w:t>
      </w:r>
      <w:r w:rsidRPr="009D719B">
        <w:t>nalförsörjning och myndighetens gemensamma resurser hanteras av grun</w:t>
      </w:r>
      <w:r w:rsidRPr="009D719B">
        <w:t>d</w:t>
      </w:r>
      <w:r w:rsidRPr="009D719B">
        <w:t>organis</w:t>
      </w:r>
      <w:r w:rsidRPr="009D719B">
        <w:t>a</w:t>
      </w:r>
      <w:r w:rsidRPr="009D719B">
        <w:t xml:space="preserve">tionsledningen vid Högkvarteret. </w:t>
      </w:r>
    </w:p>
    <w:p w:rsidR="001F14AF" w:rsidRPr="009D719B" w:rsidRDefault="001F14AF">
      <w:pPr>
        <w:pStyle w:val="Normaltindrag"/>
      </w:pPr>
      <w:r w:rsidRPr="009D719B">
        <w:rPr>
          <w:i/>
        </w:rPr>
        <w:t>SEKO</w:t>
      </w:r>
      <w:r w:rsidRPr="009D719B">
        <w:t xml:space="preserve"> instämmer i revisorernas mening att Högkvarterets organisation i vissa fall kan orsaka svårigheter när det gäller tillämpningen av Försvar</w:t>
      </w:r>
      <w:r w:rsidRPr="009D719B">
        <w:t>s</w:t>
      </w:r>
      <w:r w:rsidRPr="009D719B">
        <w:t xml:space="preserve">maktens lönepolitik. </w:t>
      </w:r>
    </w:p>
    <w:p w:rsidR="001F14AF" w:rsidRPr="009D719B" w:rsidRDefault="001F14AF">
      <w:pPr>
        <w:pStyle w:val="Normaltindrag"/>
      </w:pPr>
      <w:r w:rsidRPr="009D719B">
        <w:rPr>
          <w:i/>
        </w:rPr>
        <w:t>Försvarsförbundet</w:t>
      </w:r>
      <w:r w:rsidRPr="009D719B">
        <w:t xml:space="preserve"> delar revisorernas synpunkter på Högkvarterets organ</w:t>
      </w:r>
      <w:r w:rsidRPr="009D719B">
        <w:t>i</w:t>
      </w:r>
      <w:r w:rsidRPr="009D719B">
        <w:t>sation. Förbundet skriver att man redan i samband med Personalförsör</w:t>
      </w:r>
      <w:r w:rsidRPr="009D719B">
        <w:t>j</w:t>
      </w:r>
      <w:r w:rsidRPr="009D719B">
        <w:t>ningsutredningens betänkande framförde att personalfunktionen i Högkvart</w:t>
      </w:r>
      <w:r w:rsidRPr="009D719B">
        <w:t>e</w:t>
      </w:r>
      <w:r w:rsidRPr="009D719B">
        <w:t>ret borde stärkas. Dessutom menar förbundet att personalfrågorna och lön</w:t>
      </w:r>
      <w:r w:rsidRPr="009D719B">
        <w:t>e</w:t>
      </w:r>
      <w:r w:rsidRPr="009D719B">
        <w:t xml:space="preserve">bildningen riskerar att försvagas genom de organisationsförändringar som genomförts i Högkvarteret. </w:t>
      </w:r>
    </w:p>
    <w:p w:rsidR="001F14AF" w:rsidRPr="009D719B" w:rsidRDefault="001F14AF">
      <w:pPr>
        <w:pStyle w:val="Normaltindrag"/>
      </w:pPr>
      <w:r w:rsidRPr="009D719B">
        <w:rPr>
          <w:i/>
        </w:rPr>
        <w:t>Officersförbundet</w:t>
      </w:r>
      <w:r w:rsidRPr="009D719B">
        <w:t xml:space="preserve"> anser att arbetsgivarfunktionen bör förstärkas och sa</w:t>
      </w:r>
      <w:r w:rsidRPr="009D719B">
        <w:t>m</w:t>
      </w:r>
      <w:r w:rsidRPr="009D719B">
        <w:t>las organisatoriskt direkt under Försvarsmaktens ledning. Kompetensförsör</w:t>
      </w:r>
      <w:r w:rsidRPr="009D719B">
        <w:t>j</w:t>
      </w:r>
      <w:r w:rsidRPr="009D719B">
        <w:t xml:space="preserve">ningen är enligt förbundet en strategisk process med många inslag som måste </w:t>
      </w:r>
      <w:r w:rsidRPr="009D719B">
        <w:lastRenderedPageBreak/>
        <w:t>hållas samman av en ledning med kompetens som nu finns utspridd på flera olika delar av den nuvarande organisationen Hö</w:t>
      </w:r>
      <w:r w:rsidRPr="009D719B">
        <w:t>g</w:t>
      </w:r>
      <w:r w:rsidRPr="009D719B">
        <w:t xml:space="preserve">kvarteret. </w:t>
      </w:r>
    </w:p>
    <w:p w:rsidR="001F14AF" w:rsidRPr="009D719B" w:rsidRDefault="001F14AF">
      <w:pPr>
        <w:pStyle w:val="Normaltindrag"/>
      </w:pPr>
      <w:r w:rsidRPr="009D719B">
        <w:t>Officersförbundet påpekar att Försvarsmakten har haft svårt att samordna sitt beteende och sin förhandlingskompetens. Förbundet menar att arbetsg</w:t>
      </w:r>
      <w:r w:rsidRPr="009D719B">
        <w:t>i</w:t>
      </w:r>
      <w:r w:rsidRPr="009D719B">
        <w:t>varen måste bli tydligare och mer konsekvent, på alla nivåer, för en positiv utveckling av lönebildningen.</w:t>
      </w:r>
    </w:p>
    <w:p w:rsidR="001F14AF" w:rsidRPr="009D719B" w:rsidRDefault="001F14AF">
      <w:pPr>
        <w:pStyle w:val="RubrikUtanNr3"/>
      </w:pPr>
      <w:r w:rsidRPr="009D719B">
        <w:t>Revisorernas överväganden och förslag</w:t>
      </w:r>
    </w:p>
    <w:p w:rsidR="001F14AF" w:rsidRPr="009D719B" w:rsidRDefault="001F14AF">
      <w:r w:rsidRPr="009D719B">
        <w:t>De tillfrågade fackförbunden inom Försvarsmakten delar revisorernas kritik av Högkvarterets splittrade organisation. Försvarsmakten menar att den nya organisation som införts den 1 januari 2003 har inneburit en renodling av strategiska och verkställande frågor. Fortfarande är dock ansvaret för arbet</w:t>
      </w:r>
      <w:r w:rsidRPr="009D719B">
        <w:t>s</w:t>
      </w:r>
      <w:r w:rsidRPr="009D719B">
        <w:t>givarfrågor uppdelat på flera olika delar av Högkvarteret. Den grundlägga</w:t>
      </w:r>
      <w:r w:rsidRPr="009D719B">
        <w:t>n</w:t>
      </w:r>
      <w:r w:rsidRPr="009D719B">
        <w:t>de osäkerheten kring ansvarsfördelningen mellan personalstaben och grun</w:t>
      </w:r>
      <w:r w:rsidRPr="009D719B">
        <w:t>d</w:t>
      </w:r>
      <w:r w:rsidRPr="009D719B">
        <w:t xml:space="preserve">organisationsledningen kvarstår. Den nya organiseringen av Högkvarteret motsvarar enligt revisorerna inte den samlade ledning av arbetsgivarfrågorna som bl.a. Personalförsörjningsutredningen (SOU 2001:23) tidigare föreslagit och som regeringen förordat inför försvarsbeslutet 2001 (prop. 2001/02:10). </w:t>
      </w:r>
    </w:p>
    <w:p w:rsidR="001F14AF" w:rsidRPr="009D719B" w:rsidRDefault="001F14AF">
      <w:pPr>
        <w:pStyle w:val="Normaltindrag"/>
      </w:pPr>
      <w:r w:rsidRPr="009D719B">
        <w:t>Många av de problem med lönebildningen som beskrivs i rapporten</w:t>
      </w:r>
      <w:r w:rsidRPr="009D719B">
        <w:t xml:space="preserve"> kan härledas till Högkvarterets splittrade organisation och till oklara ansvarsfö</w:t>
      </w:r>
      <w:r w:rsidRPr="009D719B">
        <w:t>r</w:t>
      </w:r>
      <w:r w:rsidRPr="009D719B">
        <w:t>hållanden i olika delar av organisationen. Revisorerna anser att Försvar</w:t>
      </w:r>
      <w:r w:rsidRPr="009D719B">
        <w:t>s</w:t>
      </w:r>
      <w:r w:rsidRPr="009D719B">
        <w:t>maktens centrala ledning bör utformas så att myndigheten kan bedriva en verksamhetsanpassad arbetsgiva</w:t>
      </w:r>
      <w:r w:rsidRPr="009D719B">
        <w:t>r</w:t>
      </w:r>
      <w:r w:rsidRPr="009D719B">
        <w:t>politik.</w:t>
      </w:r>
    </w:p>
    <w:p w:rsidR="001F14AF" w:rsidRPr="009D719B" w:rsidRDefault="001F14AF">
      <w:r w:rsidRPr="009D719B">
        <w:t>Revisorerna föreslår</w:t>
      </w:r>
    </w:p>
    <w:p w:rsidR="001F14AF" w:rsidRPr="009D719B" w:rsidRDefault="001F14AF">
      <w:pPr>
        <w:numPr>
          <w:ilvl w:val="0"/>
          <w:numId w:val="15"/>
        </w:numPr>
      </w:pPr>
      <w:r w:rsidRPr="009D719B">
        <w:t>att regeringen ger Försvarsmakten i uppdrag att utveckla förslag till hur ansvaret för arbetsgivarpolitiken ska samlas och tydliggöras i Högkva</w:t>
      </w:r>
      <w:r w:rsidRPr="009D719B">
        <w:t>r</w:t>
      </w:r>
      <w:r w:rsidRPr="009D719B">
        <w:t>teret.</w:t>
      </w:r>
    </w:p>
    <w:p w:rsidR="001F14AF" w:rsidRPr="009D719B" w:rsidRDefault="001F14AF">
      <w:pPr>
        <w:pStyle w:val="Rubrik2"/>
      </w:pPr>
      <w:bookmarkStart w:id="7" w:name="_Toc38103331"/>
      <w:r w:rsidRPr="009D719B">
        <w:t>Försvarsmaktens uppföljning av lönebildningen</w:t>
      </w:r>
      <w:bookmarkEnd w:id="7"/>
    </w:p>
    <w:p w:rsidR="001F14AF" w:rsidRPr="009D719B" w:rsidRDefault="001F14AF">
      <w:pPr>
        <w:pStyle w:val="RubrikUtanNr3"/>
        <w:spacing w:before="123"/>
      </w:pPr>
      <w:r w:rsidRPr="009D719B">
        <w:t>Rapporten</w:t>
      </w:r>
    </w:p>
    <w:p w:rsidR="001F14AF" w:rsidRPr="009D719B" w:rsidRDefault="001F14AF">
      <w:r w:rsidRPr="009D719B">
        <w:t>Revisorerna konstaterade att Försvarsmakten förbättrat sina förutsättningar att följa upp lönebildningen inom myndigheten. En tydlig lönepolicy har formulerats, och man har även börjat införa ett system för att värdera olika befattningar inom organisationen. Den uppföljning av lönebildningen som i praktiken äger rum är dock fortfarande mycket bristfällig.</w:t>
      </w:r>
    </w:p>
    <w:p w:rsidR="001F14AF" w:rsidRPr="009D719B" w:rsidRDefault="001F14AF">
      <w:pPr>
        <w:pStyle w:val="Normaltindrag"/>
      </w:pPr>
      <w:r w:rsidRPr="009D719B">
        <w:t>För det första blir Försvarsmaktens uppföljning lidande av Högkvarterets splittrade organisation. Då olika delar av Högkvarteret följer upp lönebil</w:t>
      </w:r>
      <w:r w:rsidRPr="009D719B">
        <w:t>d</w:t>
      </w:r>
      <w:r w:rsidRPr="009D719B">
        <w:t xml:space="preserve">ningen riskerar man att de signaler som når förbanden blir motstridiga. Det oklara ansvarsförhållandet har också lett till att förbandens lönekostnader inte har följts upp. </w:t>
      </w:r>
    </w:p>
    <w:p w:rsidR="001F14AF" w:rsidRPr="009D719B" w:rsidRDefault="001F14AF">
      <w:pPr>
        <w:pStyle w:val="Normaltindrag"/>
      </w:pPr>
      <w:r w:rsidRPr="009D719B">
        <w:t xml:space="preserve">För det andra är den uppföljning som görs otillräcklig. Villkorssektionen är en del av Högkvarterets personalstab som hanterar centrala förhandlingar med fackförbunden samt uppföljning och analys av lönebildningen inom </w:t>
      </w:r>
      <w:r w:rsidRPr="009D719B">
        <w:lastRenderedPageBreak/>
        <w:t>Försvarsmakten. Denna sektion har endast 6 anställda. Vid sidan av andra arbetsuppgifter ska de följa upp lönebildningen i en organisation med nästan 20 000 anställda och 65 olika organisationsenheter spridda över landet. Rev</w:t>
      </w:r>
      <w:r w:rsidRPr="009D719B">
        <w:t>i</w:t>
      </w:r>
      <w:r w:rsidRPr="009D719B">
        <w:t>sorerna bedömde att Högkvarterets nya organisation inte skulle medföra någon lösning av dessa pr</w:t>
      </w:r>
      <w:r w:rsidRPr="009D719B">
        <w:t>o</w:t>
      </w:r>
      <w:r w:rsidRPr="009D719B">
        <w:t>blem.</w:t>
      </w:r>
    </w:p>
    <w:p w:rsidR="001F14AF" w:rsidRPr="009D719B" w:rsidRDefault="001F14AF">
      <w:pPr>
        <w:pStyle w:val="Normaltindrag"/>
      </w:pPr>
      <w:r w:rsidRPr="009D719B">
        <w:t>Revisorerna påpekade också att Försvarsmakten inte kartlagt löneskilln</w:t>
      </w:r>
      <w:r w:rsidRPr="009D719B">
        <w:t>a</w:t>
      </w:r>
      <w:r w:rsidRPr="009D719B">
        <w:t>derna mellan män och kvinnor inom organisationen. Det innebär att Fö</w:t>
      </w:r>
      <w:r w:rsidRPr="009D719B">
        <w:t>r</w:t>
      </w:r>
      <w:r w:rsidRPr="009D719B">
        <w:t>svarsmakten bryter mot jämställdhetslagen (1991:433) som i detta avseende gäller för samtl</w:t>
      </w:r>
      <w:r w:rsidRPr="009D719B">
        <w:t>i</w:t>
      </w:r>
      <w:r w:rsidRPr="009D719B">
        <w:t xml:space="preserve">ga arbetsgivare med 10 eller fler anställda. </w:t>
      </w:r>
    </w:p>
    <w:p w:rsidR="001F14AF" w:rsidRPr="009D719B" w:rsidRDefault="001F14AF">
      <w:pPr>
        <w:pStyle w:val="RubrikUtanNr3"/>
      </w:pPr>
      <w:r w:rsidRPr="009D719B">
        <w:t>Remissinstansernas synpunkter</w:t>
      </w:r>
    </w:p>
    <w:p w:rsidR="001F14AF" w:rsidRPr="009D719B" w:rsidRDefault="001F14AF">
      <w:r w:rsidRPr="009D719B">
        <w:rPr>
          <w:i/>
        </w:rPr>
        <w:t>Försvarsmakten</w:t>
      </w:r>
      <w:r w:rsidRPr="009D719B">
        <w:t xml:space="preserve"> menar att man under de senaste åren lagt ned mycket arbete på att förbättra styrning och uppföljning av lönebildningen. I sitt yttrande tar Försvarsmakten upp lönepolicyn, den strukturerade metoden för lönebil</w:t>
      </w:r>
      <w:r w:rsidRPr="009D719B">
        <w:t>d</w:t>
      </w:r>
      <w:r w:rsidRPr="009D719B">
        <w:t>ning, befattningsvärderingssystemet, differentierade förhandlingsmandat till förbandscheferna samt en tydlig styrning av det ekonomiska utrymmet för löneutvecklingen vid förbanden. Resultatet har enligt Försvarsmakten blivit att myndigheten under 2002 haft god kontroll på löneutvecklingen i myndi</w:t>
      </w:r>
      <w:r w:rsidRPr="009D719B">
        <w:t>g</w:t>
      </w:r>
      <w:r w:rsidRPr="009D719B">
        <w:t>het</w:t>
      </w:r>
      <w:r w:rsidRPr="009D719B">
        <w:t xml:space="preserve">en.  </w:t>
      </w:r>
    </w:p>
    <w:p w:rsidR="001F14AF" w:rsidRPr="009D719B" w:rsidRDefault="001F14AF">
      <w:pPr>
        <w:pStyle w:val="Normaltindrag"/>
      </w:pPr>
      <w:r w:rsidRPr="009D719B">
        <w:rPr>
          <w:i/>
        </w:rPr>
        <w:t>SEKO</w:t>
      </w:r>
      <w:r w:rsidRPr="009D719B">
        <w:t xml:space="preserve"> delar revisorernas uppfattning att uppföljningen av lönebildningen brister inom Försvarsmakten. Förbundet menar att Försvarsmakten har större brister i detta avseende än vad som finns inom flertalet andra statliga omr</w:t>
      </w:r>
      <w:r w:rsidRPr="009D719B">
        <w:t>å</w:t>
      </w:r>
      <w:r w:rsidRPr="009D719B">
        <w:t>den. En översyn av uppföljningsarbetet inom Försvarsmakten är enligt SEKO helt motiverad.</w:t>
      </w:r>
    </w:p>
    <w:p w:rsidR="001F14AF" w:rsidRPr="009D719B" w:rsidRDefault="001F14AF">
      <w:pPr>
        <w:pStyle w:val="Normaltindrag"/>
      </w:pPr>
      <w:r w:rsidRPr="009D719B">
        <w:rPr>
          <w:i/>
        </w:rPr>
        <w:t>Försvarsförbundet</w:t>
      </w:r>
      <w:r w:rsidRPr="009D719B">
        <w:t xml:space="preserve"> delar revisorernas uppfattning att uppföljningen av a</w:t>
      </w:r>
      <w:r w:rsidRPr="009D719B">
        <w:t>r</w:t>
      </w:r>
      <w:r w:rsidRPr="009D719B">
        <w:t xml:space="preserve">betsgivarpolitiken inom Försvarsmakten bör stärkas. </w:t>
      </w:r>
    </w:p>
    <w:p w:rsidR="001F14AF" w:rsidRPr="009D719B" w:rsidRDefault="001F14AF">
      <w:pPr>
        <w:pStyle w:val="Normaltindrag"/>
      </w:pPr>
      <w:r w:rsidRPr="009D719B">
        <w:rPr>
          <w:i/>
        </w:rPr>
        <w:t>Officersförbundet</w:t>
      </w:r>
      <w:r w:rsidRPr="009D719B">
        <w:t xml:space="preserve"> skriver i sitt yttrande att villkorssektionen är underd</w:t>
      </w:r>
      <w:r w:rsidRPr="009D719B">
        <w:t>i</w:t>
      </w:r>
      <w:r w:rsidRPr="009D719B">
        <w:t>mensionerad och felplacerad i organisationen. Detta leder enligt Officersfö</w:t>
      </w:r>
      <w:r w:rsidRPr="009D719B">
        <w:t>r</w:t>
      </w:r>
      <w:r w:rsidRPr="009D719B">
        <w:t>bundet till att Högkvarteret inte kan föra ut intentionerna med försvarsmakt</w:t>
      </w:r>
      <w:r w:rsidRPr="009D719B">
        <w:t>s</w:t>
      </w:r>
      <w:r w:rsidRPr="009D719B">
        <w:t xml:space="preserve">avtalen. Förbandscheferna nås av motstridiga budskap. </w:t>
      </w:r>
    </w:p>
    <w:p w:rsidR="001F14AF" w:rsidRPr="009D719B" w:rsidRDefault="001F14AF">
      <w:pPr>
        <w:pStyle w:val="Normaltindrag"/>
      </w:pPr>
      <w:r w:rsidRPr="009D719B">
        <w:t>Angående lönekartläggningen framhåller förbundet det partsgemensamma arbetet med att utveckla och genomföra Försvarsmaktens centrala jämställ</w:t>
      </w:r>
      <w:r w:rsidRPr="009D719B">
        <w:t>d</w:t>
      </w:r>
      <w:r w:rsidRPr="009D719B">
        <w:t xml:space="preserve">hetsplan. Som ett led i detta arbete är parterna överens om att gemensamt utveckla formerna för återkommande lönekartläggningar och för hur dessa resultat ska omhändertas i organisationen. </w:t>
      </w:r>
    </w:p>
    <w:p w:rsidR="001F14AF" w:rsidRPr="009D719B" w:rsidRDefault="001F14AF">
      <w:pPr>
        <w:pStyle w:val="RubrikUtanNr3"/>
      </w:pPr>
      <w:r w:rsidRPr="009D719B">
        <w:t>Revisorernas överväganden och förslag</w:t>
      </w:r>
    </w:p>
    <w:p w:rsidR="001F14AF" w:rsidRPr="009D719B" w:rsidRDefault="001F14AF">
      <w:r w:rsidRPr="009D719B">
        <w:t>Försvarsmakten tar i sitt yttrande upp flera förbättringar av styrning och uppföljning av lönebildningen. Dessa åtgärder har revisorerna noterat i sin rapport. Åtgärderna förbättrar förutsättningarna för uppföljning av lönebil</w:t>
      </w:r>
      <w:r w:rsidRPr="009D719B">
        <w:t>d</w:t>
      </w:r>
      <w:r w:rsidRPr="009D719B">
        <w:t>ningen. Däremot bidrar dessa åtgärder inte till att någon uppföljning geno</w:t>
      </w:r>
      <w:r w:rsidRPr="009D719B">
        <w:t>m</w:t>
      </w:r>
      <w:r w:rsidRPr="009D719B">
        <w:t>förs eller att åtgärder vidtas med anledning av uppföljningen. Avsaknaden av uppföljning är ett av de allvarligare problemen revisorerna identifierat med Försvarsmaktens lönebil</w:t>
      </w:r>
      <w:r w:rsidRPr="009D719B">
        <w:t>d</w:t>
      </w:r>
      <w:r w:rsidRPr="009D719B">
        <w:t xml:space="preserve">ning. </w:t>
      </w:r>
    </w:p>
    <w:p w:rsidR="001F14AF" w:rsidRPr="009D719B" w:rsidRDefault="001F14AF">
      <w:pPr>
        <w:pStyle w:val="Normaltindrag"/>
      </w:pPr>
      <w:r w:rsidRPr="009D719B">
        <w:lastRenderedPageBreak/>
        <w:t>För att Försvarsmakten ska kunna följa upp lönebildningen krävs att up</w:t>
      </w:r>
      <w:r w:rsidRPr="009D719B">
        <w:t>p</w:t>
      </w:r>
      <w:r w:rsidRPr="009D719B">
        <w:t xml:space="preserve">följningsfunktionen ges tillräckligt med resurser och har en stark och tydlig ställning inom organisationen. </w:t>
      </w:r>
    </w:p>
    <w:p w:rsidR="001F14AF" w:rsidRPr="009D719B" w:rsidRDefault="001F14AF">
      <w:pPr>
        <w:pStyle w:val="Normaltindrag"/>
      </w:pPr>
      <w:r w:rsidRPr="009D719B">
        <w:t>Försvarsmaktens bristande uppföljning av lönebildningen har bl.a. inneb</w:t>
      </w:r>
      <w:r w:rsidRPr="009D719B">
        <w:t>u</w:t>
      </w:r>
      <w:r w:rsidRPr="009D719B">
        <w:t>rit att man bryter mot jämställdhetslagen. Detta illustrerar vikten av att Fö</w:t>
      </w:r>
      <w:r w:rsidRPr="009D719B">
        <w:t>r</w:t>
      </w:r>
      <w:r w:rsidRPr="009D719B">
        <w:t xml:space="preserve">svarsmaktens uppföljning förbättras. Enligt verksförordningen (1995:1322) ska myndighetschefen bl.a. se till att myndighetens verksamhet kontrolleras på ett betryggande sätt. Revisorerna menar att Försvarsmakten inte heller har levt upp till detta krav. </w:t>
      </w:r>
    </w:p>
    <w:p w:rsidR="001F14AF" w:rsidRPr="009D719B" w:rsidRDefault="001F14AF">
      <w:r w:rsidRPr="009D719B">
        <w:t xml:space="preserve">Revisorerna föreslår </w:t>
      </w:r>
    </w:p>
    <w:p w:rsidR="001F14AF" w:rsidRPr="009D719B" w:rsidRDefault="001F14AF">
      <w:pPr>
        <w:numPr>
          <w:ilvl w:val="0"/>
          <w:numId w:val="16"/>
        </w:numPr>
      </w:pPr>
      <w:r w:rsidRPr="009D719B">
        <w:t xml:space="preserve">att regeringen ger Försvarsmakten i uppdrag att utveckla sin uppföljning av arbetsgivarpolitiken. Revisorerna utgår från att myndigheten följer gällande lagar och förordningar. </w:t>
      </w:r>
    </w:p>
    <w:p w:rsidR="001F14AF" w:rsidRPr="009D719B" w:rsidRDefault="001F14AF">
      <w:pPr>
        <w:pStyle w:val="Rubrik2"/>
      </w:pPr>
      <w:bookmarkStart w:id="8" w:name="_Toc38103332"/>
      <w:r w:rsidRPr="009D719B">
        <w:t>Försvarsmaktens styrning av kompetens och lönebildning</w:t>
      </w:r>
      <w:bookmarkEnd w:id="8"/>
    </w:p>
    <w:p w:rsidR="001F14AF" w:rsidRPr="009D719B" w:rsidRDefault="001F14AF">
      <w:pPr>
        <w:pStyle w:val="RubrikUtanNr3"/>
        <w:spacing w:before="123"/>
      </w:pPr>
      <w:r w:rsidRPr="009D719B">
        <w:t>Rapporten</w:t>
      </w:r>
    </w:p>
    <w:p w:rsidR="001F14AF" w:rsidRPr="009D719B" w:rsidRDefault="001F14AF">
      <w:r w:rsidRPr="009D719B">
        <w:t>Personalbrist, upplevd eller verklig, kan driva upp lönerna inom organisati</w:t>
      </w:r>
      <w:r w:rsidRPr="009D719B">
        <w:t>o</w:t>
      </w:r>
      <w:r w:rsidRPr="009D719B">
        <w:t>nen. Revisorerna framhöll i rapporten att Försvarsmakten i större utsträc</w:t>
      </w:r>
      <w:r w:rsidRPr="009D719B">
        <w:t>k</w:t>
      </w:r>
      <w:r w:rsidRPr="009D719B">
        <w:t>ning borde styra kompetensförsörjningen. Genom att styra personal dit beh</w:t>
      </w:r>
      <w:r w:rsidRPr="009D719B">
        <w:t>o</w:t>
      </w:r>
      <w:r w:rsidRPr="009D719B">
        <w:t>vet fanns skulle Försvarsmakten kunna mildra kompetensbristen vid flera förband. En tydligare styrning av kompetensförsörjningen skulle underlätta verksamhetsanpassningen av lön</w:t>
      </w:r>
      <w:r w:rsidRPr="009D719B">
        <w:t>e</w:t>
      </w:r>
      <w:r w:rsidRPr="009D719B">
        <w:t>bildningen.</w:t>
      </w:r>
    </w:p>
    <w:p w:rsidR="001F14AF" w:rsidRPr="009D719B" w:rsidRDefault="001F14AF">
      <w:pPr>
        <w:pStyle w:val="Normaltindrag"/>
      </w:pPr>
      <w:r w:rsidRPr="009D719B">
        <w:t>En förbandschef ska genom bemanningsuppdrag bistå Försvarsmaktens olika ledningsorgan, skolor och centrum med personal. En yrkesofficer kan således vara placerad vid ett för</w:t>
      </w:r>
      <w:r w:rsidRPr="009D719B">
        <w:t>band men genom ett bemanningsuppdrag tjänstgöra vid t.ex. Högkvarteret eller en militärhögskola. Revisorerna ko</w:t>
      </w:r>
      <w:r w:rsidRPr="009D719B">
        <w:t>n</w:t>
      </w:r>
      <w:r w:rsidRPr="009D719B">
        <w:t>staterade att hanteringen av förbandens olika bemanningsuppdrag dels drev upp förbandens lönekostnader, dels försvårade för förbandschefen att åsta</w:t>
      </w:r>
      <w:r w:rsidRPr="009D719B">
        <w:t>d</w:t>
      </w:r>
      <w:r w:rsidRPr="009D719B">
        <w:t>komma en önskvärd lönespridning. Inom armén förvärrades dessutom ko</w:t>
      </w:r>
      <w:r w:rsidRPr="009D719B">
        <w:t>m</w:t>
      </w:r>
      <w:r w:rsidRPr="009D719B">
        <w:t xml:space="preserve">petensbristen av den bristfälliga samordningen av bemanningsuppdragen. </w:t>
      </w:r>
    </w:p>
    <w:p w:rsidR="001F14AF" w:rsidRPr="009D719B" w:rsidRDefault="001F14AF">
      <w:pPr>
        <w:pStyle w:val="Normaltindrag"/>
      </w:pPr>
      <w:r w:rsidRPr="009D719B">
        <w:t>Försvarsmaktens styrning av lönebildningen har också varit svag, delvis som följd av den tidigare redovisade okl</w:t>
      </w:r>
      <w:r w:rsidRPr="009D719B">
        <w:t>ara ansvarsfördelningen inom Hö</w:t>
      </w:r>
      <w:r w:rsidRPr="009D719B">
        <w:t>g</w:t>
      </w:r>
      <w:r w:rsidRPr="009D719B">
        <w:t>kvarteret. Försvarsmakten har vid flera tillfällen tvingats till kompromisser i viktiga arbetsgivarfrågor – efter motstånd från framför allt Officersförbundet. Försvarsmaktens svaga styrning av lönebildningen har bl.a. visat sig i sa</w:t>
      </w:r>
      <w:r w:rsidRPr="009D719B">
        <w:t>m</w:t>
      </w:r>
      <w:r w:rsidRPr="009D719B">
        <w:t>band med avvecklingen av lönetilläggen för yrkesofficerare. Hanteringen av denna avveckling medför risk för ökade lönekostn</w:t>
      </w:r>
      <w:r w:rsidRPr="009D719B">
        <w:t>a</w:t>
      </w:r>
      <w:r w:rsidRPr="009D719B">
        <w:t>der.</w:t>
      </w:r>
    </w:p>
    <w:p w:rsidR="001F14AF" w:rsidRPr="009D719B" w:rsidRDefault="001F14AF">
      <w:pPr>
        <w:pStyle w:val="Normaltindrag"/>
      </w:pPr>
      <w:r w:rsidRPr="009D719B">
        <w:t>Revisorerna konstaterade också att Försvarsmaktens kostnader för avvec</w:t>
      </w:r>
      <w:r w:rsidRPr="009D719B">
        <w:t>k</w:t>
      </w:r>
      <w:r w:rsidRPr="009D719B">
        <w:t xml:space="preserve">lingen av personal varit mycket höga. Både Riksdagens revisorer och RRV har kritiserat förhållandet att avvecklingsinsatser riktats mot personalgrupper som Försvarsmakten önskat behålla. </w:t>
      </w:r>
    </w:p>
    <w:p w:rsidR="001F14AF" w:rsidRPr="009D719B" w:rsidRDefault="001F14AF">
      <w:pPr>
        <w:pStyle w:val="RubrikUtanNr3"/>
      </w:pPr>
      <w:r w:rsidRPr="009D719B">
        <w:lastRenderedPageBreak/>
        <w:t>Remissinstansernas synpunkter</w:t>
      </w:r>
    </w:p>
    <w:p w:rsidR="001F14AF" w:rsidRPr="009D719B" w:rsidRDefault="001F14AF">
      <w:r w:rsidRPr="009D719B">
        <w:rPr>
          <w:i/>
        </w:rPr>
        <w:t>SEKO</w:t>
      </w:r>
      <w:r w:rsidRPr="009D719B">
        <w:t xml:space="preserve"> delar revisorernas synpunkt att Försvarsmakten i större utsträckning bör styra kompetensförsörjningen. Förbundet vill dock framhålla att det mot bakgrund av den höga omställningstakten i försvaret är svårt att undvika relativt höga omställningskostnader under en begränsad period. </w:t>
      </w:r>
    </w:p>
    <w:p w:rsidR="001F14AF" w:rsidRPr="009D719B" w:rsidRDefault="001F14AF">
      <w:pPr>
        <w:pStyle w:val="Normaltindrag"/>
      </w:pPr>
      <w:r w:rsidRPr="009D719B">
        <w:rPr>
          <w:i/>
        </w:rPr>
        <w:t>Officersförbundet</w:t>
      </w:r>
      <w:r w:rsidRPr="009D719B">
        <w:t xml:space="preserve"> delar inte revisorernas syn på styrningen av kompetens. Förbundet menar att officerarnas kompetens efterfrågas och måste utvecklas på olika platser i landet. Det finns enligt förbundet behov av en viss rörlighet inom Försvarsmakten. Officersförbundet drar slutsatsen att man inte kommer att kunna tillgodose kravet på rörlighet genom att enbart kommendera pers</w:t>
      </w:r>
      <w:r w:rsidRPr="009D719B">
        <w:t>o</w:t>
      </w:r>
      <w:r w:rsidRPr="009D719B">
        <w:t xml:space="preserve">nalen. Man måste i stället skapa incitament för den enskilde att välja den väg som innebär en fördel för Försvarsmakten. </w:t>
      </w:r>
    </w:p>
    <w:p w:rsidR="001F14AF" w:rsidRPr="009D719B" w:rsidRDefault="001F14AF">
      <w:pPr>
        <w:pStyle w:val="Normaltindrag"/>
      </w:pPr>
      <w:r w:rsidRPr="009D719B">
        <w:t xml:space="preserve"> Officersförbundet menar att</w:t>
      </w:r>
      <w:r w:rsidRPr="009D719B">
        <w:t xml:space="preserve"> inlösningen av lönetilläggen skapat spännin</w:t>
      </w:r>
      <w:r w:rsidRPr="009D719B">
        <w:t>g</w:t>
      </w:r>
      <w:r w:rsidRPr="009D719B">
        <w:t>ar i organisationen som kommer att kvarstå i flera år. Dessa spänningar växer enligt förbundet i och med att Försvarsmakten inte förmår att understödja förbanden för att uppnå den tillämpning av avtalen som parterna var överens om.</w:t>
      </w:r>
    </w:p>
    <w:p w:rsidR="001F14AF" w:rsidRPr="009D719B" w:rsidRDefault="001F14AF">
      <w:pPr>
        <w:pStyle w:val="RubrikUtanNr3"/>
      </w:pPr>
      <w:r w:rsidRPr="009D719B">
        <w:t>Revisorernas överväganden och förslag</w:t>
      </w:r>
    </w:p>
    <w:p w:rsidR="001F14AF" w:rsidRPr="009D719B" w:rsidRDefault="001F14AF">
      <w:r w:rsidRPr="009D719B">
        <w:t>Revisorerna står fast vid sin uppfattning att Försvarsmakten genom att i större utsträckning styra kompetensförsörjningen skulle kunna minska de problem som uppstår i samband med omstruktureringen. Det behov av pe</w:t>
      </w:r>
      <w:r w:rsidRPr="009D719B">
        <w:t>r</w:t>
      </w:r>
      <w:r w:rsidRPr="009D719B">
        <w:t>sonalrörlighet som Officersförbundet för fram hänger samman med yrkeso</w:t>
      </w:r>
      <w:r w:rsidRPr="009D719B">
        <w:t>f</w:t>
      </w:r>
      <w:r w:rsidRPr="009D719B">
        <w:t xml:space="preserve">ficerarnas utveckling och utbildning till chefspositioner. För att en officer ska kunna fungera som chef på högre nivå bör denne enligt uppfattningen inom Försvarsmakten ha haft olika typer av befattningar i organisationen. </w:t>
      </w:r>
    </w:p>
    <w:p w:rsidR="001F14AF" w:rsidRPr="009D719B" w:rsidRDefault="001F14AF">
      <w:pPr>
        <w:pStyle w:val="Normaltindrag"/>
      </w:pPr>
      <w:r w:rsidRPr="009D719B">
        <w:t>Revisorerna vill erinra om att regeringen enligt försvarsbeslutet uppdragit åt Försvarsmakten att genomföra förändringar i personalförsörjningssystemet (prop. 2001/02:10). Genom att skapa nya karriärmöjligheter inom</w:t>
      </w:r>
      <w:r w:rsidRPr="009D719B">
        <w:t xml:space="preserve"> Försvar</w:t>
      </w:r>
      <w:r w:rsidRPr="009D719B">
        <w:t>s</w:t>
      </w:r>
      <w:r w:rsidRPr="009D719B">
        <w:t>makten kan rörligheten för yrkesofficerare minska. Revisorerna förutsätter att regeringen noggrant följer hur personalförsörjningssystemet inom Fö</w:t>
      </w:r>
      <w:r w:rsidRPr="009D719B">
        <w:t>r</w:t>
      </w:r>
      <w:r w:rsidRPr="009D719B">
        <w:t xml:space="preserve">svarsmakten utvecklas och återkommer med redovisningar till riksdagen i frågan. </w:t>
      </w:r>
    </w:p>
    <w:p w:rsidR="001F14AF" w:rsidRPr="009D719B" w:rsidRDefault="001F14AF">
      <w:pPr>
        <w:pStyle w:val="Normaltindrag"/>
      </w:pPr>
      <w:r w:rsidRPr="009D719B">
        <w:t>Den direkta styrningen av lönebildningsfrågor har blivit starkare och tydl</w:t>
      </w:r>
      <w:r w:rsidRPr="009D719B">
        <w:t>i</w:t>
      </w:r>
      <w:r w:rsidRPr="009D719B">
        <w:t>gare sedan Riksrevisionsverket uppmärksammade problemen 1998. Fortf</w:t>
      </w:r>
      <w:r w:rsidRPr="009D719B">
        <w:t>a</w:t>
      </w:r>
      <w:r w:rsidRPr="009D719B">
        <w:t>rande finns dock problem som framför allt kan hänföras till den organisat</w:t>
      </w:r>
      <w:r w:rsidRPr="009D719B">
        <w:t>o</w:t>
      </w:r>
      <w:r w:rsidRPr="009D719B">
        <w:t>riska splittringen i Högkvarteret. Revisorerna menar också att styrningens verkan i stor utsträckning gått förlorad eftersom lönebildningen inte tillräc</w:t>
      </w:r>
      <w:r w:rsidRPr="009D719B">
        <w:t>k</w:t>
      </w:r>
      <w:r w:rsidRPr="009D719B">
        <w:t>ligt följts upp från Högkvart</w:t>
      </w:r>
      <w:r w:rsidRPr="009D719B">
        <w:t>e</w:t>
      </w:r>
      <w:r w:rsidRPr="009D719B">
        <w:t>ret.</w:t>
      </w:r>
    </w:p>
    <w:p w:rsidR="001F14AF" w:rsidRPr="009D719B" w:rsidRDefault="001F14AF">
      <w:pPr>
        <w:pStyle w:val="Normaltindrag"/>
      </w:pPr>
      <w:r w:rsidRPr="009D719B">
        <w:t>Försvarsmaktens kostnader för personalavvecklingen har varit mycket höga. Mellan åren 2000 och 2002 har kostnaden för avveckling av yrkesoff</w:t>
      </w:r>
      <w:r w:rsidRPr="009D719B">
        <w:t>i</w:t>
      </w:r>
      <w:r w:rsidRPr="009D719B">
        <w:t>cerare varit drygt en miljard kronor per år. Under 2002 betalade Försvar</w:t>
      </w:r>
      <w:r w:rsidRPr="009D719B">
        <w:t>s</w:t>
      </w:r>
      <w:r w:rsidRPr="009D719B">
        <w:t>makten i genomsnitt 1,3 miljoner kronor för varje officer som lämnat my</w:t>
      </w:r>
      <w:r w:rsidRPr="009D719B">
        <w:t>n</w:t>
      </w:r>
      <w:r w:rsidRPr="009D719B">
        <w:t>digheten. Regeringens redovisning för riksdagen av avvecklingskostnaderna har varit bristfällig. I budgetpropositionen för år 2003 redovisar regeringen inga kostnader för avvecklingen av pers</w:t>
      </w:r>
      <w:r w:rsidRPr="009D719B">
        <w:t>o</w:t>
      </w:r>
      <w:r w:rsidRPr="009D719B">
        <w:t>nal.</w:t>
      </w:r>
    </w:p>
    <w:p w:rsidR="001F14AF" w:rsidRPr="009D719B" w:rsidRDefault="001F14AF">
      <w:r w:rsidRPr="009D719B">
        <w:lastRenderedPageBreak/>
        <w:t xml:space="preserve">Revisorerna föreslår </w:t>
      </w:r>
    </w:p>
    <w:p w:rsidR="001F14AF" w:rsidRPr="009D719B" w:rsidRDefault="001F14AF">
      <w:pPr>
        <w:numPr>
          <w:ilvl w:val="0"/>
          <w:numId w:val="17"/>
        </w:numPr>
      </w:pPr>
      <w:r w:rsidRPr="009D719B">
        <w:t>att regeringen noggrant följer upp Försvarsmaktens avvecklingskostn</w:t>
      </w:r>
      <w:r w:rsidRPr="009D719B">
        <w:t>a</w:t>
      </w:r>
      <w:r w:rsidRPr="009D719B">
        <w:t>der och årligen redovisar dessa för riksdagen.</w:t>
      </w:r>
    </w:p>
    <w:p w:rsidR="001F14AF" w:rsidRPr="009D719B" w:rsidRDefault="001F14AF">
      <w:pPr>
        <w:pStyle w:val="Rubrik1"/>
      </w:pPr>
      <w:bookmarkStart w:id="9" w:name="_Toc38103333"/>
      <w:r w:rsidRPr="009D719B">
        <w:t>Revisorernas förslag</w:t>
      </w:r>
      <w:bookmarkEnd w:id="9"/>
    </w:p>
    <w:p w:rsidR="001F14AF" w:rsidRPr="009D719B" w:rsidRDefault="001F14AF">
      <w:r w:rsidRPr="009D719B">
        <w:t>Med hänvisning till vad som framförts under revisorernas överväganden och förslag föreslår Riksdagens revisorer att riksdagen fattar fö</w:t>
      </w:r>
      <w:r w:rsidRPr="009D719B">
        <w:t>l</w:t>
      </w:r>
      <w:r w:rsidRPr="009D719B">
        <w:t>jande beslut:</w:t>
      </w:r>
    </w:p>
    <w:p w:rsidR="001F14AF" w:rsidRPr="009D719B" w:rsidRDefault="001F14AF">
      <w:pPr>
        <w:pStyle w:val="RubrikUtanNr3"/>
      </w:pPr>
      <w:r w:rsidRPr="009D719B">
        <w:t>Försvarsdepartementets hantering av arbetsgivarpolitiken</w:t>
      </w:r>
    </w:p>
    <w:p w:rsidR="001F14AF" w:rsidRPr="009D719B" w:rsidRDefault="001F14AF">
      <w:r w:rsidRPr="009D719B">
        <w:t>Riksdagen tillkännager för regeringen som sin mening vad Riksdagens rev</w:t>
      </w:r>
      <w:r w:rsidRPr="009D719B">
        <w:t>i</w:t>
      </w:r>
      <w:r w:rsidRPr="009D719B">
        <w:t>sorer anför i avsnitt 2.2 om regeringens hantering av Försvarsmaktens a</w:t>
      </w:r>
      <w:r w:rsidRPr="009D719B">
        <w:t>r</w:t>
      </w:r>
      <w:r w:rsidRPr="009D719B">
        <w:t>betsg</w:t>
      </w:r>
      <w:r w:rsidRPr="009D719B">
        <w:t>i</w:t>
      </w:r>
      <w:r w:rsidRPr="009D719B">
        <w:t>varpolitik.</w:t>
      </w:r>
    </w:p>
    <w:p w:rsidR="001F14AF" w:rsidRPr="009D719B" w:rsidRDefault="001F14AF">
      <w:pPr>
        <w:pStyle w:val="RubrikUtanNr3"/>
      </w:pPr>
      <w:r w:rsidRPr="009D719B">
        <w:t>Växeltjänstgöringen vid Försvarsdepartementet</w:t>
      </w:r>
    </w:p>
    <w:p w:rsidR="001F14AF" w:rsidRPr="009D719B" w:rsidRDefault="001F14AF">
      <w:r w:rsidRPr="009D719B">
        <w:t>Riksdagen tillkännager för regeringen som sin mening vad Riksdagens rev</w:t>
      </w:r>
      <w:r w:rsidRPr="009D719B">
        <w:t>i</w:t>
      </w:r>
      <w:r w:rsidRPr="009D719B">
        <w:t>sorer anför i avsnitt 2.2 om växeltjänstgöringen vid Försvarsdepartementet.</w:t>
      </w:r>
    </w:p>
    <w:p w:rsidR="001F14AF" w:rsidRPr="009D719B" w:rsidRDefault="001F14AF">
      <w:pPr>
        <w:pStyle w:val="RubrikUtanNr3"/>
      </w:pPr>
      <w:r w:rsidRPr="009D719B">
        <w:t>Regeringens uppföljning av myndigheternas arbetsgivarpolitik</w:t>
      </w:r>
    </w:p>
    <w:p w:rsidR="001F14AF" w:rsidRPr="009D719B" w:rsidRDefault="001F14AF">
      <w:r w:rsidRPr="009D719B">
        <w:t>Riksdagen tillkännager för regeringen som sin mening vad Riksdagens rev</w:t>
      </w:r>
      <w:r w:rsidRPr="009D719B">
        <w:t>i</w:t>
      </w:r>
      <w:r w:rsidRPr="009D719B">
        <w:t>sorer anför i avsnitt 2.2 om åtgärder för att förbättra regeringens uppföljning av myndigheternas arbetsgivarpolitik.</w:t>
      </w:r>
    </w:p>
    <w:p w:rsidR="001F14AF" w:rsidRPr="009D719B" w:rsidRDefault="001F14AF">
      <w:pPr>
        <w:pStyle w:val="RubrikUtanNr3"/>
      </w:pPr>
      <w:r w:rsidRPr="009D719B">
        <w:t>Tydligare organisation i Högkvarteret</w:t>
      </w:r>
    </w:p>
    <w:p w:rsidR="001F14AF" w:rsidRPr="009D719B" w:rsidRDefault="001F14AF">
      <w:r w:rsidRPr="009D719B">
        <w:t>Riksdagen tillkännager för regeringen som sin mening vad Riksdagens rev</w:t>
      </w:r>
      <w:r w:rsidRPr="009D719B">
        <w:t>i</w:t>
      </w:r>
      <w:r w:rsidRPr="009D719B">
        <w:t>sorer anför i avsnitt 2.3 om Högkvarterets organisation.</w:t>
      </w:r>
    </w:p>
    <w:p w:rsidR="001F14AF" w:rsidRPr="009D719B" w:rsidRDefault="001F14AF">
      <w:pPr>
        <w:pStyle w:val="RubrikUtanNr3"/>
      </w:pPr>
      <w:r w:rsidRPr="009D719B">
        <w:t xml:space="preserve">Bättre uppföljning av Försvarsmaktens arbetsgivarpolitik </w:t>
      </w:r>
    </w:p>
    <w:p w:rsidR="001F14AF" w:rsidRPr="009D719B" w:rsidRDefault="001F14AF">
      <w:r w:rsidRPr="009D719B">
        <w:t>Riksdagen tillkännager för regeringen som sin mening vad Riksdagens rev</w:t>
      </w:r>
      <w:r w:rsidRPr="009D719B">
        <w:t>i</w:t>
      </w:r>
      <w:r w:rsidRPr="009D719B">
        <w:t>sorer anför i avsnitt 2.4 om att Försvarsmakten bör utveckla uppföljningen av arbetsgivarpolitiken.</w:t>
      </w:r>
    </w:p>
    <w:p w:rsidR="001F14AF" w:rsidRPr="009D719B" w:rsidRDefault="001F14AF">
      <w:pPr>
        <w:pStyle w:val="RubrikUtanNr3"/>
      </w:pPr>
      <w:r w:rsidRPr="009D719B">
        <w:t>Regeringens uppföljning av försvarets omstrukturering</w:t>
      </w:r>
    </w:p>
    <w:p w:rsidR="001F14AF" w:rsidRPr="009D719B" w:rsidRDefault="001F14AF">
      <w:r w:rsidRPr="009D719B">
        <w:t>Riksdagen tillkännager för regeringen som sin mening vad Riksdagens rev</w:t>
      </w:r>
      <w:r w:rsidRPr="009D719B">
        <w:t>i</w:t>
      </w:r>
      <w:r w:rsidRPr="009D719B">
        <w:t>sorer anför i avsnitt 2.5 om att regeringen bättre bör följa upp omstruktur</w:t>
      </w:r>
      <w:r w:rsidRPr="009D719B">
        <w:t>e</w:t>
      </w:r>
      <w:r w:rsidRPr="009D719B">
        <w:t>ringen inom försvaret.</w:t>
      </w:r>
    </w:p>
    <w:p w:rsidR="001F14AF" w:rsidRPr="009D719B" w:rsidRDefault="001F14AF"/>
    <w:p w:rsidR="001F14AF" w:rsidRPr="009D719B" w:rsidRDefault="001F14AF">
      <w:pPr>
        <w:rPr>
          <w:snapToGrid w:val="0"/>
          <w:color w:val="000000"/>
          <w:sz w:val="18"/>
          <w:lang w:eastAsia="sv-SE"/>
        </w:rPr>
      </w:pPr>
      <w:r w:rsidRPr="009D719B">
        <w:br w:type="page"/>
      </w:r>
      <w:r w:rsidRPr="009D719B">
        <w:lastRenderedPageBreak/>
        <w:t>Detta ärende har avgjorts av revisorerna i plenum. I beslutet har deltagit revisorerna Ingemar Josefsson (s), Anders G Högmark (m), Anita Jönsson (s), Gunnar Andrén (fp), Hans Stenberg (s), Agneta Lundberg (s), Kenneth Lantz (kd), Bengt Silfverstrand (s), Karl-Gösta Svenson (m), Conny Öhman (s) och Lennart Hedquist (m).</w:t>
      </w:r>
    </w:p>
    <w:p w:rsidR="001F14AF" w:rsidRPr="009D719B" w:rsidRDefault="001F14AF">
      <w:r w:rsidRPr="009D719B">
        <w:t xml:space="preserve">Vid ärendets slutliga handläggning har vidare närvarit t.f. kanslichef Karin Brunsson, t.f. utredningschef Karin Rudberg och avdelningsdirektör Anders Widholm (föredragande). </w:t>
      </w:r>
    </w:p>
    <w:p w:rsidR="001F14AF" w:rsidRPr="009D719B" w:rsidRDefault="001F14AF">
      <w:r w:rsidRPr="009D719B">
        <w:t>Stockholm den 16 april 2003</w:t>
      </w:r>
    </w:p>
    <w:p w:rsidR="001F14AF" w:rsidRPr="009D719B" w:rsidRDefault="001F14AF">
      <w:r w:rsidRPr="009D719B">
        <w:t>På Riksdagens revisorers vägnar</w:t>
      </w:r>
    </w:p>
    <w:p w:rsidR="001F14AF" w:rsidRPr="009D719B" w:rsidRDefault="001F14AF">
      <w:pPr>
        <w:pStyle w:val="Normaltindrag"/>
      </w:pPr>
    </w:p>
    <w:p w:rsidR="001F14AF" w:rsidRPr="009D719B" w:rsidRDefault="001F14AF">
      <w:pPr>
        <w:pStyle w:val="Normaltindrag"/>
      </w:pPr>
    </w:p>
    <w:p w:rsidR="001F14AF" w:rsidRPr="009D719B" w:rsidRDefault="001F14AF">
      <w:pPr>
        <w:rPr>
          <w:i/>
        </w:rPr>
      </w:pPr>
      <w:r w:rsidRPr="009D719B">
        <w:rPr>
          <w:i/>
        </w:rPr>
        <w:t>Ingemar Josefsson</w:t>
      </w:r>
    </w:p>
    <w:p w:rsidR="001F14AF" w:rsidRPr="009D719B" w:rsidRDefault="001F14AF">
      <w:pPr>
        <w:pStyle w:val="Normaltindrag"/>
        <w:rPr>
          <w:i/>
        </w:rPr>
      </w:pPr>
      <w:r w:rsidRPr="009D719B">
        <w:tab/>
      </w:r>
      <w:r w:rsidRPr="009D719B">
        <w:tab/>
      </w:r>
      <w:r w:rsidRPr="009D719B">
        <w:tab/>
      </w:r>
      <w:r w:rsidRPr="009D719B">
        <w:rPr>
          <w:i/>
        </w:rPr>
        <w:t>Anders Widholm</w:t>
      </w:r>
    </w:p>
    <w:p w:rsidR="001F14AF" w:rsidRPr="009D719B" w:rsidRDefault="001F14AF">
      <w:pPr>
        <w:pStyle w:val="Normaltindrag"/>
        <w:sectPr w:rsidR="00000000" w:rsidRPr="009D719B">
          <w:headerReference w:type="default" r:id="rId12"/>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9D719B">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1F14AF" w:rsidRPr="009D719B" w:rsidRDefault="001F14AF">
            <w:pPr>
              <w:pStyle w:val="HuvudRubrik"/>
            </w:pPr>
            <w:r w:rsidRPr="009D719B">
              <w:lastRenderedPageBreak/>
              <w:t>Rapport 2002/03:6</w:t>
            </w:r>
          </w:p>
        </w:tc>
        <w:tc>
          <w:tcPr>
            <w:tcW w:w="2126" w:type="dxa"/>
            <w:gridSpan w:val="2"/>
            <w:tcBorders>
              <w:bottom w:val="single" w:sz="6" w:space="0" w:color="auto"/>
            </w:tcBorders>
          </w:tcPr>
          <w:p w:rsidR="001F14AF" w:rsidRPr="009D719B" w:rsidRDefault="009D719B">
            <w:pPr>
              <w:spacing w:before="0" w:line="240" w:lineRule="auto"/>
              <w:jc w:val="center"/>
            </w:pPr>
            <w:r w:rsidRPr="009D719B">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9D719B">
        <w:tblPrEx>
          <w:tblCellMar>
            <w:top w:w="0" w:type="dxa"/>
            <w:bottom w:w="0" w:type="dxa"/>
          </w:tblCellMar>
        </w:tblPrEx>
        <w:trPr>
          <w:gridAfter w:val="1"/>
          <w:wAfter w:w="851" w:type="dxa"/>
          <w:cantSplit/>
          <w:trHeight w:hRule="exact" w:val="660"/>
        </w:trPr>
        <w:tc>
          <w:tcPr>
            <w:tcW w:w="3012" w:type="dxa"/>
          </w:tcPr>
          <w:p w:rsidR="001F14AF" w:rsidRPr="009D719B" w:rsidRDefault="001F14AF">
            <w:pPr>
              <w:pStyle w:val="StatusSida1"/>
            </w:pPr>
            <w:r w:rsidRPr="009D719B">
              <w:t xml:space="preserve"> </w:t>
            </w:r>
          </w:p>
        </w:tc>
        <w:tc>
          <w:tcPr>
            <w:tcW w:w="2445" w:type="dxa"/>
            <w:gridSpan w:val="2"/>
          </w:tcPr>
          <w:p w:rsidR="001F14AF" w:rsidRPr="009D719B" w:rsidRDefault="001F14AF">
            <w:pPr>
              <w:pStyle w:val="UtskriftsdatumSida1"/>
              <w:rPr>
                <w:b/>
                <w:sz w:val="28"/>
              </w:rPr>
            </w:pPr>
          </w:p>
        </w:tc>
        <w:tc>
          <w:tcPr>
            <w:tcW w:w="992" w:type="dxa"/>
          </w:tcPr>
          <w:p w:rsidR="001F14AF" w:rsidRPr="009D719B" w:rsidRDefault="001F14AF"/>
        </w:tc>
      </w:tr>
      <w:tr w:rsidR="00000000" w:rsidRPr="009D719B">
        <w:tblPrEx>
          <w:tblCellMar>
            <w:top w:w="0" w:type="dxa"/>
            <w:bottom w:w="0" w:type="dxa"/>
          </w:tblCellMar>
        </w:tblPrEx>
        <w:trPr>
          <w:gridAfter w:val="1"/>
          <w:wAfter w:w="851" w:type="dxa"/>
          <w:cantSplit/>
        </w:trPr>
        <w:tc>
          <w:tcPr>
            <w:tcW w:w="6449" w:type="dxa"/>
            <w:gridSpan w:val="4"/>
          </w:tcPr>
          <w:p w:rsidR="001F14AF" w:rsidRPr="009D719B" w:rsidRDefault="001F14AF">
            <w:pPr>
              <w:spacing w:before="240"/>
            </w:pPr>
          </w:p>
        </w:tc>
      </w:tr>
      <w:tr w:rsidR="00000000" w:rsidRPr="009D719B">
        <w:tblPrEx>
          <w:tblCellMar>
            <w:top w:w="0" w:type="dxa"/>
            <w:bottom w:w="0" w:type="dxa"/>
          </w:tblCellMar>
        </w:tblPrEx>
        <w:trPr>
          <w:gridAfter w:val="1"/>
          <w:wAfter w:w="851" w:type="dxa"/>
          <w:cantSplit/>
          <w:trHeight w:val="6000"/>
        </w:trPr>
        <w:tc>
          <w:tcPr>
            <w:tcW w:w="6449" w:type="dxa"/>
            <w:gridSpan w:val="4"/>
          </w:tcPr>
          <w:p w:rsidR="001F14AF" w:rsidRPr="009D719B" w:rsidRDefault="001F14AF">
            <w:pPr>
              <w:pStyle w:val="RubrikFrstaSida"/>
              <w:ind w:left="0" w:firstLine="0"/>
            </w:pPr>
            <w:r w:rsidRPr="009D719B">
              <w:t>Giv akt på lönebildningen</w:t>
            </w:r>
            <w:r w:rsidRPr="009D719B">
              <w:br/>
              <w:t>– arbetsgivarpolitiken inom Försvarsmakten</w:t>
            </w:r>
          </w:p>
        </w:tc>
      </w:tr>
      <w:tr w:rsidR="00000000" w:rsidRPr="009D719B">
        <w:tblPrEx>
          <w:tblCellMar>
            <w:top w:w="0" w:type="dxa"/>
            <w:bottom w:w="0" w:type="dxa"/>
          </w:tblCellMar>
        </w:tblPrEx>
        <w:trPr>
          <w:cantSplit/>
          <w:trHeight w:val="480"/>
        </w:trPr>
        <w:tc>
          <w:tcPr>
            <w:tcW w:w="7300" w:type="dxa"/>
            <w:gridSpan w:val="5"/>
          </w:tcPr>
          <w:p w:rsidR="001F14AF" w:rsidRPr="009D719B" w:rsidRDefault="001F14AF">
            <w:pPr>
              <w:pStyle w:val="Sidfot"/>
              <w:spacing w:before="1560" w:line="240" w:lineRule="auto"/>
              <w:jc w:val="left"/>
              <w:rPr>
                <w:rFonts w:ascii="GillSans Light" w:hAnsi="GillSans Light"/>
                <w:caps/>
                <w:spacing w:val="10"/>
                <w:sz w:val="17"/>
              </w:rPr>
            </w:pPr>
            <w:r w:rsidRPr="009D719B">
              <w:rPr>
                <w:rFonts w:ascii="GillSans Light" w:hAnsi="GillSans Light"/>
                <w:caps/>
                <w:spacing w:val="10"/>
                <w:sz w:val="17"/>
              </w:rPr>
              <w:t>Riksdagens revisorer · 100 12 STOCKHOLM · TEL 08-786 40 00 · fax 08-786 61 88</w:t>
            </w:r>
          </w:p>
          <w:p w:rsidR="001F14AF" w:rsidRPr="009D719B" w:rsidRDefault="001F14AF">
            <w:pPr>
              <w:spacing w:before="0" w:line="240" w:lineRule="auto"/>
              <w:rPr>
                <w:rFonts w:ascii="GillSans Light" w:hAnsi="GillSans Light"/>
                <w:spacing w:val="10"/>
              </w:rPr>
            </w:pPr>
            <w:r w:rsidRPr="009D719B">
              <w:t>www.riksdagen.se/rr</w:t>
            </w:r>
          </w:p>
        </w:tc>
      </w:tr>
    </w:tbl>
    <w:p w:rsidR="001F14AF" w:rsidRPr="009D719B" w:rsidRDefault="001F14AF"/>
    <w:p w:rsidR="001F14AF" w:rsidRPr="009D719B" w:rsidRDefault="001F14AF">
      <w:pPr>
        <w:pStyle w:val="Rubrik1-Utannumrering"/>
      </w:pPr>
      <w:r w:rsidRPr="009D719B">
        <w:br w:type="page"/>
      </w:r>
      <w:bookmarkStart w:id="10" w:name="_Toc38103334"/>
      <w:r w:rsidRPr="009D719B">
        <w:lastRenderedPageBreak/>
        <w:t>Förord</w:t>
      </w:r>
      <w:bookmarkEnd w:id="10"/>
    </w:p>
    <w:p w:rsidR="001F14AF" w:rsidRPr="009D719B" w:rsidRDefault="001F14AF">
      <w:r w:rsidRPr="009D719B">
        <w:t>Riksdagens revisorer har på förslag från försvarsutskottet granskat arbetsg</w:t>
      </w:r>
      <w:r w:rsidRPr="009D719B">
        <w:t>i</w:t>
      </w:r>
      <w:r w:rsidRPr="009D719B">
        <w:t xml:space="preserve">varpolitiken inom Försvarsmakten, med särskilt avseende på lönebildningen. Granskningen har föregåtts av en förstudie, </w:t>
      </w:r>
      <w:r w:rsidRPr="009D719B">
        <w:rPr>
          <w:i/>
        </w:rPr>
        <w:t>Arbetsgivarpolitiken inom Fö</w:t>
      </w:r>
      <w:r w:rsidRPr="009D719B">
        <w:rPr>
          <w:i/>
        </w:rPr>
        <w:t>r</w:t>
      </w:r>
      <w:r w:rsidRPr="009D719B">
        <w:rPr>
          <w:i/>
        </w:rPr>
        <w:t>svarsmakten</w:t>
      </w:r>
      <w:r w:rsidRPr="009D719B">
        <w:t xml:space="preserve"> (förstudie 2001/02:20) som revisorerna beslutade om i maj 2002.</w:t>
      </w:r>
    </w:p>
    <w:p w:rsidR="001F14AF" w:rsidRPr="009D719B" w:rsidRDefault="001F14AF">
      <w:pPr>
        <w:pStyle w:val="Normaltindrag"/>
      </w:pPr>
      <w:r w:rsidRPr="009D719B">
        <w:t>Underlaget till denna granskning har, förutom dokumentstudier, bestått av intervjuer med företrädare för Försvarsmakten, centralt och regionalt, de fackliga organisationerna inom Försvarsmaktens område samt företrädare för Regeringskansliet.</w:t>
      </w:r>
    </w:p>
    <w:p w:rsidR="001F14AF" w:rsidRPr="009D719B" w:rsidRDefault="001F14AF">
      <w:pPr>
        <w:pStyle w:val="Normaltindrag"/>
      </w:pPr>
      <w:r w:rsidRPr="009D719B">
        <w:t>Granskningen har bedrivits inom revisorernas andra avdelning. I avde</w:t>
      </w:r>
      <w:r w:rsidRPr="009D719B">
        <w:t>l</w:t>
      </w:r>
      <w:r w:rsidRPr="009D719B">
        <w:t>ningen ingår följande ledamöter och suppleanter: ordförande Per Rosengren (v), vice ordförande Bengt Silfverstrand (s), Hans Stenberg (s), Margit Gen</w:t>
      </w:r>
      <w:r w:rsidRPr="009D719B">
        <w:t>n</w:t>
      </w:r>
      <w:r w:rsidRPr="009D719B">
        <w:t xml:space="preserve">ser (m), Nils-Göran Holmqvist (s), Ulla Wester (s), Nina Lundström (fp) och Lennart Hedquist (m). </w:t>
      </w:r>
    </w:p>
    <w:p w:rsidR="001F14AF" w:rsidRPr="009D719B" w:rsidRDefault="001F14AF">
      <w:pPr>
        <w:pStyle w:val="Normaltindrag"/>
      </w:pPr>
      <w:r w:rsidRPr="009D719B">
        <w:rPr>
          <w:spacing w:val="-2"/>
        </w:rPr>
        <w:t>Inom Riksdagens revisorers kansli har avdelningsdirektör Anders Widholm</w:t>
      </w:r>
      <w:r w:rsidRPr="009D719B">
        <w:t xml:space="preserve"> ansvarat för granskningen. Även utredningschef Karin Rudberg och kansl</w:t>
      </w:r>
      <w:r w:rsidRPr="009D719B">
        <w:t>i</w:t>
      </w:r>
      <w:r w:rsidRPr="009D719B">
        <w:t>chef Åke Dahlberg har deltagit i a</w:t>
      </w:r>
      <w:r w:rsidRPr="009D719B">
        <w:t>r</w:t>
      </w:r>
      <w:r w:rsidRPr="009D719B">
        <w:t>betet.</w:t>
      </w:r>
    </w:p>
    <w:p w:rsidR="001F14AF" w:rsidRPr="009D719B" w:rsidRDefault="001F14AF">
      <w:r w:rsidRPr="009D719B">
        <w:t>Denna rapport är beslutad av revisorerna i plenum den 6 februari 2003. Ra</w:t>
      </w:r>
      <w:r w:rsidRPr="009D719B">
        <w:t>p</w:t>
      </w:r>
      <w:r w:rsidRPr="009D719B">
        <w:t>porten sänds på remiss. Revisorerna har sedan för avsikt att överlämna en samlad bedömning till riksdagen under våren 2003.</w:t>
      </w:r>
    </w:p>
    <w:p w:rsidR="001F14AF" w:rsidRPr="009D719B" w:rsidRDefault="001F14AF">
      <w:pPr>
        <w:pStyle w:val="Normaltindrag"/>
      </w:pPr>
    </w:p>
    <w:p w:rsidR="001F14AF" w:rsidRPr="009D719B" w:rsidRDefault="001F14AF">
      <w:pPr>
        <w:pStyle w:val="Rubrik1-Utannumrering"/>
      </w:pPr>
      <w:bookmarkStart w:id="11" w:name="_Toc38103335"/>
      <w:r w:rsidRPr="009D719B">
        <w:br w:type="page"/>
      </w:r>
      <w:r w:rsidRPr="009D719B">
        <w:lastRenderedPageBreak/>
        <w:t>Sammanfattning</w:t>
      </w:r>
      <w:bookmarkEnd w:id="11"/>
    </w:p>
    <w:p w:rsidR="001F14AF" w:rsidRPr="009D719B" w:rsidRDefault="001F14AF">
      <w:r w:rsidRPr="009D719B">
        <w:t>Riksdagens revisorer har efter ett förslag från försvarsutskottet granskat arbetsgivarpolitiken inom Försvarsmakten. I begreppet arbetsgivarpolitik finns flera komponenter, bl.a. rekryterings-, arbetstids- och arbetsmiljöfr</w:t>
      </w:r>
      <w:r w:rsidRPr="009D719B">
        <w:t>å</w:t>
      </w:r>
      <w:r w:rsidRPr="009D719B">
        <w:t>gor. Riksdagens revisorer har valt att koncentrera sin granskning av arbetsg</w:t>
      </w:r>
      <w:r w:rsidRPr="009D719B">
        <w:t>i</w:t>
      </w:r>
      <w:r w:rsidRPr="009D719B">
        <w:t>varpolitiken inom Försvarsmakten till lönebildningen. Med lönebildning avses här de processer och det agerande som leder fram till att lön bestäms för en arbetstagare. Utfallet av lönebildningen är lönesättningen, dvs. lönen för den individuella arbetst</w:t>
      </w:r>
      <w:r w:rsidRPr="009D719B">
        <w:t>a</w:t>
      </w:r>
      <w:r w:rsidRPr="009D719B">
        <w:t>garen.</w:t>
      </w:r>
    </w:p>
    <w:p w:rsidR="001F14AF" w:rsidRPr="009D719B" w:rsidRDefault="001F14AF">
      <w:pPr>
        <w:pStyle w:val="Normaltindrag"/>
      </w:pPr>
      <w:r w:rsidRPr="009D719B">
        <w:t>Lönebildningen är en myndighets viktigaste arbetsgivarpolitiska instr</w:t>
      </w:r>
      <w:r w:rsidRPr="009D719B">
        <w:t>u</w:t>
      </w:r>
      <w:r w:rsidRPr="009D719B">
        <w:t>ment. Myndighetens lönebildning påverkar inte bara den egna verksamheten, utan har dessutom verkningar för samhäll</w:t>
      </w:r>
      <w:r w:rsidRPr="009D719B">
        <w:t>s</w:t>
      </w:r>
      <w:r w:rsidRPr="009D719B">
        <w:t>ekonomin i stort.</w:t>
      </w:r>
    </w:p>
    <w:p w:rsidR="001F14AF" w:rsidRPr="009D719B" w:rsidRDefault="001F14AF">
      <w:pPr>
        <w:pStyle w:val="Normaltindrag"/>
      </w:pPr>
      <w:r w:rsidRPr="009D719B">
        <w:t>Granskningen av lönebildningen inom Försvarsmakten bygger i huvudsak på en statistisk undersökning av lönerna inom Försvarsmakten, intervjuer med företrädare för Försvarsmakten centralt, arbetstagarorganisationerna och Regeringskansliet samt besök vid ett antal förband.</w:t>
      </w:r>
    </w:p>
    <w:p w:rsidR="001F14AF" w:rsidRPr="009D719B" w:rsidRDefault="001F14AF">
      <w:pPr>
        <w:pStyle w:val="Rubrik3-Utannumrering"/>
      </w:pPr>
      <w:r w:rsidRPr="009D719B">
        <w:t>Arbetsgivarpolitik i staten</w:t>
      </w:r>
    </w:p>
    <w:p w:rsidR="001F14AF" w:rsidRPr="009D719B" w:rsidRDefault="001F14AF">
      <w:r w:rsidRPr="009D719B">
        <w:t>Riksdag, regering och myndigheter har olika roller när det gäller arbetsgiva</w:t>
      </w:r>
      <w:r w:rsidRPr="009D719B">
        <w:t>r</w:t>
      </w:r>
      <w:r w:rsidRPr="009D719B">
        <w:t>politiken i staten. Riksdagens ansvar ligger i besluten om myndigheternas ekonomiska ramar samt stiftandet av arbetsrättsliga lagar. Regeringens roll består av att utnämna myndighetschefer samt att ställa krav på och följa upp myndigheternas arbetsgivarpolitik. Ansvaret för arbetsgivarpolitiken i staten vilar på regeringen, som dock har delegerat detta ansvar till myndighetsch</w:t>
      </w:r>
      <w:r w:rsidRPr="009D719B">
        <w:t>e</w:t>
      </w:r>
      <w:r w:rsidRPr="009D719B">
        <w:t>ferna.</w:t>
      </w:r>
    </w:p>
    <w:p w:rsidR="001F14AF" w:rsidRPr="009D719B" w:rsidRDefault="001F14AF">
      <w:pPr>
        <w:pStyle w:val="Normaltindrag"/>
      </w:pPr>
      <w:r w:rsidRPr="009D719B">
        <w:t>Rätten att sluta kollektivavtal på det statliga området är dock genom r</w:t>
      </w:r>
      <w:r w:rsidRPr="009D719B">
        <w:t>e</w:t>
      </w:r>
      <w:r w:rsidRPr="009D719B">
        <w:t>geringens delegation förbehållen Arbetsgivarverket. Verket ska fungera som en medlemsorganisation för de statliga arbetsgivarna och ska samordna den arbetsgivarpolitik som bedrivs inom de statliga myndigheterna.</w:t>
      </w:r>
    </w:p>
    <w:p w:rsidR="001F14AF" w:rsidRPr="009D719B" w:rsidRDefault="001F14AF">
      <w:pPr>
        <w:pStyle w:val="Normaltindrag"/>
      </w:pPr>
      <w:r w:rsidRPr="009D719B">
        <w:t>Genom kollektivavtalen ger Arbetsgivarverket myndigheterna rätten att sluta egna, lokala, kollektivavtal. Arbetsgivarpolitiken i staten bedrivs därför framför allt vid de olika myndigheterna.</w:t>
      </w:r>
    </w:p>
    <w:p w:rsidR="001F14AF" w:rsidRPr="009D719B" w:rsidRDefault="001F14AF">
      <w:pPr>
        <w:pStyle w:val="Rubrik3-Utannumrering"/>
      </w:pPr>
      <w:r w:rsidRPr="009D719B">
        <w:t>Lönebildningen inom Försvarsmakten</w:t>
      </w:r>
    </w:p>
    <w:p w:rsidR="001F14AF" w:rsidRPr="009D719B" w:rsidRDefault="001F14AF">
      <w:r w:rsidRPr="009D719B">
        <w:t>Försvarsmakten består av två delar: en insatsorganisation och en grundorg</w:t>
      </w:r>
      <w:r w:rsidRPr="009D719B">
        <w:t>a</w:t>
      </w:r>
      <w:r w:rsidRPr="009D719B">
        <w:t>nisation. Insatsorganisationen består av de staber och krigsförband som Fö</w:t>
      </w:r>
      <w:r w:rsidRPr="009D719B">
        <w:t>r</w:t>
      </w:r>
      <w:r w:rsidRPr="009D719B">
        <w:t xml:space="preserve">svarsmakten använder eller kan sätta upp för insatser enligt de fyra huvudmål som riksdagen beslutat om. </w:t>
      </w:r>
    </w:p>
    <w:p w:rsidR="001F14AF" w:rsidRPr="009D719B" w:rsidRDefault="001F14AF">
      <w:pPr>
        <w:pStyle w:val="Normaltindrag"/>
      </w:pPr>
      <w:r w:rsidRPr="009D719B">
        <w:t>Grundorganisationen är den mera synliga delen av Försvarsmakten och är den organisation som producerar de krigsförband som används i insatsorg</w:t>
      </w:r>
      <w:r w:rsidRPr="009D719B">
        <w:t>a</w:t>
      </w:r>
      <w:r w:rsidRPr="009D719B">
        <w:t xml:space="preserve">nisationen. Organisationen består av 65 olika organisationsenheter (förband, skolor och centrum) runt om i landet. </w:t>
      </w:r>
    </w:p>
    <w:p w:rsidR="001F14AF" w:rsidRPr="009D719B" w:rsidRDefault="001F14AF">
      <w:pPr>
        <w:pStyle w:val="Normaltindrag"/>
      </w:pPr>
      <w:r w:rsidRPr="009D719B">
        <w:t>Myndighetens chef är överbefälhavaren (ÖB) som styr Försvarsmakten genom den centrala ledningsorganisationen Hö</w:t>
      </w:r>
      <w:r w:rsidRPr="009D719B">
        <w:t>g</w:t>
      </w:r>
      <w:r w:rsidRPr="009D719B">
        <w:t>kvarteret.</w:t>
      </w:r>
    </w:p>
    <w:p w:rsidR="001F14AF" w:rsidRPr="009D719B" w:rsidRDefault="001F14AF">
      <w:pPr>
        <w:pStyle w:val="Normaltindrag"/>
      </w:pPr>
      <w:r w:rsidRPr="009D719B">
        <w:lastRenderedPageBreak/>
        <w:t>Arbetsgivaransvaret inom Försvarsmakten är i viss utsträckning delegerat till cheferna för de olika organisationsenheterna. En förbandschef beslutar således, med vissa undantag, om löner för de yrkesofficerare och civila</w:t>
      </w:r>
      <w:r w:rsidRPr="009D719B">
        <w:t>n</w:t>
      </w:r>
      <w:r w:rsidRPr="009D719B">
        <w:t>ställda som finns vid förbandet. Arbetsgivaransvaret inskränks dock av fö</w:t>
      </w:r>
      <w:r w:rsidRPr="009D719B">
        <w:t>r</w:t>
      </w:r>
      <w:r w:rsidRPr="009D719B">
        <w:t>bandets ekonomiska ramar samt regler och avtal som Högkvarteret beslutat om. Högkvarteret ska också följa upp hur lönebildningen och arbetsgivarp</w:t>
      </w:r>
      <w:r w:rsidRPr="009D719B">
        <w:t>o</w:t>
      </w:r>
      <w:r w:rsidRPr="009D719B">
        <w:t xml:space="preserve">litiken bedrivs vid förbanden. Överbefälhavaren har, i sin roll som chef för en enrådighetsmyndighet, ansvaret inför regeringen för arbetsgivarpolitiken inom Försvarsmakten. </w:t>
      </w:r>
    </w:p>
    <w:p w:rsidR="001F14AF" w:rsidRPr="009D719B" w:rsidRDefault="001F14AF">
      <w:pPr>
        <w:pStyle w:val="Rubrik3-Utannumrering"/>
      </w:pPr>
      <w:bookmarkStart w:id="12" w:name="_Toc38080762"/>
      <w:r w:rsidRPr="009D719B">
        <w:t>Löneutvecklingen inom Försvarsmakten</w:t>
      </w:r>
      <w:bookmarkEnd w:id="12"/>
    </w:p>
    <w:p w:rsidR="001F14AF" w:rsidRPr="009D719B" w:rsidRDefault="001F14AF">
      <w:r w:rsidRPr="009D719B">
        <w:t>Lönenivån inom Försvarsmakten är hög jämfört med den statliga sektorn i övrigt, i synnerhet med tanke på att de anställda har fått sin utbildning betald av staten och alltså börjar sitt arbetsliv utan studieskulder. Försvarsmaktens personalkostnader har heller inte minskat under perioden 1996–2001, då Försvarsmakten, mätt i antalet anställda, minskat med en fjärdedel. Riksrev</w:t>
      </w:r>
      <w:r w:rsidRPr="009D719B">
        <w:t>i</w:t>
      </w:r>
      <w:r w:rsidRPr="009D719B">
        <w:t>sionsverket (RRV) har i tidigare utredningar kritiserat Försvarsmaktens relativt kostsamma avtal, bl.a. med avseende på den stora förekomsten av lönetillägg för yrkesofficerare. Revisorerna kan i denna granskning konstat</w:t>
      </w:r>
      <w:r w:rsidRPr="009D719B">
        <w:t>e</w:t>
      </w:r>
      <w:r w:rsidRPr="009D719B">
        <w:t>ra att lönerna inom Försvarsmakten ökade kraftigt i samband med omstrukt</w:t>
      </w:r>
      <w:r w:rsidRPr="009D719B">
        <w:t>u</w:t>
      </w:r>
      <w:r w:rsidRPr="009D719B">
        <w:t>r</w:t>
      </w:r>
      <w:r w:rsidRPr="009D719B">
        <w:t>e</w:t>
      </w:r>
      <w:r w:rsidRPr="009D719B">
        <w:t>ringen av försvaret under år 2000.</w:t>
      </w:r>
    </w:p>
    <w:p w:rsidR="001F14AF" w:rsidRPr="009D719B" w:rsidRDefault="001F14AF">
      <w:pPr>
        <w:pStyle w:val="Normaltindrag"/>
      </w:pPr>
      <w:r w:rsidRPr="009D719B">
        <w:t>Syftet med revisorernas granskning har inte varit att uttala sig om huruvida officerare har för hög lön eller inte. Revisorerna har i stället undersökt om lönebildningen använts so</w:t>
      </w:r>
      <w:r w:rsidRPr="009D719B">
        <w:t>m ett effektivt arbetsgivarpolitiskt instrument inom Försvarsmakten. Under granskningen har revisorerna funnit brister i styrning och uppföljning som leder till att lönebildningen inte kan fungera som ett arbetsgivarpolitiskt instrument inom myndigheten. Förbandscheferna kan i mycket begränsad omfattning rikta löneökningar mot anställda eller yrke</w:t>
      </w:r>
      <w:r w:rsidRPr="009D719B">
        <w:t>s</w:t>
      </w:r>
      <w:r w:rsidRPr="009D719B">
        <w:t>grupper som förbandschefen önskar premiera eller behålla. Mot denna ba</w:t>
      </w:r>
      <w:r w:rsidRPr="009D719B">
        <w:t>k</w:t>
      </w:r>
      <w:r w:rsidRPr="009D719B">
        <w:t>grund finns det anledning att ifrågasätta om Försvarsmaktens löne- och pe</w:t>
      </w:r>
      <w:r w:rsidRPr="009D719B">
        <w:t>r</w:t>
      </w:r>
      <w:r w:rsidRPr="009D719B">
        <w:t>sonalkostnader är</w:t>
      </w:r>
      <w:r w:rsidRPr="009D719B">
        <w:t xml:space="preserve"> motiv</w:t>
      </w:r>
      <w:r w:rsidRPr="009D719B">
        <w:t>e</w:t>
      </w:r>
      <w:r w:rsidRPr="009D719B">
        <w:t xml:space="preserve">rade utifrån verksamhetens krav. </w:t>
      </w:r>
    </w:p>
    <w:p w:rsidR="001F14AF" w:rsidRPr="009D719B" w:rsidRDefault="001F14AF">
      <w:pPr>
        <w:pStyle w:val="Rubrik3-Utannumrering"/>
      </w:pPr>
      <w:r w:rsidRPr="009D719B">
        <w:t>Revisorernas överväganden</w:t>
      </w:r>
    </w:p>
    <w:p w:rsidR="001F14AF" w:rsidRPr="009D719B" w:rsidRDefault="001F14AF">
      <w:r w:rsidRPr="009D719B">
        <w:t>En myndighets roll som arbetsgivare kan stärkas på tre olika nivåer: genom att påverka attityder, genom myndighetens organisation samt genom my</w:t>
      </w:r>
      <w:r w:rsidRPr="009D719B">
        <w:t>n</w:t>
      </w:r>
      <w:r w:rsidRPr="009D719B">
        <w:t>dighetens styrning och uppföljning av arbetsg</w:t>
      </w:r>
      <w:r w:rsidRPr="009D719B">
        <w:t>i</w:t>
      </w:r>
      <w:r w:rsidRPr="009D719B">
        <w:t>varpolitiken.</w:t>
      </w:r>
    </w:p>
    <w:p w:rsidR="001F14AF" w:rsidRPr="009D719B" w:rsidRDefault="001F14AF">
      <w:pPr>
        <w:pStyle w:val="Normaltindrag"/>
      </w:pPr>
      <w:r w:rsidRPr="009D719B">
        <w:t>Attityderna till arbetsgivarfrågor inom Försvarsmakten försvårar myndi</w:t>
      </w:r>
      <w:r w:rsidRPr="009D719B">
        <w:t>g</w:t>
      </w:r>
      <w:r w:rsidRPr="009D719B">
        <w:t>hetens möjligheter att bedriva en verksamhetsanpassad arbetsgivarpolitik. Granskningen visar att förbandschefen i stor utsträckning står ensam i lön</w:t>
      </w:r>
      <w:r w:rsidRPr="009D719B">
        <w:t>e</w:t>
      </w:r>
      <w:r w:rsidRPr="009D719B">
        <w:t>bildningen, medan motparten på förbandsnivå är väl organiserad. I och med Officersförbundets starka ställning och den kompetensbrist som råder har förbandschefen svaga incitament att driva arbetsgivarens linje i förhandlin</w:t>
      </w:r>
      <w:r w:rsidRPr="009D719B">
        <w:t>g</w:t>
      </w:r>
      <w:r w:rsidRPr="009D719B">
        <w:t>ar, men starka incitament att gå arbetstagarorganisationerna till mötes. Detta gör att åtgärder från Högkvarteret som stärker eller försvag</w:t>
      </w:r>
      <w:r w:rsidRPr="009D719B">
        <w:t>ar förbandsch</w:t>
      </w:r>
      <w:r w:rsidRPr="009D719B">
        <w:t>e</w:t>
      </w:r>
      <w:r w:rsidRPr="009D719B">
        <w:t>fens roll som arbetsgivare får mycket stora kons</w:t>
      </w:r>
      <w:r w:rsidRPr="009D719B">
        <w:t>e</w:t>
      </w:r>
      <w:r w:rsidRPr="009D719B">
        <w:t>kvenser.</w:t>
      </w:r>
    </w:p>
    <w:p w:rsidR="001F14AF" w:rsidRPr="009D719B" w:rsidRDefault="001F14AF">
      <w:pPr>
        <w:pStyle w:val="Normaltindrag"/>
      </w:pPr>
      <w:r w:rsidRPr="009D719B">
        <w:lastRenderedPageBreak/>
        <w:t>Högkvarterets organisation är splittrad. Arbetsgivarfrågorna hanteras inom olika avdelningar av Högkvarteret. Detta resulterar i att ansvaret för styrning och uppföljning är oklart. Exempelvis har uppföljningen av förbandens lön</w:t>
      </w:r>
      <w:r w:rsidRPr="009D719B">
        <w:t>e</w:t>
      </w:r>
      <w:r w:rsidRPr="009D719B">
        <w:t>kostnader fallit mellan två stolar. Förbandens lönekostnader är därför i mycket begränsad utsträckning föremål för uppföljning. Splittringen i Hö</w:t>
      </w:r>
      <w:r w:rsidRPr="009D719B">
        <w:t>g</w:t>
      </w:r>
      <w:r w:rsidRPr="009D719B">
        <w:t>kvarterets organisation leder också till att förbanden får oklara och ibland motstridiga styrsignaler vad gäller arbetsg</w:t>
      </w:r>
      <w:r w:rsidRPr="009D719B">
        <w:t>i</w:t>
      </w:r>
      <w:r w:rsidRPr="009D719B">
        <w:t xml:space="preserve">varpolitiken. </w:t>
      </w:r>
    </w:p>
    <w:p w:rsidR="001F14AF" w:rsidRPr="009D719B" w:rsidRDefault="001F14AF">
      <w:pPr>
        <w:pStyle w:val="Normaltindrag"/>
      </w:pPr>
      <w:r w:rsidRPr="009D719B">
        <w:t>Försvarsmaktens styrning av arbetsgivarpolitiken blir lidande av den org</w:t>
      </w:r>
      <w:r w:rsidRPr="009D719B">
        <w:t>a</w:t>
      </w:r>
      <w:r w:rsidRPr="009D719B">
        <w:t>nisatoriska splittringen. Dessutom har Högkvarteret underlåtit att utnyttja de möjligheter till styrning som finns av fra</w:t>
      </w:r>
      <w:r w:rsidRPr="009D719B">
        <w:t>m</w:t>
      </w:r>
      <w:r w:rsidRPr="009D719B">
        <w:t xml:space="preserve">för allt kompetensförsörjningen. </w:t>
      </w:r>
    </w:p>
    <w:p w:rsidR="001F14AF" w:rsidRPr="009D719B" w:rsidRDefault="001F14AF">
      <w:pPr>
        <w:pStyle w:val="Normaltindrag"/>
      </w:pPr>
      <w:r w:rsidRPr="009D719B">
        <w:t>Uppföljningen av arbetsgivarpolitiken är en av myndighetsledningens a</w:t>
      </w:r>
      <w:r w:rsidRPr="009D719B">
        <w:t>b</w:t>
      </w:r>
      <w:r w:rsidRPr="009D719B">
        <w:t>solut viktigaste instrument för att styra arbetsgivarpolitiken. Trots att föru</w:t>
      </w:r>
      <w:r w:rsidRPr="009D719B">
        <w:t>t</w:t>
      </w:r>
      <w:r w:rsidRPr="009D719B">
        <w:t>sättningarna har förbättrats är Försvarsmaktens uppföljning av lönebildnin</w:t>
      </w:r>
      <w:r w:rsidRPr="009D719B">
        <w:t>g</w:t>
      </w:r>
      <w:r w:rsidRPr="009D719B">
        <w:t>en fortfarande både splittrad och otillräcklig.</w:t>
      </w:r>
    </w:p>
    <w:p w:rsidR="001F14AF" w:rsidRPr="009D719B" w:rsidRDefault="001F14AF">
      <w:pPr>
        <w:pStyle w:val="Normaltindrag"/>
      </w:pPr>
      <w:r w:rsidRPr="009D719B">
        <w:t xml:space="preserve">Regeringen har också brustit i sitt ansvar för att ställa krav på och följa upp Försvarsmaktens arbetsgivarpolitik. </w:t>
      </w:r>
    </w:p>
    <w:p w:rsidR="001F14AF" w:rsidRPr="009D719B" w:rsidRDefault="001F14AF">
      <w:pPr>
        <w:pStyle w:val="Rubrik3-Utannumrering"/>
      </w:pPr>
      <w:r w:rsidRPr="009D719B">
        <w:t>Revisorernas förslag</w:t>
      </w:r>
    </w:p>
    <w:p w:rsidR="001F14AF" w:rsidRPr="009D719B" w:rsidRDefault="001F14AF">
      <w:pPr>
        <w:numPr>
          <w:ilvl w:val="0"/>
          <w:numId w:val="47"/>
        </w:numPr>
      </w:pPr>
      <w:r w:rsidRPr="009D719B">
        <w:t>Regeringen bör ge Försvarsmakten i uppdrag att se över hur ansvaret för lönebildningen inom myndigheten kan tydligg</w:t>
      </w:r>
      <w:r w:rsidRPr="009D719B">
        <w:t>ö</w:t>
      </w:r>
      <w:r w:rsidRPr="009D719B">
        <w:t xml:space="preserve">ras. </w:t>
      </w:r>
    </w:p>
    <w:p w:rsidR="001F14AF" w:rsidRPr="009D719B" w:rsidRDefault="001F14AF">
      <w:pPr>
        <w:numPr>
          <w:ilvl w:val="0"/>
          <w:numId w:val="47"/>
        </w:numPr>
      </w:pPr>
      <w:r w:rsidRPr="009D719B">
        <w:t>Revisorerna anser att Försvarsmakten i större utsträckning bör styra kompetensförsörjningen. Vidare bör Försvarsmakten och regeringen noga följa Försvarsmaktens höga personalkostnader, framför allt med tanke på avvecklingskostnaderna för yrkesofficerarna samt de avskaff</w:t>
      </w:r>
      <w:r w:rsidRPr="009D719B">
        <w:t>a</w:t>
      </w:r>
      <w:r w:rsidRPr="009D719B">
        <w:t>de lönetilläggen.</w:t>
      </w:r>
    </w:p>
    <w:p w:rsidR="001F14AF" w:rsidRPr="009D719B" w:rsidRDefault="001F14AF">
      <w:pPr>
        <w:numPr>
          <w:ilvl w:val="0"/>
          <w:numId w:val="47"/>
        </w:numPr>
      </w:pPr>
      <w:r w:rsidRPr="009D719B">
        <w:t xml:space="preserve">Regeringen bör ge Försvarsmakten i uppdrag att utveckla uppföljningen av arbetsgivarpolitiken. Uppföljningsfunktionen inom myndigheten bör ha tillräckligt med resurser samt ha en stark och tydlig ställning inom organisationen. </w:t>
      </w:r>
    </w:p>
    <w:p w:rsidR="001F14AF" w:rsidRPr="009D719B" w:rsidRDefault="001F14AF">
      <w:pPr>
        <w:numPr>
          <w:ilvl w:val="0"/>
          <w:numId w:val="50"/>
        </w:numPr>
      </w:pPr>
      <w:r w:rsidRPr="009D719B">
        <w:t xml:space="preserve">Regeringen </w:t>
      </w:r>
      <w:r w:rsidRPr="009D719B">
        <w:rPr>
          <w:spacing w:val="-4"/>
        </w:rPr>
        <w:t>bör</w:t>
      </w:r>
      <w:r w:rsidRPr="009D719B">
        <w:t xml:space="preserve"> agera </w:t>
      </w:r>
      <w:r w:rsidRPr="009D719B">
        <w:rPr>
          <w:spacing w:val="-4"/>
        </w:rPr>
        <w:t>utifrån tidigare</w:t>
      </w:r>
      <w:r w:rsidRPr="009D719B">
        <w:t xml:space="preserve"> </w:t>
      </w:r>
      <w:r w:rsidRPr="009D719B">
        <w:rPr>
          <w:spacing w:val="-4"/>
        </w:rPr>
        <w:t>förslag från revisorerna</w:t>
      </w:r>
      <w:r w:rsidRPr="009D719B">
        <w:t xml:space="preserve"> </w:t>
      </w:r>
      <w:r w:rsidRPr="009D719B">
        <w:rPr>
          <w:spacing w:val="-4"/>
        </w:rPr>
        <w:t>(2002/03:RR2)</w:t>
      </w:r>
      <w:r w:rsidRPr="009D719B">
        <w:t xml:space="preserve"> och Arbetsgivarpolitikutredningen (SOU 2002:32) om fördjupad uppföljning av arbetsgivarpolitiken vid myndigheterna. Des</w:t>
      </w:r>
      <w:r w:rsidRPr="009D719B">
        <w:t>s</w:t>
      </w:r>
      <w:r w:rsidRPr="009D719B">
        <w:t>utom bör departementen tillföras tillräcklig kompetens för att kunna hantera den information som uppföljningen kan g</w:t>
      </w:r>
      <w:r w:rsidRPr="009D719B">
        <w:t>e</w:t>
      </w:r>
      <w:r w:rsidRPr="009D719B">
        <w:t>nerera.</w:t>
      </w:r>
    </w:p>
    <w:p w:rsidR="001F14AF" w:rsidRPr="009D719B" w:rsidRDefault="001F14AF">
      <w:pPr>
        <w:pStyle w:val="Normaltindrag"/>
      </w:pPr>
    </w:p>
    <w:p w:rsidR="001F14AF" w:rsidRPr="009D719B" w:rsidRDefault="001F14AF">
      <w:pPr>
        <w:pStyle w:val="Rubrik1"/>
        <w:numPr>
          <w:ilvl w:val="0"/>
          <w:numId w:val="55"/>
        </w:numPr>
      </w:pPr>
      <w:r w:rsidRPr="009D719B">
        <w:br w:type="page"/>
      </w:r>
      <w:bookmarkStart w:id="13" w:name="_Toc32301634"/>
      <w:bookmarkStart w:id="14" w:name="_Toc38080763"/>
      <w:bookmarkStart w:id="15" w:name="_Toc38103336"/>
      <w:r w:rsidRPr="009D719B">
        <w:lastRenderedPageBreak/>
        <w:t>Om granskningen</w:t>
      </w:r>
      <w:bookmarkEnd w:id="13"/>
      <w:bookmarkEnd w:id="14"/>
      <w:bookmarkEnd w:id="15"/>
    </w:p>
    <w:p w:rsidR="001F14AF" w:rsidRPr="009D719B" w:rsidRDefault="001F14AF">
      <w:r w:rsidRPr="009D719B">
        <w:t>Efter ett förslag från försvarsutskottet gjorde Riksdagens revisorer en först</w:t>
      </w:r>
      <w:r w:rsidRPr="009D719B">
        <w:t>u</w:t>
      </w:r>
      <w:r w:rsidRPr="009D719B">
        <w:t>die om arbetsgivarpolitiken inom Försvarsmakten. Där konstaterades att flera tidigare utredningar pekat på att Försvarsmakten är svag i sin roll som a</w:t>
      </w:r>
      <w:r w:rsidRPr="009D719B">
        <w:t>r</w:t>
      </w:r>
      <w:r w:rsidRPr="009D719B">
        <w:t>betsgivare.</w:t>
      </w:r>
      <w:r w:rsidRPr="009D719B">
        <w:rPr>
          <w:rStyle w:val="Fotnotsreferens"/>
        </w:rPr>
        <w:footnoteReference w:id="1"/>
      </w:r>
      <w:r w:rsidRPr="009D719B">
        <w:t xml:space="preserve"> Dessutom hade löneökningarna inom Försvarsmakten år 2000 varit kraftiga jämfört med den statliga sektorn i övrigt. En fråga som fö</w:t>
      </w:r>
      <w:r w:rsidRPr="009D719B">
        <w:t>r</w:t>
      </w:r>
      <w:r w:rsidRPr="009D719B">
        <w:t>svarsutskottet i sitt granskningsförslag särskilt framhöll var hur partsförhå</w:t>
      </w:r>
      <w:r w:rsidRPr="009D719B">
        <w:t>l</w:t>
      </w:r>
      <w:r w:rsidRPr="009D719B">
        <w:t xml:space="preserve">landen och lönebildning förändrats av den delegering av arbetsgivaransvaret som genomförts inom Försvarsmakten under 1990-talet. </w:t>
      </w:r>
    </w:p>
    <w:p w:rsidR="001F14AF" w:rsidRPr="009D719B" w:rsidRDefault="001F14AF">
      <w:pPr>
        <w:pStyle w:val="Normaltindrag"/>
      </w:pPr>
      <w:r w:rsidRPr="009D719B">
        <w:t>Revisorernas förstudie gav flera belägg för att Försvarsmakten verkligen är svag som arbetsgivare och således har svårt att hävda verksamhetsintresset mot andra intressen s</w:t>
      </w:r>
      <w:r w:rsidRPr="009D719B">
        <w:t>åsom krav på generella löneökningar m.m. Någon nä</w:t>
      </w:r>
      <w:r w:rsidRPr="009D719B">
        <w:t>r</w:t>
      </w:r>
      <w:r w:rsidRPr="009D719B">
        <w:t>mare undersökning av orsakerna till denna svaghet i arbetsgivarrollen hade dock inte gjorts. Revisorerna beslutade därför att genomföra en granskning av arbetsgivarpolitiken inom Försvarsmakten, med särskilt avseende på lönebildnin</w:t>
      </w:r>
      <w:r w:rsidRPr="009D719B">
        <w:t>g</w:t>
      </w:r>
      <w:r w:rsidRPr="009D719B">
        <w:t>en.</w:t>
      </w:r>
    </w:p>
    <w:p w:rsidR="001F14AF" w:rsidRPr="009D719B" w:rsidRDefault="001F14AF">
      <w:pPr>
        <w:pStyle w:val="Normaltindrag"/>
      </w:pPr>
      <w:r w:rsidRPr="009D719B">
        <w:t>Det faktum att löneökningen varit kraftig inom Försvarsmakten kan vara ett tecken på att lönebildningen inte fungerar som ett verksamt arbetsgiva</w:t>
      </w:r>
      <w:r w:rsidRPr="009D719B">
        <w:t>r</w:t>
      </w:r>
      <w:r w:rsidRPr="009D719B">
        <w:t>politiskt instrument. Syftet med denna granskning är dock inte att uttala sig om huruvida anställda vid Försvarsmakten har för hög lön. Revisorerna har i stället undersökt hur arbetsgivaransvaret utövas inom Försvarsmakten. Syftet har varit att undersöka om lönebildningen används som ett effektivt arbetsg</w:t>
      </w:r>
      <w:r w:rsidRPr="009D719B">
        <w:t>i</w:t>
      </w:r>
      <w:r w:rsidRPr="009D719B">
        <w:t>varpolitiskt instrument inom myndigheten. Om lönebildningen inte används på rätt sätt finns risken att myndigheten betalar ut onödigt höga löner, men också att man inte förmår att rikta lönesatsningarna m</w:t>
      </w:r>
      <w:r w:rsidRPr="009D719B">
        <w:t>ot de grupper där en löneökning kan göra mest nytta för att behålla viktig kompetens. Resultatet av en bristfällig lönebildning kan således vara både för höga och för låga löner.</w:t>
      </w:r>
    </w:p>
    <w:p w:rsidR="001F14AF" w:rsidRPr="009D719B" w:rsidRDefault="001F14AF">
      <w:pPr>
        <w:pStyle w:val="Rubrik2"/>
      </w:pPr>
      <w:bookmarkStart w:id="16" w:name="_Toc32301635"/>
      <w:bookmarkStart w:id="17" w:name="_Toc38080764"/>
      <w:bookmarkStart w:id="18" w:name="_Toc38103337"/>
      <w:r w:rsidRPr="009D719B">
        <w:t>Arbetsgivarpolitik</w:t>
      </w:r>
      <w:bookmarkEnd w:id="16"/>
      <w:bookmarkEnd w:id="17"/>
      <w:bookmarkEnd w:id="18"/>
    </w:p>
    <w:p w:rsidR="001F14AF" w:rsidRPr="009D719B" w:rsidRDefault="001F14AF">
      <w:r w:rsidRPr="009D719B">
        <w:t>Arbetsgivarpolitik är en sammanfattande benämning på arbetsgivarens ag</w:t>
      </w:r>
      <w:r w:rsidRPr="009D719B">
        <w:t>e</w:t>
      </w:r>
      <w:r w:rsidRPr="009D719B">
        <w:t>rande gentemot sin personal för att uppnå målen med verksamheten. Till de arbetsgivarpolitiska instrumenten hör framför allt lönebildningen, men det är viktigt att poängtera att arbetsgivarpolitiken består av mer än bara lönebil</w:t>
      </w:r>
      <w:r w:rsidRPr="009D719B">
        <w:t>d</w:t>
      </w:r>
      <w:r w:rsidRPr="009D719B">
        <w:t>ningen. Till arbetsgivarpolitiken hör också frågor om exempelvis rekrytering, arbetsmiljö och arbetstid. För att en myndighet ska lyckas med sin arbetsg</w:t>
      </w:r>
      <w:r w:rsidRPr="009D719B">
        <w:t>i</w:t>
      </w:r>
      <w:r w:rsidRPr="009D719B">
        <w:t>varpolitik krävs att myndigheten lyckas anpassa lönebildning, rekrytering, arbetsmiljö och arbetstider m.m. efter verksamhetens k</w:t>
      </w:r>
      <w:r w:rsidRPr="009D719B">
        <w:t>rav. Verksamhetsa</w:t>
      </w:r>
      <w:r w:rsidRPr="009D719B">
        <w:t>n</w:t>
      </w:r>
      <w:r w:rsidRPr="009D719B">
        <w:t xml:space="preserve">passningen av arbetsgivarpolitiken är alltså det centrala i arbetsgivarrollen. </w:t>
      </w:r>
    </w:p>
    <w:p w:rsidR="001F14AF" w:rsidRPr="009D719B" w:rsidRDefault="001F14AF">
      <w:pPr>
        <w:pStyle w:val="Normaltindrag"/>
      </w:pPr>
      <w:r w:rsidRPr="009D719B">
        <w:t xml:space="preserve">I begreppet arbetsgivarpolitik finns många olika komponenter. Riksdagens revisorer har dock valt att koncentrera sin granskning av arbetsgivarpolitiken inom Försvarsmakten till lönebildningen. Begreppet lönebildning används i debatten på flera olika sätt. I denna granskning används lönebildning för att </w:t>
      </w:r>
      <w:r w:rsidRPr="009D719B">
        <w:lastRenderedPageBreak/>
        <w:t xml:space="preserve">beteckna de processer och det agerande som leder fram till att lön bestäms för en arbetstagare. Utfallet av lönebildningen är lönesättningen, dvs. lönen för den individuella arbetstagaren. </w:t>
      </w:r>
    </w:p>
    <w:p w:rsidR="001F14AF" w:rsidRPr="009D719B" w:rsidRDefault="001F14AF">
      <w:pPr>
        <w:pStyle w:val="Rubrik3-Utannumrering"/>
      </w:pPr>
      <w:bookmarkStart w:id="19" w:name="_Toc38080765"/>
      <w:r w:rsidRPr="009D719B">
        <w:t>Varför granska lönebildningen?</w:t>
      </w:r>
      <w:bookmarkEnd w:id="19"/>
    </w:p>
    <w:p w:rsidR="001F14AF" w:rsidRPr="009D719B" w:rsidRDefault="001F14AF">
      <w:r w:rsidRPr="009D719B">
        <w:t>Lönebildningen är en myndighets viktigaste arbetsgivarpolitiska instrument. Myndighetens lönebildning påverkar inte bara den egna verksamheten, utan har dessutom verkningar för samhällsekonomin i stort. Även för en så pass materielintensiv verksamhet som Försvarsmakten utgör löne- och persona</w:t>
      </w:r>
      <w:r w:rsidRPr="009D719B">
        <w:t>l</w:t>
      </w:r>
      <w:r w:rsidRPr="009D719B">
        <w:t>kostnader en betydande del av myndighetens budget. För år 2001 utgjorde personalkostnaderna 35 % (dvs. drygt 12 miljarder kr) av verksamhetens totala kostnader.</w:t>
      </w:r>
    </w:p>
    <w:p w:rsidR="001F14AF" w:rsidRPr="009D719B" w:rsidRDefault="001F14AF">
      <w:pPr>
        <w:pStyle w:val="Normaltindrag"/>
      </w:pPr>
      <w:r w:rsidRPr="009D719B">
        <w:t xml:space="preserve">Lönebildningen är också en myndighets mest tydliga arbetsgivarpolitiska instrument. Genom lönebildningen uppstår konkreta utfall i form av t.ex. löneökningar och avtal som är jämförelsevis lätta att urskilja och granska. </w:t>
      </w:r>
    </w:p>
    <w:p w:rsidR="001F14AF" w:rsidRPr="009D719B" w:rsidRDefault="001F14AF">
      <w:pPr>
        <w:pStyle w:val="Normaltindrag"/>
      </w:pPr>
      <w:r w:rsidRPr="009D719B">
        <w:t>I denna granskning bör man också se lönebildningen som ett uttryck för hur arbetsgivarpolitiken bedrivs inom Försvarsmakten. Genom att granska hur delegeringen fungerar med avseende på lönebildningen vill revisorerna också se hur arbetsgivarpolitiken utövas inom Försvarsmakten i allmänhet. I en granskning av lönebildningen är man också tvungen att ta hänsyn till andra arbetsgivarpolitiska frågor som har betydelse för innehållet i verksa</w:t>
      </w:r>
      <w:r w:rsidRPr="009D719B">
        <w:t>m</w:t>
      </w:r>
      <w:r w:rsidRPr="009D719B">
        <w:t>heten, t.ex. kompetensfö</w:t>
      </w:r>
      <w:r w:rsidRPr="009D719B">
        <w:t>r</w:t>
      </w:r>
      <w:r w:rsidRPr="009D719B">
        <w:t xml:space="preserve">sörjning. </w:t>
      </w:r>
    </w:p>
    <w:p w:rsidR="001F14AF" w:rsidRPr="009D719B" w:rsidRDefault="001F14AF">
      <w:pPr>
        <w:pStyle w:val="Normaltindrag"/>
      </w:pPr>
      <w:r w:rsidRPr="009D719B">
        <w:t>En granskning av arbetsgivarpolitiken och lönebildningen inom Försvar</w:t>
      </w:r>
      <w:r w:rsidRPr="009D719B">
        <w:t>s</w:t>
      </w:r>
      <w:r w:rsidRPr="009D719B">
        <w:t>makten skulle också kunna ses som en fallstudie i en granskning av hur arbetsgivarpolitiken bedrivs i större statliga myndigheter med delegerat arbetsgivaransvar. Revisorerna kommer dock inte att uttala sig om detta i den här granskningen. Det finns också förhållanden inom Försvarsmakten som kan utgöra speciella förutsättningar för arbetsgivarpolitiken. Detta diskuteras i kap</w:t>
      </w:r>
      <w:r w:rsidRPr="009D719B">
        <w:t>i</w:t>
      </w:r>
      <w:r w:rsidRPr="009D719B">
        <w:t>tel 3.</w:t>
      </w:r>
    </w:p>
    <w:p w:rsidR="001F14AF" w:rsidRPr="009D719B" w:rsidRDefault="001F14AF">
      <w:pPr>
        <w:pStyle w:val="Rubrik2"/>
      </w:pPr>
      <w:bookmarkStart w:id="20" w:name="_Toc32301636"/>
      <w:bookmarkStart w:id="21" w:name="_Toc38080766"/>
      <w:bookmarkStart w:id="22" w:name="_Toc38103338"/>
      <w:r w:rsidRPr="009D719B">
        <w:t>Hur har granskningen genomförts?</w:t>
      </w:r>
      <w:bookmarkEnd w:id="20"/>
      <w:bookmarkEnd w:id="21"/>
      <w:bookmarkEnd w:id="22"/>
    </w:p>
    <w:p w:rsidR="001F14AF" w:rsidRPr="009D719B" w:rsidRDefault="001F14AF">
      <w:r w:rsidRPr="009D719B">
        <w:t>Granskningen av arbetsgivarpolitiken inom Försvarsmakten bygger i huvu</w:t>
      </w:r>
      <w:r w:rsidRPr="009D719B">
        <w:t>d</w:t>
      </w:r>
      <w:r w:rsidRPr="009D719B">
        <w:t xml:space="preserve">sak på följande underlag: </w:t>
      </w:r>
    </w:p>
    <w:p w:rsidR="001F14AF" w:rsidRPr="009D719B" w:rsidRDefault="001F14AF">
      <w:pPr>
        <w:pStyle w:val="Strecklista"/>
        <w:numPr>
          <w:ilvl w:val="0"/>
          <w:numId w:val="23"/>
        </w:numPr>
      </w:pPr>
      <w:r w:rsidRPr="009D719B">
        <w:t xml:space="preserve">en statistisk undersökning av lönerna inom Försvarsmakten, </w:t>
      </w:r>
    </w:p>
    <w:p w:rsidR="001F14AF" w:rsidRPr="009D719B" w:rsidRDefault="001F14AF">
      <w:pPr>
        <w:pStyle w:val="Strecklista"/>
        <w:numPr>
          <w:ilvl w:val="0"/>
          <w:numId w:val="23"/>
        </w:numPr>
      </w:pPr>
      <w:r w:rsidRPr="009D719B">
        <w:t>intervjuer med företrädare för Försvarsmakten centralt, a</w:t>
      </w:r>
      <w:r w:rsidRPr="009D719B">
        <w:t>r</w:t>
      </w:r>
      <w:r w:rsidRPr="009D719B">
        <w:t>betstagarorganisationerna och Rege</w:t>
      </w:r>
      <w:r w:rsidRPr="009D719B">
        <w:t>r</w:t>
      </w:r>
      <w:r w:rsidRPr="009D719B">
        <w:t xml:space="preserve">ingskansliet samt </w:t>
      </w:r>
    </w:p>
    <w:p w:rsidR="001F14AF" w:rsidRPr="009D719B" w:rsidRDefault="001F14AF">
      <w:pPr>
        <w:pStyle w:val="Strecklista"/>
        <w:numPr>
          <w:ilvl w:val="0"/>
          <w:numId w:val="23"/>
        </w:numPr>
      </w:pPr>
      <w:r w:rsidRPr="009D719B">
        <w:t>besök vid ett urval av förband.</w:t>
      </w:r>
    </w:p>
    <w:p w:rsidR="001F14AF" w:rsidRPr="009D719B" w:rsidRDefault="001F14AF">
      <w:pPr>
        <w:pStyle w:val="Rubrik3-Utannumrering"/>
      </w:pPr>
      <w:bookmarkStart w:id="23" w:name="_Toc38080767"/>
      <w:r w:rsidRPr="009D719B">
        <w:t>Statistisk undersökning av löner</w:t>
      </w:r>
      <w:bookmarkEnd w:id="23"/>
    </w:p>
    <w:p w:rsidR="001F14AF" w:rsidRPr="009D719B" w:rsidRDefault="001F14AF">
      <w:r w:rsidRPr="009D719B">
        <w:t>Lönestatistik för Försvarsmakten mellan åren 1993 och 2001 har tagits fram i samarbete med Statistiska centralbyrån. Statistiken bygger på de uppgifter som Försvarsmakten och andra myndigheter årligen rapporterar in till A</w:t>
      </w:r>
      <w:r w:rsidRPr="009D719B">
        <w:t>r</w:t>
      </w:r>
      <w:r w:rsidRPr="009D719B">
        <w:t>betsgivarverket. Den statistiska analysen presenteras i kapitel 4.</w:t>
      </w:r>
    </w:p>
    <w:p w:rsidR="001F14AF" w:rsidRPr="009D719B" w:rsidRDefault="001F14AF">
      <w:pPr>
        <w:pStyle w:val="Rubrik3-Utannumrering"/>
      </w:pPr>
      <w:bookmarkStart w:id="24" w:name="_Toc38080768"/>
      <w:r w:rsidRPr="009D719B">
        <w:lastRenderedPageBreak/>
        <w:t>Intervjuer på central nivå</w:t>
      </w:r>
      <w:bookmarkEnd w:id="24"/>
    </w:p>
    <w:p w:rsidR="001F14AF" w:rsidRPr="009D719B" w:rsidRDefault="001F14AF">
      <w:r w:rsidRPr="009D719B">
        <w:t>Intervjuer har genomförts med företrädare för Försvarsmaktens centrala ledningsorganisation – Högkvarteret. Under granskningen har också inte</w:t>
      </w:r>
      <w:r w:rsidRPr="009D719B">
        <w:t>r</w:t>
      </w:r>
      <w:r w:rsidRPr="009D719B">
        <w:t>vjuer med de tre stora arbetstagarorganisationerna som är verksamma inom Försvarsmakten genomförts, dvs.  Officersförbundet, Försvarsförbundet och SEKO. Slutligen har också handläggare inom Försvarsdepartementet inte</w:t>
      </w:r>
      <w:r w:rsidRPr="009D719B">
        <w:t>r</w:t>
      </w:r>
      <w:r w:rsidRPr="009D719B">
        <w:t>vjuats för att belysa regeringens styrning och uppföljning av Försvarsma</w:t>
      </w:r>
      <w:r w:rsidRPr="009D719B">
        <w:t>k</w:t>
      </w:r>
      <w:r w:rsidRPr="009D719B">
        <w:t>tens arbet</w:t>
      </w:r>
      <w:r w:rsidRPr="009D719B">
        <w:t>s</w:t>
      </w:r>
      <w:r w:rsidRPr="009D719B">
        <w:t xml:space="preserve">givarpolitik. </w:t>
      </w:r>
    </w:p>
    <w:p w:rsidR="001F14AF" w:rsidRPr="009D719B" w:rsidRDefault="001F14AF">
      <w:pPr>
        <w:pStyle w:val="Rubrik3-Utannumrering"/>
      </w:pPr>
      <w:bookmarkStart w:id="25" w:name="_Toc38080769"/>
      <w:r w:rsidRPr="009D719B">
        <w:t>Förbandsbesök</w:t>
      </w:r>
      <w:bookmarkEnd w:id="25"/>
    </w:p>
    <w:p w:rsidR="001F14AF" w:rsidRPr="009D719B" w:rsidRDefault="001F14AF">
      <w:r w:rsidRPr="009D719B">
        <w:t>Under granskningen har fyra förband besökts. Förbanden har valts ut så att underlaget ska ge en mångsidig bild av Försvarsmaktens decentraliserade organisation. Således har förbanden valts ut med avseende på försvarsgren (armén, flygvapnet och marinen), geografisk lokalisering, antalet anställda och strukturen (yrkesofficerare och civilanställda) hos personalen. De fö</w:t>
      </w:r>
      <w:r w:rsidRPr="009D719B">
        <w:t>r</w:t>
      </w:r>
      <w:r w:rsidRPr="009D719B">
        <w:t>band som besökts är: Upplands regemente (S 1) i Enköping, Jämtlands fäl</w:t>
      </w:r>
      <w:r w:rsidRPr="009D719B">
        <w:t>t</w:t>
      </w:r>
      <w:r w:rsidRPr="009D719B">
        <w:t>jägarregemente (I 5) i Östersund, Skaraborgs flygflottilj (F 7) i Lidköping samt Tredje ytstridsflottiljen (3.ysflj) i Karlskrona. De utvalda förbanden redovisas i tabellen nedan.</w:t>
      </w:r>
    </w:p>
    <w:p w:rsidR="001F14AF" w:rsidRPr="009D719B" w:rsidRDefault="001F14AF">
      <w:pPr>
        <w:pStyle w:val="Beskrivning"/>
      </w:pPr>
      <w:r w:rsidRPr="009D719B">
        <w:t xml:space="preserve">Tabell </w:t>
      </w:r>
      <w:r w:rsidRPr="009D719B">
        <w:t>1</w:t>
      </w:r>
      <w:r w:rsidRPr="009D719B">
        <w:t>.</w:t>
      </w:r>
      <w:r w:rsidRPr="009D719B">
        <w:t>1</w:t>
      </w:r>
      <w:r w:rsidRPr="009D719B">
        <w:tab/>
        <w:t>Urval av förband i granskningen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1105"/>
        <w:gridCol w:w="1006"/>
        <w:gridCol w:w="1006"/>
        <w:gridCol w:w="1006"/>
      </w:tblGrid>
      <w:tr w:rsidR="00000000" w:rsidRPr="009D719B">
        <w:tblPrEx>
          <w:tblCellMar>
            <w:top w:w="0" w:type="dxa"/>
            <w:bottom w:w="0" w:type="dxa"/>
          </w:tblCellMar>
        </w:tblPrEx>
        <w:tc>
          <w:tcPr>
            <w:tcW w:w="921" w:type="dxa"/>
            <w:shd w:val="pct15" w:color="auto" w:fill="FFFFFF"/>
            <w:vAlign w:val="center"/>
          </w:tcPr>
          <w:p w:rsidR="001F14AF" w:rsidRPr="009D719B" w:rsidRDefault="001F14AF">
            <w:pPr>
              <w:pStyle w:val="Tabellrubrik"/>
            </w:pPr>
            <w:r w:rsidRPr="009D719B">
              <w:t>Förband</w:t>
            </w:r>
          </w:p>
        </w:tc>
        <w:tc>
          <w:tcPr>
            <w:tcW w:w="992" w:type="dxa"/>
            <w:shd w:val="pct15" w:color="auto" w:fill="FFFFFF"/>
            <w:vAlign w:val="center"/>
          </w:tcPr>
          <w:p w:rsidR="001F14AF" w:rsidRPr="009D719B" w:rsidRDefault="001F14AF">
            <w:pPr>
              <w:pStyle w:val="Tabellrubrik"/>
            </w:pPr>
            <w:r w:rsidRPr="009D719B">
              <w:t>Vape</w:t>
            </w:r>
            <w:r w:rsidRPr="009D719B">
              <w:t>n</w:t>
            </w:r>
            <w:r w:rsidRPr="009D719B">
              <w:t>slag</w:t>
            </w:r>
          </w:p>
        </w:tc>
        <w:tc>
          <w:tcPr>
            <w:tcW w:w="1105" w:type="dxa"/>
            <w:shd w:val="pct15" w:color="auto" w:fill="FFFFFF"/>
            <w:vAlign w:val="center"/>
          </w:tcPr>
          <w:p w:rsidR="001F14AF" w:rsidRPr="009D719B" w:rsidRDefault="001F14AF">
            <w:pPr>
              <w:pStyle w:val="Tabellrubrik"/>
            </w:pPr>
            <w:r w:rsidRPr="009D719B">
              <w:t>Ort</w:t>
            </w:r>
          </w:p>
        </w:tc>
        <w:tc>
          <w:tcPr>
            <w:tcW w:w="1006" w:type="dxa"/>
            <w:shd w:val="pct15" w:color="auto" w:fill="FFFFFF"/>
            <w:vAlign w:val="center"/>
          </w:tcPr>
          <w:p w:rsidR="001F14AF" w:rsidRPr="009D719B" w:rsidRDefault="001F14AF">
            <w:pPr>
              <w:pStyle w:val="Tabellrubrik"/>
              <w:jc w:val="center"/>
            </w:pPr>
            <w:r w:rsidRPr="009D719B">
              <w:t>Antal yrkes-officer</w:t>
            </w:r>
            <w:r w:rsidRPr="009D719B">
              <w:t>a</w:t>
            </w:r>
            <w:r w:rsidRPr="009D719B">
              <w:t>re</w:t>
            </w:r>
          </w:p>
        </w:tc>
        <w:tc>
          <w:tcPr>
            <w:tcW w:w="1006" w:type="dxa"/>
            <w:shd w:val="pct15" w:color="auto" w:fill="FFFFFF"/>
            <w:vAlign w:val="center"/>
          </w:tcPr>
          <w:p w:rsidR="001F14AF" w:rsidRPr="009D719B" w:rsidRDefault="001F14AF">
            <w:pPr>
              <w:pStyle w:val="Tabellrubrik"/>
              <w:jc w:val="center"/>
            </w:pPr>
            <w:r w:rsidRPr="009D719B">
              <w:t>Antal civila</w:t>
            </w:r>
            <w:r w:rsidRPr="009D719B">
              <w:t>n</w:t>
            </w:r>
            <w:r w:rsidRPr="009D719B">
              <w:t>ställda</w:t>
            </w:r>
          </w:p>
        </w:tc>
        <w:tc>
          <w:tcPr>
            <w:tcW w:w="1006" w:type="dxa"/>
            <w:tcBorders>
              <w:right w:val="single" w:sz="18" w:space="0" w:color="auto"/>
            </w:tcBorders>
            <w:shd w:val="pct15" w:color="auto" w:fill="FFFFFF"/>
            <w:vAlign w:val="center"/>
          </w:tcPr>
          <w:p w:rsidR="001F14AF" w:rsidRPr="009D719B" w:rsidRDefault="001F14AF">
            <w:pPr>
              <w:pStyle w:val="Tabellrubrik"/>
              <w:jc w:val="center"/>
            </w:pPr>
            <w:r w:rsidRPr="009D719B">
              <w:t>Antal anställda totalt</w:t>
            </w:r>
          </w:p>
        </w:tc>
      </w:tr>
      <w:tr w:rsidR="00000000" w:rsidRPr="009D719B">
        <w:tblPrEx>
          <w:tblCellMar>
            <w:top w:w="0" w:type="dxa"/>
            <w:bottom w:w="0" w:type="dxa"/>
          </w:tblCellMar>
        </w:tblPrEx>
        <w:trPr>
          <w:trHeight w:val="240"/>
        </w:trPr>
        <w:tc>
          <w:tcPr>
            <w:tcW w:w="921" w:type="dxa"/>
            <w:vAlign w:val="center"/>
          </w:tcPr>
          <w:p w:rsidR="001F14AF" w:rsidRPr="009D719B" w:rsidRDefault="001F14AF">
            <w:pPr>
              <w:pStyle w:val="Tabell"/>
            </w:pPr>
            <w:r w:rsidRPr="009D719B">
              <w:t>S 1</w:t>
            </w:r>
          </w:p>
        </w:tc>
        <w:tc>
          <w:tcPr>
            <w:tcW w:w="992" w:type="dxa"/>
            <w:vAlign w:val="center"/>
          </w:tcPr>
          <w:p w:rsidR="001F14AF" w:rsidRPr="009D719B" w:rsidRDefault="001F14AF">
            <w:pPr>
              <w:pStyle w:val="Tabell"/>
            </w:pPr>
            <w:r w:rsidRPr="009D719B">
              <w:t>Armén</w:t>
            </w:r>
          </w:p>
        </w:tc>
        <w:tc>
          <w:tcPr>
            <w:tcW w:w="1105" w:type="dxa"/>
            <w:vAlign w:val="center"/>
          </w:tcPr>
          <w:p w:rsidR="001F14AF" w:rsidRPr="009D719B" w:rsidRDefault="001F14AF">
            <w:pPr>
              <w:pStyle w:val="Tabell"/>
            </w:pPr>
            <w:r w:rsidRPr="009D719B">
              <w:t>Enköping</w:t>
            </w:r>
          </w:p>
        </w:tc>
        <w:tc>
          <w:tcPr>
            <w:tcW w:w="1006" w:type="dxa"/>
            <w:vAlign w:val="center"/>
          </w:tcPr>
          <w:p w:rsidR="001F14AF" w:rsidRPr="009D719B" w:rsidRDefault="001F14AF">
            <w:pPr>
              <w:pStyle w:val="Tabell"/>
              <w:jc w:val="center"/>
            </w:pPr>
            <w:r w:rsidRPr="009D719B">
              <w:t>263</w:t>
            </w:r>
          </w:p>
        </w:tc>
        <w:tc>
          <w:tcPr>
            <w:tcW w:w="1006" w:type="dxa"/>
            <w:vAlign w:val="center"/>
          </w:tcPr>
          <w:p w:rsidR="001F14AF" w:rsidRPr="009D719B" w:rsidRDefault="001F14AF">
            <w:pPr>
              <w:pStyle w:val="Tabell"/>
              <w:jc w:val="center"/>
            </w:pPr>
            <w:r w:rsidRPr="009D719B">
              <w:t xml:space="preserve">  69</w:t>
            </w:r>
          </w:p>
        </w:tc>
        <w:tc>
          <w:tcPr>
            <w:tcW w:w="1006" w:type="dxa"/>
            <w:tcBorders>
              <w:right w:val="single" w:sz="18" w:space="0" w:color="auto"/>
            </w:tcBorders>
            <w:vAlign w:val="center"/>
          </w:tcPr>
          <w:p w:rsidR="001F14AF" w:rsidRPr="009D719B" w:rsidRDefault="001F14AF">
            <w:pPr>
              <w:pStyle w:val="Tabell"/>
              <w:jc w:val="center"/>
            </w:pPr>
            <w:r w:rsidRPr="009D719B">
              <w:t>332</w:t>
            </w:r>
          </w:p>
        </w:tc>
      </w:tr>
      <w:tr w:rsidR="00000000" w:rsidRPr="009D719B">
        <w:tblPrEx>
          <w:tblCellMar>
            <w:top w:w="0" w:type="dxa"/>
            <w:bottom w:w="0" w:type="dxa"/>
          </w:tblCellMar>
        </w:tblPrEx>
        <w:trPr>
          <w:trHeight w:val="240"/>
        </w:trPr>
        <w:tc>
          <w:tcPr>
            <w:tcW w:w="921" w:type="dxa"/>
            <w:vAlign w:val="center"/>
          </w:tcPr>
          <w:p w:rsidR="001F14AF" w:rsidRPr="009D719B" w:rsidRDefault="001F14AF">
            <w:pPr>
              <w:pStyle w:val="Tabell"/>
            </w:pPr>
            <w:r w:rsidRPr="009D719B">
              <w:t>I 5</w:t>
            </w:r>
          </w:p>
        </w:tc>
        <w:tc>
          <w:tcPr>
            <w:tcW w:w="992" w:type="dxa"/>
            <w:vAlign w:val="center"/>
          </w:tcPr>
          <w:p w:rsidR="001F14AF" w:rsidRPr="009D719B" w:rsidRDefault="001F14AF">
            <w:pPr>
              <w:pStyle w:val="Tabell"/>
            </w:pPr>
            <w:r w:rsidRPr="009D719B">
              <w:t>Armén</w:t>
            </w:r>
          </w:p>
        </w:tc>
        <w:tc>
          <w:tcPr>
            <w:tcW w:w="1105" w:type="dxa"/>
            <w:vAlign w:val="center"/>
          </w:tcPr>
          <w:p w:rsidR="001F14AF" w:rsidRPr="009D719B" w:rsidRDefault="001F14AF">
            <w:pPr>
              <w:pStyle w:val="Tabell"/>
            </w:pPr>
            <w:r w:rsidRPr="009D719B">
              <w:t>Östersund</w:t>
            </w:r>
          </w:p>
        </w:tc>
        <w:tc>
          <w:tcPr>
            <w:tcW w:w="1006" w:type="dxa"/>
            <w:vAlign w:val="center"/>
          </w:tcPr>
          <w:p w:rsidR="001F14AF" w:rsidRPr="009D719B" w:rsidRDefault="001F14AF">
            <w:pPr>
              <w:pStyle w:val="Tabell"/>
              <w:jc w:val="center"/>
            </w:pPr>
            <w:r w:rsidRPr="009D719B">
              <w:t>201</w:t>
            </w:r>
          </w:p>
        </w:tc>
        <w:tc>
          <w:tcPr>
            <w:tcW w:w="1006" w:type="dxa"/>
            <w:vAlign w:val="center"/>
          </w:tcPr>
          <w:p w:rsidR="001F14AF" w:rsidRPr="009D719B" w:rsidRDefault="001F14AF">
            <w:pPr>
              <w:pStyle w:val="Tabell"/>
              <w:jc w:val="center"/>
            </w:pPr>
            <w:r w:rsidRPr="009D719B">
              <w:t xml:space="preserve">  25</w:t>
            </w:r>
          </w:p>
        </w:tc>
        <w:tc>
          <w:tcPr>
            <w:tcW w:w="1006" w:type="dxa"/>
            <w:tcBorders>
              <w:right w:val="single" w:sz="18" w:space="0" w:color="auto"/>
            </w:tcBorders>
            <w:vAlign w:val="center"/>
          </w:tcPr>
          <w:p w:rsidR="001F14AF" w:rsidRPr="009D719B" w:rsidRDefault="001F14AF">
            <w:pPr>
              <w:pStyle w:val="Tabell"/>
              <w:jc w:val="center"/>
            </w:pPr>
            <w:r w:rsidRPr="009D719B">
              <w:t>226</w:t>
            </w:r>
          </w:p>
        </w:tc>
      </w:tr>
      <w:tr w:rsidR="00000000" w:rsidRPr="009D719B">
        <w:tblPrEx>
          <w:tblCellMar>
            <w:top w:w="0" w:type="dxa"/>
            <w:bottom w:w="0" w:type="dxa"/>
          </w:tblCellMar>
        </w:tblPrEx>
        <w:trPr>
          <w:trHeight w:val="240"/>
        </w:trPr>
        <w:tc>
          <w:tcPr>
            <w:tcW w:w="921" w:type="dxa"/>
            <w:tcBorders>
              <w:bottom w:val="single" w:sz="4" w:space="0" w:color="auto"/>
            </w:tcBorders>
            <w:vAlign w:val="center"/>
          </w:tcPr>
          <w:p w:rsidR="001F14AF" w:rsidRPr="009D719B" w:rsidRDefault="001F14AF">
            <w:pPr>
              <w:pStyle w:val="Tabell"/>
            </w:pPr>
            <w:r w:rsidRPr="009D719B">
              <w:t>F 7</w:t>
            </w:r>
          </w:p>
        </w:tc>
        <w:tc>
          <w:tcPr>
            <w:tcW w:w="992" w:type="dxa"/>
            <w:tcBorders>
              <w:bottom w:val="single" w:sz="4" w:space="0" w:color="auto"/>
            </w:tcBorders>
            <w:vAlign w:val="center"/>
          </w:tcPr>
          <w:p w:rsidR="001F14AF" w:rsidRPr="009D719B" w:rsidRDefault="001F14AF">
            <w:pPr>
              <w:pStyle w:val="Tabell"/>
            </w:pPr>
            <w:r w:rsidRPr="009D719B">
              <w:t>Flygva</w:t>
            </w:r>
            <w:r w:rsidRPr="009D719B">
              <w:t>p</w:t>
            </w:r>
            <w:r w:rsidRPr="009D719B">
              <w:t>net</w:t>
            </w:r>
          </w:p>
        </w:tc>
        <w:tc>
          <w:tcPr>
            <w:tcW w:w="1105" w:type="dxa"/>
            <w:tcBorders>
              <w:bottom w:val="single" w:sz="4" w:space="0" w:color="auto"/>
            </w:tcBorders>
            <w:vAlign w:val="center"/>
          </w:tcPr>
          <w:p w:rsidR="001F14AF" w:rsidRPr="009D719B" w:rsidRDefault="001F14AF">
            <w:pPr>
              <w:pStyle w:val="Tabell"/>
            </w:pPr>
            <w:r w:rsidRPr="009D719B">
              <w:t>Lidköping</w:t>
            </w:r>
          </w:p>
        </w:tc>
        <w:tc>
          <w:tcPr>
            <w:tcW w:w="1006" w:type="dxa"/>
            <w:tcBorders>
              <w:bottom w:val="single" w:sz="4" w:space="0" w:color="auto"/>
            </w:tcBorders>
            <w:vAlign w:val="center"/>
          </w:tcPr>
          <w:p w:rsidR="001F14AF" w:rsidRPr="009D719B" w:rsidRDefault="001F14AF">
            <w:pPr>
              <w:pStyle w:val="Tabell"/>
              <w:jc w:val="center"/>
            </w:pPr>
            <w:r w:rsidRPr="009D719B">
              <w:t>476</w:t>
            </w:r>
          </w:p>
        </w:tc>
        <w:tc>
          <w:tcPr>
            <w:tcW w:w="1006" w:type="dxa"/>
            <w:tcBorders>
              <w:bottom w:val="single" w:sz="4" w:space="0" w:color="auto"/>
            </w:tcBorders>
            <w:vAlign w:val="center"/>
          </w:tcPr>
          <w:p w:rsidR="001F14AF" w:rsidRPr="009D719B" w:rsidRDefault="001F14AF">
            <w:pPr>
              <w:pStyle w:val="Tabell"/>
              <w:jc w:val="center"/>
            </w:pPr>
            <w:r w:rsidRPr="009D719B">
              <w:t>194</w:t>
            </w:r>
          </w:p>
        </w:tc>
        <w:tc>
          <w:tcPr>
            <w:tcW w:w="1006" w:type="dxa"/>
            <w:tcBorders>
              <w:bottom w:val="single" w:sz="4" w:space="0" w:color="auto"/>
              <w:right w:val="single" w:sz="18" w:space="0" w:color="auto"/>
            </w:tcBorders>
            <w:vAlign w:val="center"/>
          </w:tcPr>
          <w:p w:rsidR="001F14AF" w:rsidRPr="009D719B" w:rsidRDefault="001F14AF">
            <w:pPr>
              <w:pStyle w:val="Tabell"/>
              <w:jc w:val="center"/>
            </w:pPr>
            <w:r w:rsidRPr="009D719B">
              <w:t>670</w:t>
            </w:r>
          </w:p>
        </w:tc>
      </w:tr>
      <w:tr w:rsidR="00000000" w:rsidRPr="009D719B">
        <w:tblPrEx>
          <w:tblCellMar>
            <w:top w:w="0" w:type="dxa"/>
            <w:bottom w:w="0" w:type="dxa"/>
          </w:tblCellMar>
        </w:tblPrEx>
        <w:trPr>
          <w:trHeight w:val="240"/>
        </w:trPr>
        <w:tc>
          <w:tcPr>
            <w:tcW w:w="921" w:type="dxa"/>
            <w:tcBorders>
              <w:bottom w:val="single" w:sz="18" w:space="0" w:color="auto"/>
            </w:tcBorders>
            <w:vAlign w:val="center"/>
          </w:tcPr>
          <w:p w:rsidR="001F14AF" w:rsidRPr="009D719B" w:rsidRDefault="001F14AF">
            <w:pPr>
              <w:pStyle w:val="Tabell"/>
            </w:pPr>
            <w:r w:rsidRPr="009D719B">
              <w:t>3.ysflj</w:t>
            </w:r>
          </w:p>
        </w:tc>
        <w:tc>
          <w:tcPr>
            <w:tcW w:w="992" w:type="dxa"/>
            <w:tcBorders>
              <w:bottom w:val="single" w:sz="18" w:space="0" w:color="auto"/>
            </w:tcBorders>
            <w:vAlign w:val="center"/>
          </w:tcPr>
          <w:p w:rsidR="001F14AF" w:rsidRPr="009D719B" w:rsidRDefault="001F14AF">
            <w:pPr>
              <w:pStyle w:val="Tabell"/>
            </w:pPr>
            <w:r w:rsidRPr="009D719B">
              <w:t>Marinen</w:t>
            </w:r>
          </w:p>
        </w:tc>
        <w:tc>
          <w:tcPr>
            <w:tcW w:w="1105" w:type="dxa"/>
            <w:tcBorders>
              <w:bottom w:val="single" w:sz="18" w:space="0" w:color="auto"/>
            </w:tcBorders>
            <w:vAlign w:val="center"/>
          </w:tcPr>
          <w:p w:rsidR="001F14AF" w:rsidRPr="009D719B" w:rsidRDefault="001F14AF">
            <w:pPr>
              <w:pStyle w:val="Tabell"/>
            </w:pPr>
            <w:r w:rsidRPr="009D719B">
              <w:t>Karlskrona</w:t>
            </w:r>
          </w:p>
        </w:tc>
        <w:tc>
          <w:tcPr>
            <w:tcW w:w="1006" w:type="dxa"/>
            <w:tcBorders>
              <w:bottom w:val="single" w:sz="18" w:space="0" w:color="auto"/>
            </w:tcBorders>
            <w:vAlign w:val="center"/>
          </w:tcPr>
          <w:p w:rsidR="001F14AF" w:rsidRPr="009D719B" w:rsidRDefault="001F14AF">
            <w:pPr>
              <w:pStyle w:val="Tabell"/>
              <w:jc w:val="center"/>
            </w:pPr>
            <w:r w:rsidRPr="009D719B">
              <w:t>227</w:t>
            </w:r>
          </w:p>
        </w:tc>
        <w:tc>
          <w:tcPr>
            <w:tcW w:w="1006" w:type="dxa"/>
            <w:tcBorders>
              <w:bottom w:val="single" w:sz="18" w:space="0" w:color="auto"/>
            </w:tcBorders>
            <w:vAlign w:val="center"/>
          </w:tcPr>
          <w:p w:rsidR="001F14AF" w:rsidRPr="009D719B" w:rsidRDefault="001F14AF">
            <w:pPr>
              <w:pStyle w:val="Tabell"/>
              <w:jc w:val="center"/>
            </w:pPr>
            <w:r w:rsidRPr="009D719B">
              <w:t xml:space="preserve">    0</w:t>
            </w:r>
          </w:p>
        </w:tc>
        <w:tc>
          <w:tcPr>
            <w:tcW w:w="1006" w:type="dxa"/>
            <w:tcBorders>
              <w:bottom w:val="single" w:sz="18" w:space="0" w:color="auto"/>
              <w:right w:val="single" w:sz="18" w:space="0" w:color="auto"/>
            </w:tcBorders>
            <w:vAlign w:val="center"/>
          </w:tcPr>
          <w:p w:rsidR="001F14AF" w:rsidRPr="009D719B" w:rsidRDefault="001F14AF">
            <w:pPr>
              <w:pStyle w:val="Tabell"/>
              <w:jc w:val="center"/>
            </w:pPr>
            <w:r w:rsidRPr="009D719B">
              <w:t>227</w:t>
            </w:r>
          </w:p>
        </w:tc>
      </w:tr>
    </w:tbl>
    <w:p w:rsidR="001F14AF" w:rsidRPr="009D719B" w:rsidRDefault="001F14AF">
      <w:pPr>
        <w:pStyle w:val="Tabell"/>
      </w:pPr>
      <w:r w:rsidRPr="009D719B">
        <w:t>Antalet anställda avser i tabellen ovan de personalramar (exklusive bemanningsup</w:t>
      </w:r>
      <w:r w:rsidRPr="009D719B">
        <w:t>p</w:t>
      </w:r>
      <w:r w:rsidRPr="009D719B">
        <w:t>drag) som förbanden tilldelats. Vakanser vid förbandet kan innebära att antalet a</w:t>
      </w:r>
      <w:r w:rsidRPr="009D719B">
        <w:t>n</w:t>
      </w:r>
      <w:r w:rsidRPr="009D719B">
        <w:t>ställda i prakt</w:t>
      </w:r>
      <w:r w:rsidRPr="009D719B">
        <w:t>i</w:t>
      </w:r>
      <w:r w:rsidRPr="009D719B">
        <w:t>ken är mindre än vad som anges i tabellen.</w:t>
      </w:r>
    </w:p>
    <w:p w:rsidR="001F14AF" w:rsidRPr="009D719B" w:rsidRDefault="001F14AF">
      <w:pPr>
        <w:pStyle w:val="Tabell"/>
        <w:jc w:val="left"/>
      </w:pPr>
      <w:r w:rsidRPr="009D719B">
        <w:t>Källa: Försvarsmakten (april 2002)</w:t>
      </w:r>
    </w:p>
    <w:p w:rsidR="001F14AF" w:rsidRPr="009D719B" w:rsidRDefault="001F14AF">
      <w:r w:rsidRPr="009D719B">
        <w:t xml:space="preserve">Armén utgör den största andelen av Försvarsmakten, både sett till antalet förband och antalet anställda. Av den anledningen har två arméförband valts ut tillsammans med ett från flygvapnet och ett från marinen. </w:t>
      </w:r>
    </w:p>
    <w:p w:rsidR="001F14AF" w:rsidRPr="009D719B" w:rsidRDefault="001F14AF">
      <w:pPr>
        <w:pStyle w:val="Normaltindrag"/>
      </w:pPr>
      <w:r w:rsidRPr="009D719B">
        <w:t>Andelen civilanställda inom marinen är mycket låg. I genomsnitt är endast drygt 5 % av de anställda inom marinen civilanställda. Tredje ytstridsflotti</w:t>
      </w:r>
      <w:r w:rsidRPr="009D719B">
        <w:t>l</w:t>
      </w:r>
      <w:r w:rsidRPr="009D719B">
        <w:t>jen i Karlskrona är således inget uppseendeväckande fall vad gäller antalet civilanställda. Andelen civilanställda inom flygvapnet är däremot relativt hög. I genomsnitt är 32 % av de anställda inom flygvapnet civilanställda. Personalstrukturen inom Försvarsmakten och de olika försvarsgrenarna diskuteras utförligare i kapitel 2.</w:t>
      </w:r>
    </w:p>
    <w:p w:rsidR="001F14AF" w:rsidRPr="009D719B" w:rsidRDefault="001F14AF">
      <w:pPr>
        <w:pStyle w:val="Normaltindrag"/>
      </w:pPr>
      <w:r w:rsidRPr="009D719B">
        <w:t>Vad gäller den geografiska spridningen av förband kan man utgå från att fördelningen mellan t.ex. norr och söder inte är lika intressant som förde</w:t>
      </w:r>
      <w:r w:rsidRPr="009D719B">
        <w:t>l</w:t>
      </w:r>
      <w:r w:rsidRPr="009D719B">
        <w:t xml:space="preserve">ningen mellan Mälardalen och övriga landet. I de inledande intervjuerna med företrädare för Försvarsmaktens högkvarter och de fackliga organisationerna framkom att problemen för förband i Mälardalen och Stockholm skiljer sig </w:t>
      </w:r>
      <w:r w:rsidRPr="009D719B">
        <w:lastRenderedPageBreak/>
        <w:t>från övriga förband. Svårigheten att locka yrkesofficerare till Stockholmso</w:t>
      </w:r>
      <w:r w:rsidRPr="009D719B">
        <w:t>m</w:t>
      </w:r>
      <w:r w:rsidRPr="009D719B">
        <w:t>rådet har föranlett ett urval med avseende på förbandets geografiska place</w:t>
      </w:r>
      <w:r w:rsidRPr="009D719B">
        <w:t>r</w:t>
      </w:r>
      <w:r w:rsidRPr="009D719B">
        <w:t>ing i förhållande till Mälardalen.</w:t>
      </w:r>
    </w:p>
    <w:p w:rsidR="001F14AF" w:rsidRPr="009D719B" w:rsidRDefault="001F14AF">
      <w:pPr>
        <w:pStyle w:val="Normaltindrag"/>
      </w:pPr>
      <w:r w:rsidRPr="009D719B">
        <w:t xml:space="preserve">Under granskningen har också företrädare för Försvarsmaktens logistik (FMLOG) intervjuats. FMLOG är </w:t>
      </w:r>
      <w:r w:rsidRPr="009D719B">
        <w:t>en ny typ av organisationsenhet inom Försvarsmakten som skapats för att hålla samman stöd- och underhållstjän</w:t>
      </w:r>
      <w:r w:rsidRPr="009D719B">
        <w:t>s</w:t>
      </w:r>
      <w:r w:rsidRPr="009D719B">
        <w:t>terna i en organisation. Försvarsmaktens logistik beskrivs i ett eget stycke i kapitel 2.</w:t>
      </w:r>
    </w:p>
    <w:p w:rsidR="001F14AF" w:rsidRPr="009D719B" w:rsidRDefault="001F14AF">
      <w:pPr>
        <w:pStyle w:val="Rubrik2"/>
      </w:pPr>
      <w:bookmarkStart w:id="26" w:name="_Toc32301637"/>
      <w:bookmarkStart w:id="27" w:name="_Toc38080770"/>
      <w:bookmarkStart w:id="28" w:name="_Toc38103339"/>
      <w:r w:rsidRPr="009D719B">
        <w:t>Rapportens disposition</w:t>
      </w:r>
      <w:bookmarkEnd w:id="26"/>
      <w:bookmarkEnd w:id="27"/>
      <w:bookmarkEnd w:id="28"/>
    </w:p>
    <w:p w:rsidR="001F14AF" w:rsidRPr="009D719B" w:rsidRDefault="001F14AF">
      <w:r w:rsidRPr="009D719B">
        <w:t>Kapitel 2 ger en allmän bakgrund till Försvarsmakten och kapitel 3 en ba</w:t>
      </w:r>
      <w:r w:rsidRPr="009D719B">
        <w:t>k</w:t>
      </w:r>
      <w:r w:rsidRPr="009D719B">
        <w:t>grund till statlig arbetsgivarpolitik. Syftet är att ge läsaren en allmän beskri</w:t>
      </w:r>
      <w:r w:rsidRPr="009D719B">
        <w:t>v</w:t>
      </w:r>
      <w:r w:rsidRPr="009D719B">
        <w:t>ning av området samt att identifiera de förutsättningar som finns för att b</w:t>
      </w:r>
      <w:r w:rsidRPr="009D719B">
        <w:t>e</w:t>
      </w:r>
      <w:r w:rsidRPr="009D719B">
        <w:t>driva arbetsgivarpolitik inom myndi</w:t>
      </w:r>
      <w:r w:rsidRPr="009D719B">
        <w:t>g</w:t>
      </w:r>
      <w:r w:rsidRPr="009D719B">
        <w:t>heten Försvarsmakten.</w:t>
      </w:r>
    </w:p>
    <w:p w:rsidR="001F14AF" w:rsidRPr="009D719B" w:rsidRDefault="001F14AF">
      <w:pPr>
        <w:pStyle w:val="Normaltindrag"/>
      </w:pPr>
      <w:r w:rsidRPr="009D719B">
        <w:t>I kapitel 4 presenteras den kvantitativa analysen av löner och persona</w:t>
      </w:r>
      <w:r w:rsidRPr="009D719B">
        <w:t>l</w:t>
      </w:r>
      <w:r w:rsidRPr="009D719B">
        <w:t>kostnader inom Försvarsmakten. Här redovisas ett antal indikatorer på lön</w:t>
      </w:r>
      <w:r w:rsidRPr="009D719B">
        <w:t>e</w:t>
      </w:r>
      <w:r w:rsidRPr="009D719B">
        <w:t>bildningen inom Försvarsmakten under perioden 1993</w:t>
      </w:r>
      <w:r w:rsidRPr="009D719B">
        <w:softHyphen/>
        <w:t>–2001. Den kvantitat</w:t>
      </w:r>
      <w:r w:rsidRPr="009D719B">
        <w:t>i</w:t>
      </w:r>
      <w:r w:rsidRPr="009D719B">
        <w:t>va analysen ger en uppfattning om vissa problem med lönebildningen inom Försvarsmakten och även vissa utgångspunkter inför den kvalitativa stud</w:t>
      </w:r>
      <w:r w:rsidRPr="009D719B">
        <w:t>i</w:t>
      </w:r>
      <w:r w:rsidRPr="009D719B">
        <w:t>en.</w:t>
      </w:r>
    </w:p>
    <w:p w:rsidR="001F14AF" w:rsidRPr="009D719B" w:rsidRDefault="001F14AF">
      <w:pPr>
        <w:pStyle w:val="Normaltindrag"/>
      </w:pPr>
      <w:r w:rsidRPr="009D719B">
        <w:t xml:space="preserve"> I kapitlen 5–8 behandlas lönebildningens styrning, delegering och geno</w:t>
      </w:r>
      <w:r w:rsidRPr="009D719B">
        <w:t>m</w:t>
      </w:r>
      <w:r w:rsidRPr="009D719B">
        <w:t>förande i Försvarsmakten. I kapitel 5 analyseras Försvarsmaktens centrala styrning av förbanden med särskilt avseende på lönebildningen. I kapitel 6 behandlas relationen mellan Försvarsmakten och fackförbunden och de fö</w:t>
      </w:r>
      <w:r w:rsidRPr="009D719B">
        <w:t>r</w:t>
      </w:r>
      <w:r w:rsidRPr="009D719B">
        <w:t>svarsmaktsgemensamma avtal som är resultatet av denna relation. I kapitel 7 analyseras lönebildningen på förbandsnivå, framför allt med utgångspunkt från de förutsättningar som framkommit i kapitel 5 och 6. Kapitel 8 behan</w:t>
      </w:r>
      <w:r w:rsidRPr="009D719B">
        <w:t>d</w:t>
      </w:r>
      <w:r w:rsidRPr="009D719B">
        <w:t>lar uppföljningen av arbetsgivarpolitiken från Försvarsmaktens centr</w:t>
      </w:r>
      <w:r w:rsidRPr="009D719B">
        <w:t>ala ledning.</w:t>
      </w:r>
    </w:p>
    <w:p w:rsidR="001F14AF" w:rsidRPr="009D719B" w:rsidRDefault="001F14AF">
      <w:pPr>
        <w:pStyle w:val="Normaltindrag"/>
      </w:pPr>
      <w:r w:rsidRPr="009D719B">
        <w:t>Regeringens och Regeringskansliets hantering av Försvarsmaktens arbet</w:t>
      </w:r>
      <w:r w:rsidRPr="009D719B">
        <w:t>s</w:t>
      </w:r>
      <w:r w:rsidRPr="009D719B">
        <w:t>givarpolitik behandlas i kapitel 9. Slutligen presenterar revisorerna sina slutsatser och överväganden i kapitel 10.</w:t>
      </w:r>
    </w:p>
    <w:p w:rsidR="001F14AF" w:rsidRPr="009D719B" w:rsidRDefault="001F14AF">
      <w:pPr>
        <w:pStyle w:val="Normaltindrag"/>
      </w:pPr>
    </w:p>
    <w:p w:rsidR="001F14AF" w:rsidRPr="009D719B" w:rsidRDefault="001F14AF">
      <w:pPr>
        <w:pStyle w:val="Rubrik1"/>
      </w:pPr>
      <w:r w:rsidRPr="009D719B">
        <w:br w:type="page"/>
      </w:r>
      <w:r w:rsidRPr="009D719B">
        <w:lastRenderedPageBreak/>
        <w:t xml:space="preserve"> </w:t>
      </w:r>
      <w:bookmarkStart w:id="29" w:name="_Toc32301638"/>
      <w:bookmarkStart w:id="30" w:name="_Toc38080771"/>
      <w:bookmarkStart w:id="31" w:name="_Toc38103340"/>
      <w:r w:rsidRPr="009D719B">
        <w:t>Försvarsmakten</w:t>
      </w:r>
      <w:bookmarkEnd w:id="29"/>
      <w:bookmarkEnd w:id="30"/>
      <w:bookmarkEnd w:id="31"/>
    </w:p>
    <w:p w:rsidR="001F14AF" w:rsidRPr="009D719B" w:rsidRDefault="001F14AF">
      <w:r w:rsidRPr="009D719B">
        <w:t>Försvarsmakten består av två delar: en insatsorganisation och en grundorg</w:t>
      </w:r>
      <w:r w:rsidRPr="009D719B">
        <w:t>a</w:t>
      </w:r>
      <w:r w:rsidRPr="009D719B">
        <w:t>nisation. Insatsorganisationen består av de staber och krigsförband som Fö</w:t>
      </w:r>
      <w:r w:rsidRPr="009D719B">
        <w:t>r</w:t>
      </w:r>
      <w:r w:rsidRPr="009D719B">
        <w:t>svarsmakten använder eller kan sätta upp för insatser enligt de fyra huvudmål som riksdagen beslutat om. Dessa fyra huvudmål är att Försvarsmakten (tillsammans med andra totalförsvarsresurser) ska kunna</w:t>
      </w:r>
    </w:p>
    <w:p w:rsidR="001F14AF" w:rsidRPr="009D719B" w:rsidRDefault="001F14AF">
      <w:pPr>
        <w:pStyle w:val="Normaltindrag"/>
        <w:numPr>
          <w:ilvl w:val="0"/>
          <w:numId w:val="52"/>
        </w:numPr>
      </w:pPr>
      <w:r w:rsidRPr="009D719B">
        <w:t>försvara Sverige mot väpnat angrepp,</w:t>
      </w:r>
    </w:p>
    <w:p w:rsidR="001F14AF" w:rsidRPr="009D719B" w:rsidRDefault="001F14AF">
      <w:pPr>
        <w:pStyle w:val="Normaltindrag"/>
        <w:numPr>
          <w:ilvl w:val="0"/>
          <w:numId w:val="52"/>
        </w:numPr>
      </w:pPr>
      <w:r w:rsidRPr="009D719B">
        <w:t>hävda vår territoriella integritet,</w:t>
      </w:r>
    </w:p>
    <w:p w:rsidR="001F14AF" w:rsidRPr="009D719B" w:rsidRDefault="001F14AF">
      <w:pPr>
        <w:pStyle w:val="Normaltindrag"/>
        <w:numPr>
          <w:ilvl w:val="0"/>
          <w:numId w:val="52"/>
        </w:numPr>
      </w:pPr>
      <w:r w:rsidRPr="009D719B">
        <w:t>bidra till fred och säkerhet i omvärlden och</w:t>
      </w:r>
    </w:p>
    <w:p w:rsidR="001F14AF" w:rsidRPr="009D719B" w:rsidRDefault="001F14AF">
      <w:pPr>
        <w:pStyle w:val="Normaltindrag"/>
        <w:numPr>
          <w:ilvl w:val="0"/>
          <w:numId w:val="52"/>
        </w:numPr>
      </w:pPr>
      <w:r w:rsidRPr="009D719B">
        <w:t xml:space="preserve">stärka det svenska samhället vid svåra påfrestningar i fred. </w:t>
      </w:r>
    </w:p>
    <w:p w:rsidR="001F14AF" w:rsidRPr="009D719B" w:rsidRDefault="001F14AF">
      <w:r w:rsidRPr="009D719B">
        <w:t>Grundorganisationen är den mera synliga delen av Försvarsmakten och är den organisation som producerar de krigsförband som används i insatsorg</w:t>
      </w:r>
      <w:r w:rsidRPr="009D719B">
        <w:t>a</w:t>
      </w:r>
      <w:r w:rsidRPr="009D719B">
        <w:t>nisationen. Organisationen består av ett antal organisationsenheter runt om i landet. Myndighetens chef är överbefälhavaren (ÖB) som styr Försvarsma</w:t>
      </w:r>
      <w:r w:rsidRPr="009D719B">
        <w:t>k</w:t>
      </w:r>
      <w:r w:rsidRPr="009D719B">
        <w:t>ten genom den centrala ledningsorganisationen Högkvarteret.</w:t>
      </w:r>
    </w:p>
    <w:p w:rsidR="001F14AF" w:rsidRPr="009D719B" w:rsidRDefault="001F14AF">
      <w:pPr>
        <w:pStyle w:val="Normaltindrag"/>
      </w:pPr>
      <w:r w:rsidRPr="009D719B">
        <w:t>Grundorganisationen är uppdelad i 65 olika organisationsenheter som är spridda över landet. Dessa organisationsenheter utgörs av förband, skolor eller centrum. Ett förband kan vara ett arméregemente, flyg- eller marinflo</w:t>
      </w:r>
      <w:r w:rsidRPr="009D719B">
        <w:t>t</w:t>
      </w:r>
      <w:r w:rsidRPr="009D719B">
        <w:t>tilj</w:t>
      </w:r>
      <w:r w:rsidRPr="009D719B">
        <w:rPr>
          <w:rStyle w:val="Fotnotsreferens"/>
        </w:rPr>
        <w:footnoteReference w:id="2"/>
      </w:r>
      <w:r w:rsidRPr="009D719B">
        <w:t xml:space="preserve"> vars huvudsakliga uppgift är att utbilda värnpliktiga och producera krig</w:t>
      </w:r>
      <w:r w:rsidRPr="009D719B">
        <w:t>s</w:t>
      </w:r>
      <w:r w:rsidRPr="009D719B">
        <w:t>förband till insatsorgan</w:t>
      </w:r>
      <w:r w:rsidRPr="009D719B">
        <w:t>i</w:t>
      </w:r>
      <w:r w:rsidRPr="009D719B">
        <w:t>sationen.</w:t>
      </w:r>
    </w:p>
    <w:p w:rsidR="001F14AF" w:rsidRPr="009D719B" w:rsidRDefault="001F14AF">
      <w:pPr>
        <w:pStyle w:val="Normaltindrag"/>
      </w:pPr>
      <w:r w:rsidRPr="009D719B">
        <w:t>Försvarsmaktens skolor utbildar och vidareutbildar officerare inom my</w:t>
      </w:r>
      <w:r w:rsidRPr="009D719B">
        <w:t>n</w:t>
      </w:r>
      <w:r w:rsidRPr="009D719B">
        <w:t>digheten. Högre chefsutbildning inom Försvarsmakten erhålls genom Fö</w:t>
      </w:r>
      <w:r w:rsidRPr="009D719B">
        <w:t>r</w:t>
      </w:r>
      <w:r w:rsidRPr="009D719B">
        <w:t>svarshögskolan som är en fristående stödmyndighet till Försvarsmakten. De olika centrum som finns inom Försvarsmakten ska stödja grundorganisati</w:t>
      </w:r>
      <w:r w:rsidRPr="009D719B">
        <w:t>o</w:t>
      </w:r>
      <w:r w:rsidRPr="009D719B">
        <w:t>nen inom speciella kompetensområden. Som exempel kan nämnas Försvar</w:t>
      </w:r>
      <w:r w:rsidRPr="009D719B">
        <w:t>s</w:t>
      </w:r>
      <w:r w:rsidRPr="009D719B">
        <w:t>maktens internationella centrum (SWEDINT) som utbildar personal inför internationella insatser och Totalförsvarets ammunitions- och minröjning</w:t>
      </w:r>
      <w:r w:rsidRPr="009D719B">
        <w:t>s</w:t>
      </w:r>
      <w:r w:rsidRPr="009D719B">
        <w:t>cen</w:t>
      </w:r>
      <w:r w:rsidRPr="009D719B">
        <w:t>t</w:t>
      </w:r>
      <w:r w:rsidRPr="009D719B">
        <w:t>rum (SWEDEC).</w:t>
      </w:r>
    </w:p>
    <w:p w:rsidR="001F14AF" w:rsidRPr="009D719B" w:rsidRDefault="001F14AF">
      <w:pPr>
        <w:pStyle w:val="Rubrik2"/>
      </w:pPr>
      <w:bookmarkStart w:id="32" w:name="_Toc32301639"/>
      <w:bookmarkStart w:id="33" w:name="_Toc38080772"/>
      <w:bookmarkStart w:id="34" w:name="_Toc38103341"/>
      <w:r w:rsidRPr="009D719B">
        <w:t>Försvarsmaktens centrala ledning</w:t>
      </w:r>
      <w:bookmarkEnd w:id="32"/>
      <w:bookmarkEnd w:id="33"/>
      <w:bookmarkEnd w:id="34"/>
    </w:p>
    <w:p w:rsidR="001F14AF" w:rsidRPr="009D719B" w:rsidRDefault="001F14AF">
      <w:r w:rsidRPr="009D719B">
        <w:t>Försvarsmaktens centrala ledningsorgan, Högkvarteret, har nyligen omorg</w:t>
      </w:r>
      <w:r w:rsidRPr="009D719B">
        <w:t>a</w:t>
      </w:r>
      <w:r w:rsidRPr="009D719B">
        <w:t>niserats. Från och med den 1 januari 2003 består Högkvarteret av en krigso</w:t>
      </w:r>
      <w:r w:rsidRPr="009D719B">
        <w:t>r</w:t>
      </w:r>
      <w:r w:rsidRPr="009D719B">
        <w:t>ganisationsledning, en grundorganisationsledning, en operativ insatsledning (OPIL) samt den militära underrättelse- och säkerhetstjänsten (MUST). Direkt under överbefälhavaren finns också en stab som leder arbetet inom Högkvarteret. Chefen för staben är också chef för Högkvarteret. Försvar</w:t>
      </w:r>
      <w:r w:rsidRPr="009D719B">
        <w:t>s</w:t>
      </w:r>
      <w:r w:rsidRPr="009D719B">
        <w:t>maktens centrala ledningsorganisation illustreras i fig</w:t>
      </w:r>
      <w:r w:rsidRPr="009D719B">
        <w:t>u</w:t>
      </w:r>
      <w:r w:rsidRPr="009D719B">
        <w:t>ren nedan.</w:t>
      </w:r>
    </w:p>
    <w:p w:rsidR="001F14AF" w:rsidRPr="009D719B" w:rsidRDefault="001F14AF">
      <w:pPr>
        <w:pStyle w:val="Beskrivning"/>
      </w:pPr>
      <w:r w:rsidRPr="009D719B">
        <w:br w:type="page"/>
      </w:r>
      <w:r w:rsidRPr="009D719B">
        <w:lastRenderedPageBreak/>
        <w:t xml:space="preserve">Figur </w:t>
      </w:r>
      <w:r w:rsidRPr="009D719B">
        <w:t>2</w:t>
      </w:r>
      <w:r w:rsidRPr="009D719B">
        <w:t>.</w:t>
      </w:r>
      <w:r w:rsidRPr="009D719B">
        <w:t>1</w:t>
      </w:r>
      <w:r w:rsidRPr="009D719B">
        <w:tab/>
        <w:t>Försvarsmaktens centrala ledningsorganisation</w:t>
      </w:r>
    </w:p>
    <w:p w:rsidR="001F14AF" w:rsidRPr="009D719B" w:rsidRDefault="009D719B">
      <w:r w:rsidRPr="009D719B">
        <w:rPr>
          <w:noProof/>
        </w:rPr>
        <mc:AlternateContent>
          <mc:Choice Requires="wpg">
            <w:drawing>
              <wp:anchor distT="0" distB="0" distL="114300" distR="114300" simplePos="0" relativeHeight="251658240" behindDoc="0" locked="0" layoutInCell="0" allowOverlap="1">
                <wp:simplePos x="0" y="0"/>
                <wp:positionH relativeFrom="column">
                  <wp:posOffset>-43815</wp:posOffset>
                </wp:positionH>
                <wp:positionV relativeFrom="paragraph">
                  <wp:posOffset>108585</wp:posOffset>
                </wp:positionV>
                <wp:extent cx="3724275" cy="2705100"/>
                <wp:effectExtent l="0" t="0" r="0" b="0"/>
                <wp:wrapTopAndBottom/>
                <wp:docPr id="114077335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275" cy="2705100"/>
                          <a:chOff x="975" y="915"/>
                          <a:chExt cx="5865" cy="4260"/>
                        </a:xfrm>
                      </wpg:grpSpPr>
                      <wps:wsp>
                        <wps:cNvPr id="584242609" name="Rectangle 36"/>
                        <wps:cNvSpPr>
                          <a:spLocks noChangeArrowheads="1"/>
                        </wps:cNvSpPr>
                        <wps:spPr bwMode="auto">
                          <a:xfrm>
                            <a:off x="975" y="1875"/>
                            <a:ext cx="5865" cy="3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3942554" name="Rectangle 37"/>
                        <wps:cNvSpPr>
                          <a:spLocks noChangeArrowheads="1"/>
                        </wps:cNvSpPr>
                        <wps:spPr bwMode="auto">
                          <a:xfrm>
                            <a:off x="1065" y="3585"/>
                            <a:ext cx="2895" cy="1380"/>
                          </a:xfrm>
                          <a:prstGeom prst="rect">
                            <a:avLst/>
                          </a:prstGeom>
                          <a:solidFill>
                            <a:srgbClr val="FFFFFF"/>
                          </a:solidFill>
                          <a:ln w="952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77274669" name="Text Box 38"/>
                        <wps:cNvSpPr txBox="1">
                          <a:spLocks noChangeArrowheads="1"/>
                        </wps:cNvSpPr>
                        <wps:spPr bwMode="auto">
                          <a:xfrm>
                            <a:off x="2580" y="3795"/>
                            <a:ext cx="1260" cy="9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rubrik"/>
                                <w:jc w:val="center"/>
                              </w:pPr>
                              <w:r w:rsidRPr="009D719B">
                                <w:t>GRO</w:t>
                              </w:r>
                            </w:p>
                            <w:p w:rsidR="001F14AF" w:rsidRPr="009D719B" w:rsidRDefault="001F14AF">
                              <w:pPr>
                                <w:pStyle w:val="Tabell"/>
                                <w:jc w:val="center"/>
                              </w:pPr>
                              <w:r w:rsidRPr="009D719B">
                                <w:t>Grundorganis</w:t>
                              </w:r>
                              <w:r w:rsidRPr="009D719B">
                                <w:t>a</w:t>
                              </w:r>
                              <w:r w:rsidRPr="009D719B">
                                <w:t>tionslednin</w:t>
                              </w:r>
                              <w:r w:rsidRPr="009D719B">
                                <w:t>g</w:t>
                              </w:r>
                              <w:r w:rsidRPr="009D719B">
                                <w:t>en</w:t>
                              </w:r>
                            </w:p>
                          </w:txbxContent>
                        </wps:txbx>
                        <wps:bodyPr rot="0" vert="horz" wrap="square" lIns="0" tIns="144000" rIns="0" bIns="45720" anchor="t" anchorCtr="0" upright="1">
                          <a:noAutofit/>
                        </wps:bodyPr>
                      </wps:wsp>
                      <wps:wsp>
                        <wps:cNvPr id="939801734" name="Oval 39"/>
                        <wps:cNvSpPr>
                          <a:spLocks noChangeArrowheads="1"/>
                        </wps:cNvSpPr>
                        <wps:spPr bwMode="auto">
                          <a:xfrm>
                            <a:off x="2889" y="915"/>
                            <a:ext cx="1887" cy="660"/>
                          </a:xfrm>
                          <a:prstGeom prst="ellipse">
                            <a:avLst/>
                          </a:prstGeom>
                          <a:solidFill>
                            <a:srgbClr val="FFFFFF"/>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609864174" name="Text Box 40"/>
                        <wps:cNvSpPr txBox="1">
                          <a:spLocks noChangeArrowheads="1"/>
                        </wps:cNvSpPr>
                        <wps:spPr bwMode="auto">
                          <a:xfrm>
                            <a:off x="2862" y="1005"/>
                            <a:ext cx="19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AF" w:rsidRPr="009D719B" w:rsidRDefault="001F14AF">
                              <w:pPr>
                                <w:pStyle w:val="Tabellrubrik"/>
                                <w:jc w:val="center"/>
                              </w:pPr>
                              <w:r w:rsidRPr="009D719B">
                                <w:t>Överbefälhavaren</w:t>
                              </w:r>
                            </w:p>
                            <w:p w:rsidR="001F14AF" w:rsidRPr="009D719B" w:rsidRDefault="001F14AF">
                              <w:pPr>
                                <w:pStyle w:val="Tabell"/>
                                <w:jc w:val="center"/>
                              </w:pPr>
                              <w:r w:rsidRPr="009D719B">
                                <w:t>Stf. överbefälhavare</w:t>
                              </w:r>
                            </w:p>
                          </w:txbxContent>
                        </wps:txbx>
                        <wps:bodyPr rot="0" vert="horz" wrap="square" lIns="91440" tIns="45720" rIns="91440" bIns="45720" anchor="t" anchorCtr="0" upright="1">
                          <a:noAutofit/>
                        </wps:bodyPr>
                      </wps:wsp>
                      <wps:wsp>
                        <wps:cNvPr id="1568376494" name="Text Box 41"/>
                        <wps:cNvSpPr txBox="1">
                          <a:spLocks noChangeArrowheads="1"/>
                        </wps:cNvSpPr>
                        <wps:spPr bwMode="auto">
                          <a:xfrm>
                            <a:off x="1275" y="2355"/>
                            <a:ext cx="2130" cy="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rubrik"/>
                                <w:jc w:val="center"/>
                              </w:pPr>
                              <w:r w:rsidRPr="009D719B">
                                <w:t>STAB</w:t>
                              </w:r>
                            </w:p>
                            <w:p w:rsidR="001F14AF" w:rsidRPr="009D719B" w:rsidRDefault="001F14AF">
                              <w:pPr>
                                <w:pStyle w:val="Tabell"/>
                                <w:jc w:val="center"/>
                              </w:pPr>
                              <w:r w:rsidRPr="009D719B">
                                <w:t>F.d. Strategiledningen</w:t>
                              </w:r>
                            </w:p>
                          </w:txbxContent>
                        </wps:txbx>
                        <wps:bodyPr rot="0" vert="horz" wrap="square" lIns="72000" tIns="72000" rIns="72000" bIns="45720" anchor="t" anchorCtr="0" upright="1">
                          <a:noAutofit/>
                        </wps:bodyPr>
                      </wps:wsp>
                      <wps:wsp>
                        <wps:cNvPr id="1930632862" name="Text Box 42"/>
                        <wps:cNvSpPr txBox="1">
                          <a:spLocks noChangeArrowheads="1"/>
                        </wps:cNvSpPr>
                        <wps:spPr bwMode="auto">
                          <a:xfrm>
                            <a:off x="1140" y="3795"/>
                            <a:ext cx="1260" cy="9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rubrik"/>
                                <w:jc w:val="center"/>
                              </w:pPr>
                              <w:r w:rsidRPr="009D719B">
                                <w:t>KRI</w:t>
                              </w:r>
                            </w:p>
                            <w:p w:rsidR="001F14AF" w:rsidRPr="009D719B" w:rsidRDefault="001F14AF">
                              <w:pPr>
                                <w:pStyle w:val="Tabell"/>
                                <w:jc w:val="center"/>
                              </w:pPr>
                              <w:r w:rsidRPr="009D719B">
                                <w:t>Krigsorganis</w:t>
                              </w:r>
                              <w:r w:rsidRPr="009D719B">
                                <w:t>a</w:t>
                              </w:r>
                              <w:r w:rsidRPr="009D719B">
                                <w:t>tionslednin</w:t>
                              </w:r>
                              <w:r w:rsidRPr="009D719B">
                                <w:t>g</w:t>
                              </w:r>
                              <w:r w:rsidRPr="009D719B">
                                <w:t>en</w:t>
                              </w:r>
                            </w:p>
                          </w:txbxContent>
                        </wps:txbx>
                        <wps:bodyPr rot="0" vert="horz" wrap="square" lIns="0" tIns="144000" rIns="0" bIns="45720" anchor="t" anchorCtr="0" upright="1">
                          <a:noAutofit/>
                        </wps:bodyPr>
                      </wps:wsp>
                      <wps:wsp>
                        <wps:cNvPr id="1069767324" name="Line 43"/>
                        <wps:cNvCnPr>
                          <a:cxnSpLocks noChangeShapeType="1"/>
                        </wps:cNvCnPr>
                        <wps:spPr bwMode="auto">
                          <a:xfrm flipV="1">
                            <a:off x="3855" y="1575"/>
                            <a:ext cx="0" cy="17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12551252" name="Text Box 44"/>
                        <wps:cNvSpPr txBox="1">
                          <a:spLocks noChangeArrowheads="1"/>
                        </wps:cNvSpPr>
                        <wps:spPr bwMode="auto">
                          <a:xfrm>
                            <a:off x="5475" y="3795"/>
                            <a:ext cx="1260" cy="9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rubrik"/>
                                <w:jc w:val="center"/>
                              </w:pPr>
                              <w:r w:rsidRPr="009D719B">
                                <w:t>MUST</w:t>
                              </w:r>
                            </w:p>
                            <w:p w:rsidR="001F14AF" w:rsidRPr="009D719B" w:rsidRDefault="001F14AF">
                              <w:pPr>
                                <w:pStyle w:val="Tabell"/>
                                <w:jc w:val="center"/>
                              </w:pPr>
                              <w:r w:rsidRPr="009D719B">
                                <w:t>Militära unde</w:t>
                              </w:r>
                              <w:r w:rsidRPr="009D719B">
                                <w:t>r</w:t>
                              </w:r>
                              <w:r w:rsidRPr="009D719B">
                                <w:t>rättelse- och säkerhetstjänsten</w:t>
                              </w:r>
                            </w:p>
                          </w:txbxContent>
                        </wps:txbx>
                        <wps:bodyPr rot="0" vert="horz" wrap="square" lIns="0" tIns="144000" rIns="0" bIns="45720" anchor="t" anchorCtr="0" upright="1">
                          <a:noAutofit/>
                        </wps:bodyPr>
                      </wps:wsp>
                      <wps:wsp>
                        <wps:cNvPr id="1683258905" name="Text Box 45"/>
                        <wps:cNvSpPr txBox="1">
                          <a:spLocks noChangeArrowheads="1"/>
                        </wps:cNvSpPr>
                        <wps:spPr bwMode="auto">
                          <a:xfrm>
                            <a:off x="4050" y="3795"/>
                            <a:ext cx="1260" cy="9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rubrik"/>
                                <w:jc w:val="center"/>
                              </w:pPr>
                              <w:r w:rsidRPr="009D719B">
                                <w:t>OPIL</w:t>
                              </w:r>
                            </w:p>
                            <w:p w:rsidR="001F14AF" w:rsidRPr="009D719B" w:rsidRDefault="001F14AF">
                              <w:pPr>
                                <w:pStyle w:val="Tabell"/>
                                <w:jc w:val="center"/>
                              </w:pPr>
                              <w:r w:rsidRPr="009D719B">
                                <w:t xml:space="preserve">Operativa </w:t>
                              </w:r>
                              <w:r w:rsidRPr="009D719B">
                                <w:br/>
                                <w:t>insat</w:t>
                              </w:r>
                              <w:r w:rsidRPr="009D719B">
                                <w:t>s</w:t>
                              </w:r>
                              <w:r w:rsidRPr="009D719B">
                                <w:t>ledningen</w:t>
                              </w:r>
                            </w:p>
                          </w:txbxContent>
                        </wps:txbx>
                        <wps:bodyPr rot="0" vert="horz" wrap="square" lIns="0" tIns="144000" rIns="0" bIns="45720" anchor="t" anchorCtr="0" upright="1">
                          <a:noAutofit/>
                        </wps:bodyPr>
                      </wps:wsp>
                      <wps:wsp>
                        <wps:cNvPr id="4998885" name="Line 46"/>
                        <wps:cNvCnPr>
                          <a:cxnSpLocks noChangeShapeType="1"/>
                        </wps:cNvCnPr>
                        <wps:spPr bwMode="auto">
                          <a:xfrm>
                            <a:off x="3405" y="2673"/>
                            <a:ext cx="45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028423917" name="Line 47"/>
                        <wps:cNvCnPr>
                          <a:cxnSpLocks noChangeShapeType="1"/>
                        </wps:cNvCnPr>
                        <wps:spPr bwMode="auto">
                          <a:xfrm>
                            <a:off x="1755" y="3285"/>
                            <a:ext cx="436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872098054" name="Line 48"/>
                        <wps:cNvCnPr>
                          <a:cxnSpLocks noChangeShapeType="1"/>
                        </wps:cNvCnPr>
                        <wps:spPr bwMode="auto">
                          <a:xfrm>
                            <a:off x="1755" y="3285"/>
                            <a:ext cx="0" cy="5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897828347" name="Line 49"/>
                        <wps:cNvCnPr>
                          <a:cxnSpLocks noChangeShapeType="1"/>
                        </wps:cNvCnPr>
                        <wps:spPr bwMode="auto">
                          <a:xfrm flipV="1">
                            <a:off x="4650" y="3285"/>
                            <a:ext cx="0" cy="5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128725632" name="Line 50"/>
                        <wps:cNvCnPr>
                          <a:cxnSpLocks noChangeShapeType="1"/>
                        </wps:cNvCnPr>
                        <wps:spPr bwMode="auto">
                          <a:xfrm flipV="1">
                            <a:off x="6120" y="3285"/>
                            <a:ext cx="0" cy="5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11973110" name="Text Box 51"/>
                        <wps:cNvSpPr txBox="1">
                          <a:spLocks noChangeArrowheads="1"/>
                        </wps:cNvSpPr>
                        <wps:spPr bwMode="auto">
                          <a:xfrm>
                            <a:off x="1275" y="1743"/>
                            <a:ext cx="1305" cy="315"/>
                          </a:xfrm>
                          <a:prstGeom prst="rect">
                            <a:avLst/>
                          </a:prstGeom>
                          <a:solidFill>
                            <a:srgbClr val="FFFFFF"/>
                          </a:solidFill>
                          <a:ln w="9525">
                            <a:solidFill>
                              <a:srgbClr val="000000"/>
                            </a:solidFill>
                            <a:miter lim="800000"/>
                            <a:headEnd/>
                            <a:tailEnd/>
                          </a:ln>
                        </wps:spPr>
                        <wps:txbx>
                          <w:txbxContent>
                            <w:p w:rsidR="001F14AF" w:rsidRPr="009D719B" w:rsidRDefault="001F14AF">
                              <w:pPr>
                                <w:pStyle w:val="Tabellrubrik"/>
                              </w:pPr>
                              <w:r w:rsidRPr="009D719B">
                                <w:t>Högkvarteret</w:t>
                              </w:r>
                            </w:p>
                          </w:txbxContent>
                        </wps:txbx>
                        <wps:bodyPr rot="0" vert="horz" wrap="square" lIns="91440" tIns="45720" rIns="91440" bIns="0" anchor="t" anchorCtr="0" upright="1">
                          <a:noAutofit/>
                        </wps:bodyPr>
                      </wps:wsp>
                      <wps:wsp>
                        <wps:cNvPr id="1675510810" name="Line 52"/>
                        <wps:cNvCnPr>
                          <a:cxnSpLocks noChangeShapeType="1"/>
                        </wps:cNvCnPr>
                        <wps:spPr bwMode="auto">
                          <a:xfrm flipV="1">
                            <a:off x="3135" y="3285"/>
                            <a:ext cx="0" cy="51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3.45pt;margin-top:8.55pt;width:293.25pt;height:213pt;z-index:251658240" coordorigin="975,915" coordsize="5865,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" o:allowincell="f">
                <v:rect id="Rectangle 36" o:spid="_x0000_s1027" style="position:absolute;left:975;top:1875;width:5865;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"/>
                <v:rect id="Rectangle 37" o:spid="_x0000_s1028" style="position:absolute;left:1065;top:3585;width:289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">
                  <v:stroke dashstyle="1 1"/>
                </v:rect>
                <v:shapetype id="_x0000_t202" coordsize="21600,21600" o:spt="202" path="m,l,21600r21600,l21600,xe">
                  <v:stroke joinstyle="miter"/>
                  <v:path gradientshapeok="t" o:connecttype="rect"/>
                </v:shapetype>
                <v:shape id="Text Box 38" o:spid="_x0000_s1029" type="#_x0000_t202" style="position:absolute;left:2580;top:3795;width:126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">
                  <v:shadow on="t"/>
                  <v:textbox inset="0,4mm,0">
                    <w:txbxContent>
                      <w:p w:rsidR="001F14AF" w:rsidRPr="009D719B" w:rsidRDefault="001F14AF">
                        <w:pPr>
                          <w:pStyle w:val="Tabellrubrik"/>
                          <w:jc w:val="center"/>
                        </w:pPr>
                        <w:r w:rsidRPr="009D719B">
                          <w:t>GRO</w:t>
                        </w:r>
                      </w:p>
                      <w:p w:rsidR="001F14AF" w:rsidRPr="009D719B" w:rsidRDefault="001F14AF">
                        <w:pPr>
                          <w:pStyle w:val="Tabell"/>
                          <w:jc w:val="center"/>
                        </w:pPr>
                        <w:r w:rsidRPr="009D719B">
                          <w:t>Grundorganis</w:t>
                        </w:r>
                        <w:r w:rsidRPr="009D719B">
                          <w:t>a</w:t>
                        </w:r>
                        <w:r w:rsidRPr="009D719B">
                          <w:t>tionslednin</w:t>
                        </w:r>
                        <w:r w:rsidRPr="009D719B">
                          <w:t>g</w:t>
                        </w:r>
                        <w:r w:rsidRPr="009D719B">
                          <w:t>en</w:t>
                        </w:r>
                      </w:p>
                    </w:txbxContent>
                  </v:textbox>
                </v:shape>
                <v:oval id="Oval 39" o:spid="_x0000_s1030" style="position:absolute;left:2889;top:915;width:188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">
                  <v:shadow on="t"/>
                </v:oval>
                <v:shape id="Text Box 40" o:spid="_x0000_s1031" type="#_x0000_t202" style="position:absolute;left:2862;top:1005;width:19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" filled="f" stroked="f">
                  <v:textbox>
                    <w:txbxContent>
                      <w:p w:rsidR="001F14AF" w:rsidRPr="009D719B" w:rsidRDefault="001F14AF">
                        <w:pPr>
                          <w:pStyle w:val="Tabellrubrik"/>
                          <w:jc w:val="center"/>
                        </w:pPr>
                        <w:r w:rsidRPr="009D719B">
                          <w:t>Överbefälhavaren</w:t>
                        </w:r>
                      </w:p>
                      <w:p w:rsidR="001F14AF" w:rsidRPr="009D719B" w:rsidRDefault="001F14AF">
                        <w:pPr>
                          <w:pStyle w:val="Tabell"/>
                          <w:jc w:val="center"/>
                        </w:pPr>
                        <w:r w:rsidRPr="009D719B">
                          <w:t>Stf. överbefälhavare</w:t>
                        </w:r>
                      </w:p>
                    </w:txbxContent>
                  </v:textbox>
                </v:shape>
                <v:shape id="Text Box 41" o:spid="_x0000_s1032" type="#_x0000_t202" style="position:absolute;left:1275;top:2355;width:213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">
                  <v:shadow on="t"/>
                  <v:textbox inset="2mm,2mm,2mm">
                    <w:txbxContent>
                      <w:p w:rsidR="001F14AF" w:rsidRPr="009D719B" w:rsidRDefault="001F14AF">
                        <w:pPr>
                          <w:pStyle w:val="Tabellrubrik"/>
                          <w:jc w:val="center"/>
                        </w:pPr>
                        <w:r w:rsidRPr="009D719B">
                          <w:t>STAB</w:t>
                        </w:r>
                      </w:p>
                      <w:p w:rsidR="001F14AF" w:rsidRPr="009D719B" w:rsidRDefault="001F14AF">
                        <w:pPr>
                          <w:pStyle w:val="Tabell"/>
                          <w:jc w:val="center"/>
                        </w:pPr>
                        <w:r w:rsidRPr="009D719B">
                          <w:t>F.d. Strategiledningen</w:t>
                        </w:r>
                      </w:p>
                    </w:txbxContent>
                  </v:textbox>
                </v:shape>
                <v:shape id="Text Box 42" o:spid="_x0000_s1033" type="#_x0000_t202" style="position:absolute;left:1140;top:3795;width:126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">
                  <v:shadow on="t"/>
                  <v:textbox inset="0,4mm,0">
                    <w:txbxContent>
                      <w:p w:rsidR="001F14AF" w:rsidRPr="009D719B" w:rsidRDefault="001F14AF">
                        <w:pPr>
                          <w:pStyle w:val="Tabellrubrik"/>
                          <w:jc w:val="center"/>
                        </w:pPr>
                        <w:r w:rsidRPr="009D719B">
                          <w:t>KRI</w:t>
                        </w:r>
                      </w:p>
                      <w:p w:rsidR="001F14AF" w:rsidRPr="009D719B" w:rsidRDefault="001F14AF">
                        <w:pPr>
                          <w:pStyle w:val="Tabell"/>
                          <w:jc w:val="center"/>
                        </w:pPr>
                        <w:r w:rsidRPr="009D719B">
                          <w:t>Krigsorganis</w:t>
                        </w:r>
                        <w:r w:rsidRPr="009D719B">
                          <w:t>a</w:t>
                        </w:r>
                        <w:r w:rsidRPr="009D719B">
                          <w:t>tionslednin</w:t>
                        </w:r>
                        <w:r w:rsidRPr="009D719B">
                          <w:t>g</w:t>
                        </w:r>
                        <w:r w:rsidRPr="009D719B">
                          <w:t>en</w:t>
                        </w:r>
                      </w:p>
                    </w:txbxContent>
                  </v:textbox>
                </v:shape>
                <v:line id="Line 43" o:spid="_x0000_s1034" style="position:absolute;flip:y;visibility:visible;mso-wrap-style:square" from="3855,1575" to="3855,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" strokecolor="#969696"/>
                <v:shape id="Text Box 44" o:spid="_x0000_s1035" type="#_x0000_t202" style="position:absolute;left:5475;top:3795;width:126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">
                  <v:shadow on="t"/>
                  <v:textbox inset="0,4mm,0">
                    <w:txbxContent>
                      <w:p w:rsidR="001F14AF" w:rsidRPr="009D719B" w:rsidRDefault="001F14AF">
                        <w:pPr>
                          <w:pStyle w:val="Tabellrubrik"/>
                          <w:jc w:val="center"/>
                        </w:pPr>
                        <w:r w:rsidRPr="009D719B">
                          <w:t>MUST</w:t>
                        </w:r>
                      </w:p>
                      <w:p w:rsidR="001F14AF" w:rsidRPr="009D719B" w:rsidRDefault="001F14AF">
                        <w:pPr>
                          <w:pStyle w:val="Tabell"/>
                          <w:jc w:val="center"/>
                        </w:pPr>
                        <w:r w:rsidRPr="009D719B">
                          <w:t>Militära unde</w:t>
                        </w:r>
                        <w:r w:rsidRPr="009D719B">
                          <w:t>r</w:t>
                        </w:r>
                        <w:r w:rsidRPr="009D719B">
                          <w:t>rättelse- och säkerhetstjänsten</w:t>
                        </w:r>
                      </w:p>
                    </w:txbxContent>
                  </v:textbox>
                </v:shape>
                <v:shape id="Text Box 45" o:spid="_x0000_s1036" type="#_x0000_t202" style="position:absolute;left:4050;top:3795;width:126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">
                  <v:shadow on="t"/>
                  <v:textbox inset="0,4mm,0">
                    <w:txbxContent>
                      <w:p w:rsidR="001F14AF" w:rsidRPr="009D719B" w:rsidRDefault="001F14AF">
                        <w:pPr>
                          <w:pStyle w:val="Tabellrubrik"/>
                          <w:jc w:val="center"/>
                        </w:pPr>
                        <w:r w:rsidRPr="009D719B">
                          <w:t>OPIL</w:t>
                        </w:r>
                      </w:p>
                      <w:p w:rsidR="001F14AF" w:rsidRPr="009D719B" w:rsidRDefault="001F14AF">
                        <w:pPr>
                          <w:pStyle w:val="Tabell"/>
                          <w:jc w:val="center"/>
                        </w:pPr>
                        <w:r w:rsidRPr="009D719B">
                          <w:t xml:space="preserve">Operativa </w:t>
                        </w:r>
                        <w:r w:rsidRPr="009D719B">
                          <w:br/>
                          <w:t>insat</w:t>
                        </w:r>
                        <w:r w:rsidRPr="009D719B">
                          <w:t>s</w:t>
                        </w:r>
                        <w:r w:rsidRPr="009D719B">
                          <w:t>ledningen</w:t>
                        </w:r>
                      </w:p>
                    </w:txbxContent>
                  </v:textbox>
                </v:shape>
                <v:line id="Line 46" o:spid="_x0000_s1037" style="position:absolute;visibility:visible;mso-wrap-style:square" from="3405,2673" to="3855,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" strokecolor="#969696"/>
                <v:line id="Line 47" o:spid="_x0000_s1038" style="position:absolute;visibility:visible;mso-wrap-style:square" from="1755,3285" to="6120,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" strokecolor="#969696"/>
                <v:line id="Line 48" o:spid="_x0000_s1039" style="position:absolute;visibility:visible;mso-wrap-style:square" from="1755,3285" to="175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" strokecolor="#969696"/>
                <v:line id="Line 49" o:spid="_x0000_s1040" style="position:absolute;flip:y;visibility:visible;mso-wrap-style:square" from="4650,3285" to="465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" strokecolor="#969696"/>
                <v:line id="Line 50" o:spid="_x0000_s1041" style="position:absolute;flip:y;visibility:visible;mso-wrap-style:square" from="6120,3285" to="6120,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" strokecolor="#969696"/>
                <v:shape id="Text Box 51" o:spid="_x0000_s1042" type="#_x0000_t202" style="position:absolute;left:1275;top:1743;width:130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">
                  <v:textbox inset=",,,0">
                    <w:txbxContent>
                      <w:p w:rsidR="001F14AF" w:rsidRPr="009D719B" w:rsidRDefault="001F14AF">
                        <w:pPr>
                          <w:pStyle w:val="Tabellrubrik"/>
                        </w:pPr>
                        <w:r w:rsidRPr="009D719B">
                          <w:t>Högkvarteret</w:t>
                        </w:r>
                      </w:p>
                    </w:txbxContent>
                  </v:textbox>
                </v:shape>
                <v:line id="Line 52" o:spid="_x0000_s1043" style="position:absolute;flip:y;visibility:visible;mso-wrap-style:square" from="3135,3285" to="313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" strokecolor="#969696"/>
                <w10:wrap type="topAndBottom"/>
              </v:group>
            </w:pict>
          </mc:Fallback>
        </mc:AlternateContent>
      </w:r>
      <w:r w:rsidR="001F14AF" w:rsidRPr="009D719B">
        <w:t>Den övergripande hanteringen av Försvarsmaktens personalfrågor sköts inom Högkvarteret av grundorganisationsledningen (GRO) och personalst</w:t>
      </w:r>
      <w:r w:rsidR="001F14AF" w:rsidRPr="009D719B">
        <w:t>a</w:t>
      </w:r>
      <w:r w:rsidR="001F14AF" w:rsidRPr="009D719B">
        <w:t xml:space="preserve">ben inom Högkvarterets stab.  </w:t>
      </w:r>
    </w:p>
    <w:p w:rsidR="001F14AF" w:rsidRPr="009D719B" w:rsidRDefault="001F14AF">
      <w:pPr>
        <w:pStyle w:val="Normaltindrag"/>
      </w:pPr>
      <w:r w:rsidRPr="009D719B">
        <w:t>Stabsfunktionen i Högkvarterets nya organisation utgörs av den före detta strategiledningen. Chefen för personalstaben inom staben är Försvarsma</w:t>
      </w:r>
      <w:r w:rsidRPr="009D719B">
        <w:t>k</w:t>
      </w:r>
      <w:r w:rsidRPr="009D719B">
        <w:t>tens personalchef och därmed ansvarig för Försvarsmaktens personalförsör</w:t>
      </w:r>
      <w:r w:rsidRPr="009D719B">
        <w:t>j</w:t>
      </w:r>
      <w:r w:rsidRPr="009D719B">
        <w:t>ning. Personalstaben hanterar framför allt det långsiktiga arbetet med ko</w:t>
      </w:r>
      <w:r w:rsidRPr="009D719B">
        <w:t>m</w:t>
      </w:r>
      <w:r w:rsidRPr="009D719B">
        <w:t>petensförsörjning, långsiktig utformning av arbetsgivaransvar (inklusive lönebildningen) samt uppföljningen av dessa frågor inom organisationen. Personalstaben ansvarar också för de direkta förhandlingarna med de olika artbetstagarorganisationerna om frågor rörande lönebildning, a</w:t>
      </w:r>
      <w:r w:rsidRPr="009D719B">
        <w:t>r</w:t>
      </w:r>
      <w:r w:rsidRPr="009D719B">
        <w:t xml:space="preserve">betstid m.m. </w:t>
      </w:r>
    </w:p>
    <w:p w:rsidR="001F14AF" w:rsidRPr="009D719B" w:rsidRDefault="001F14AF">
      <w:pPr>
        <w:pStyle w:val="Normaltindrag"/>
      </w:pPr>
      <w:r w:rsidRPr="009D719B">
        <w:t>Grundorganisationsledningen (GRO) ansvarar för ledningen av Försvar</w:t>
      </w:r>
      <w:r w:rsidRPr="009D719B">
        <w:t>s</w:t>
      </w:r>
      <w:r w:rsidRPr="009D719B">
        <w:t>maktens grundorganisation, dvs. produktionen av förband som ska sättas in i insatsorganisationen. Inom grundorganisationsledningen hanteras bl.a. sty</w:t>
      </w:r>
      <w:r w:rsidRPr="009D719B">
        <w:t>r</w:t>
      </w:r>
      <w:r w:rsidRPr="009D719B">
        <w:t>ningen av förbandens verksamhet genom uppdrag samt bemanningen av organisationsenheterna (förband, skolor och centrum) inom grundorganis</w:t>
      </w:r>
      <w:r w:rsidRPr="009D719B">
        <w:t>a</w:t>
      </w:r>
      <w:r w:rsidRPr="009D719B">
        <w:t xml:space="preserve">tionen. Tanken är att grund- och krigsorganisationsledningen på sikt ska slås ihop till en samlad produktionsledning. </w:t>
      </w:r>
    </w:p>
    <w:p w:rsidR="001F14AF" w:rsidRPr="009D719B" w:rsidRDefault="001F14AF">
      <w:pPr>
        <w:pStyle w:val="Normaltindrag"/>
      </w:pPr>
      <w:r w:rsidRPr="009D719B">
        <w:t>Den operativa insatsledningen (OPIL) svarar för ledningen av Försvar</w:t>
      </w:r>
      <w:r w:rsidRPr="009D719B">
        <w:t>s</w:t>
      </w:r>
      <w:r w:rsidRPr="009D719B">
        <w:t>maktens insatsförband i nationell och internationell tjänst. Den militära u</w:t>
      </w:r>
      <w:r w:rsidRPr="009D719B">
        <w:t>n</w:t>
      </w:r>
      <w:r w:rsidRPr="009D719B">
        <w:t>derrättelsetjänsten (MUST) leder inhämtning, bearbetning och delgivning av militära underrättelser inom Fö</w:t>
      </w:r>
      <w:r w:rsidRPr="009D719B">
        <w:t>r</w:t>
      </w:r>
      <w:r w:rsidRPr="009D719B">
        <w:t xml:space="preserve">svarsmakten. </w:t>
      </w:r>
    </w:p>
    <w:p w:rsidR="001F14AF" w:rsidRPr="009D719B" w:rsidRDefault="001F14AF">
      <w:pPr>
        <w:pStyle w:val="Rubrik3-Utannumrering"/>
      </w:pPr>
      <w:bookmarkStart w:id="35" w:name="_Toc38080773"/>
      <w:r w:rsidRPr="009D719B">
        <w:t>Personalstaben</w:t>
      </w:r>
      <w:bookmarkEnd w:id="35"/>
    </w:p>
    <w:p w:rsidR="001F14AF" w:rsidRPr="009D719B" w:rsidRDefault="001F14AF">
      <w:r w:rsidRPr="009D719B">
        <w:t>Personalstaben består av omkring 20 anställda. Av dessa finns sex anställda inom villkorssektionen och arbetsgivarrollsfunktionen. Bland dessa sex an</w:t>
      </w:r>
      <w:r w:rsidRPr="009D719B">
        <w:lastRenderedPageBreak/>
        <w:t>ställda finns både officerare och civilanställda. Villkorssektionen hanterar förhandlingarna med fackförbunden om sådana löne- och villkorsavtal som är gemensamma för hela Försvarsmakten. Sektionen svarar också för up</w:t>
      </w:r>
      <w:r w:rsidRPr="009D719B">
        <w:t>p</w:t>
      </w:r>
      <w:r w:rsidRPr="009D719B">
        <w:t>följning och analys av löneutvecklingen inom Försvarsmakten, det långsikt</w:t>
      </w:r>
      <w:r w:rsidRPr="009D719B">
        <w:t>i</w:t>
      </w:r>
      <w:r w:rsidRPr="009D719B">
        <w:t>ga arbetet med löne- och villkorsfrågor samt för övriga arbetsgiva</w:t>
      </w:r>
      <w:r w:rsidRPr="009D719B">
        <w:t>r</w:t>
      </w:r>
      <w:r w:rsidRPr="009D719B">
        <w:t>frågor.</w:t>
      </w:r>
    </w:p>
    <w:p w:rsidR="001F14AF" w:rsidRPr="009D719B" w:rsidRDefault="001F14AF">
      <w:pPr>
        <w:pStyle w:val="Normaltindrag"/>
      </w:pPr>
      <w:r w:rsidRPr="009D719B">
        <w:t>I övrigt hanterar personalstaben det långsiktiga arbetet med planeringen av Försvarsmaktens kompetensförsörjning och utvecklingen av myndighetens</w:t>
      </w:r>
      <w:r w:rsidRPr="009D719B">
        <w:t xml:space="preserve"> personalstöd.</w:t>
      </w:r>
    </w:p>
    <w:p w:rsidR="001F14AF" w:rsidRPr="009D719B" w:rsidRDefault="001F14AF">
      <w:pPr>
        <w:pStyle w:val="Normaltindrag"/>
      </w:pPr>
      <w:r w:rsidRPr="009D719B">
        <w:t>Före Högkvarterets nya organisation (från 1 januari 2003) var personalst</w:t>
      </w:r>
      <w:r w:rsidRPr="009D719B">
        <w:t>a</w:t>
      </w:r>
      <w:r w:rsidRPr="009D719B">
        <w:t>ben en egen avdelning inom Högkvarteret på samma organisatoriska nivå som exempelvis grundorganisationsledningen. I och med att personalstaben lyftes in i Högkvarterets stab har antalet anställda vid personalstaben halv</w:t>
      </w:r>
      <w:r w:rsidRPr="009D719B">
        <w:t>e</w:t>
      </w:r>
      <w:r w:rsidRPr="009D719B">
        <w:t>rats när kompetensutvecklingsfrågorna överfördes till grundorganisation</w:t>
      </w:r>
      <w:r w:rsidRPr="009D719B">
        <w:t>s</w:t>
      </w:r>
      <w:r w:rsidRPr="009D719B">
        <w:t xml:space="preserve">ledningen.   </w:t>
      </w:r>
    </w:p>
    <w:p w:rsidR="001F14AF" w:rsidRPr="009D719B" w:rsidRDefault="001F14AF">
      <w:pPr>
        <w:pStyle w:val="Rubrik2"/>
      </w:pPr>
      <w:bookmarkStart w:id="36" w:name="_Toc32301640"/>
      <w:bookmarkStart w:id="37" w:name="_Toc38080774"/>
      <w:bookmarkStart w:id="38" w:name="_Toc38103342"/>
      <w:r w:rsidRPr="009D719B">
        <w:t>Försvarsmaktens personal</w:t>
      </w:r>
      <w:bookmarkEnd w:id="36"/>
      <w:bookmarkEnd w:id="37"/>
      <w:bookmarkEnd w:id="38"/>
    </w:p>
    <w:p w:rsidR="001F14AF" w:rsidRPr="009D719B" w:rsidRDefault="001F14AF">
      <w:r w:rsidRPr="009D719B">
        <w:t>Försvarsmakten är inte någon utpräglat homogen organisation vad gäller personal. Det finns skillnader mellan civil och militär personal vad gäller både arbetsuppgifter och arbetsvillkor. De civilanställda återfinns framför allt i olika stöd- och administrativa befattningar. Även inom grupperna yrkeso</w:t>
      </w:r>
      <w:r w:rsidRPr="009D719B">
        <w:t>f</w:t>
      </w:r>
      <w:r w:rsidRPr="009D719B">
        <w:t>ficerare och civilanställda skiljer sig förutsättningar och arbetsuppgifter åt. Vid bl.a. Högkvarteret finns däremot också ett stort antal civilanställda på kval</w:t>
      </w:r>
      <w:r w:rsidRPr="009D719B">
        <w:t>i</w:t>
      </w:r>
      <w:r w:rsidRPr="009D719B">
        <w:t xml:space="preserve">ficerade poster som t.ex. jurister och ekonomer. </w:t>
      </w:r>
    </w:p>
    <w:p w:rsidR="001F14AF" w:rsidRPr="009D719B" w:rsidRDefault="001F14AF">
      <w:pPr>
        <w:pStyle w:val="Normaltindrag"/>
      </w:pPr>
      <w:r w:rsidRPr="009D719B">
        <w:t>Fördelningen mellan yrkesofficerare och civilanställda inom Försvar</w:t>
      </w:r>
      <w:r w:rsidRPr="009D719B">
        <w:t>s</w:t>
      </w:r>
      <w:r w:rsidRPr="009D719B">
        <w:t>makten redovisas i tabellen ne</w:t>
      </w:r>
      <w:r w:rsidRPr="009D719B">
        <w:t>d</w:t>
      </w:r>
      <w:r w:rsidRPr="009D719B">
        <w:t>an.</w:t>
      </w:r>
    </w:p>
    <w:p w:rsidR="001F14AF" w:rsidRPr="009D719B" w:rsidRDefault="001F14AF">
      <w:pPr>
        <w:pStyle w:val="Beskrivning"/>
      </w:pPr>
      <w:r w:rsidRPr="009D719B">
        <w:t xml:space="preserve">Tabell </w:t>
      </w:r>
      <w:r w:rsidRPr="009D719B">
        <w:t>2</w:t>
      </w:r>
      <w:r w:rsidRPr="009D719B">
        <w:t>.</w:t>
      </w:r>
      <w:r w:rsidRPr="009D719B">
        <w:t>1</w:t>
      </w:r>
      <w:r w:rsidRPr="009D719B">
        <w:tab/>
        <w:t>Antalet anställda inom Försvarsmakten, april 2002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50"/>
        <w:gridCol w:w="851"/>
        <w:gridCol w:w="850"/>
        <w:gridCol w:w="851"/>
        <w:gridCol w:w="936"/>
      </w:tblGrid>
      <w:tr w:rsidR="00000000" w:rsidRPr="009D719B">
        <w:tblPrEx>
          <w:tblCellMar>
            <w:top w:w="0" w:type="dxa"/>
            <w:bottom w:w="0" w:type="dxa"/>
          </w:tblCellMar>
        </w:tblPrEx>
        <w:trPr>
          <w:trHeight w:val="240"/>
        </w:trPr>
        <w:tc>
          <w:tcPr>
            <w:tcW w:w="1630" w:type="dxa"/>
            <w:tcBorders>
              <w:right w:val="single" w:sz="18" w:space="0" w:color="auto"/>
            </w:tcBorders>
            <w:shd w:val="pct15" w:color="auto" w:fill="FFFFFF"/>
          </w:tcPr>
          <w:p w:rsidR="001F14AF" w:rsidRPr="009D719B" w:rsidRDefault="001F14AF">
            <w:pPr>
              <w:pStyle w:val="Tabell"/>
            </w:pPr>
          </w:p>
        </w:tc>
        <w:tc>
          <w:tcPr>
            <w:tcW w:w="1701" w:type="dxa"/>
            <w:gridSpan w:val="2"/>
            <w:tcBorders>
              <w:left w:val="nil"/>
              <w:right w:val="single" w:sz="18" w:space="0" w:color="auto"/>
            </w:tcBorders>
            <w:shd w:val="pct15" w:color="auto" w:fill="FFFFFF"/>
            <w:vAlign w:val="center"/>
          </w:tcPr>
          <w:p w:rsidR="001F14AF" w:rsidRPr="009D719B" w:rsidRDefault="001F14AF">
            <w:pPr>
              <w:pStyle w:val="Tabellrubrik"/>
              <w:jc w:val="center"/>
            </w:pPr>
            <w:r w:rsidRPr="009D719B">
              <w:t>Yrkesofficerare</w:t>
            </w:r>
          </w:p>
        </w:tc>
        <w:tc>
          <w:tcPr>
            <w:tcW w:w="1701" w:type="dxa"/>
            <w:gridSpan w:val="2"/>
            <w:tcBorders>
              <w:left w:val="nil"/>
              <w:right w:val="single" w:sz="18" w:space="0" w:color="auto"/>
            </w:tcBorders>
            <w:shd w:val="pct15" w:color="auto" w:fill="FFFFFF"/>
            <w:vAlign w:val="center"/>
          </w:tcPr>
          <w:p w:rsidR="001F14AF" w:rsidRPr="009D719B" w:rsidRDefault="001F14AF">
            <w:pPr>
              <w:pStyle w:val="Tabellrubrik"/>
              <w:jc w:val="center"/>
            </w:pPr>
            <w:r w:rsidRPr="009D719B">
              <w:t>Civilanställda</w:t>
            </w:r>
          </w:p>
        </w:tc>
        <w:tc>
          <w:tcPr>
            <w:tcW w:w="936" w:type="dxa"/>
            <w:tcBorders>
              <w:left w:val="nil"/>
              <w:right w:val="single" w:sz="18" w:space="0" w:color="auto"/>
            </w:tcBorders>
            <w:shd w:val="pct15" w:color="auto" w:fill="FFFFFF"/>
            <w:vAlign w:val="center"/>
          </w:tcPr>
          <w:p w:rsidR="001F14AF" w:rsidRPr="009D719B" w:rsidRDefault="001F14AF">
            <w:pPr>
              <w:pStyle w:val="Tabellrubrik"/>
              <w:jc w:val="center"/>
            </w:pPr>
            <w:r w:rsidRPr="009D719B">
              <w:t>Totalt</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Armén</w:t>
            </w:r>
          </w:p>
        </w:tc>
        <w:tc>
          <w:tcPr>
            <w:tcW w:w="850" w:type="dxa"/>
            <w:tcBorders>
              <w:left w:val="nil"/>
            </w:tcBorders>
            <w:vAlign w:val="center"/>
          </w:tcPr>
          <w:p w:rsidR="001F14AF" w:rsidRPr="009D719B" w:rsidRDefault="001F14AF">
            <w:pPr>
              <w:pStyle w:val="Tabell"/>
              <w:ind w:right="113"/>
              <w:jc w:val="right"/>
            </w:pPr>
            <w:r w:rsidRPr="009D719B">
              <w:t>3 460</w:t>
            </w:r>
          </w:p>
        </w:tc>
        <w:tc>
          <w:tcPr>
            <w:tcW w:w="851" w:type="dxa"/>
            <w:tcBorders>
              <w:right w:val="single" w:sz="18" w:space="0" w:color="auto"/>
            </w:tcBorders>
            <w:vAlign w:val="center"/>
          </w:tcPr>
          <w:p w:rsidR="001F14AF" w:rsidRPr="009D719B" w:rsidRDefault="001F14AF">
            <w:pPr>
              <w:pStyle w:val="Tabell"/>
              <w:ind w:right="113"/>
              <w:jc w:val="right"/>
            </w:pPr>
            <w:r w:rsidRPr="009D719B">
              <w:t>84 %</w:t>
            </w:r>
          </w:p>
        </w:tc>
        <w:tc>
          <w:tcPr>
            <w:tcW w:w="850" w:type="dxa"/>
            <w:tcBorders>
              <w:left w:val="nil"/>
            </w:tcBorders>
            <w:vAlign w:val="center"/>
          </w:tcPr>
          <w:p w:rsidR="001F14AF" w:rsidRPr="009D719B" w:rsidRDefault="001F14AF">
            <w:pPr>
              <w:pStyle w:val="Tabell"/>
              <w:tabs>
                <w:tab w:val="left" w:pos="355"/>
              </w:tabs>
              <w:ind w:right="57"/>
              <w:jc w:val="right"/>
            </w:pPr>
            <w:r w:rsidRPr="009D719B">
              <w:t>655</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16 %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4 115</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Flygvapnet</w:t>
            </w:r>
          </w:p>
        </w:tc>
        <w:tc>
          <w:tcPr>
            <w:tcW w:w="850" w:type="dxa"/>
            <w:tcBorders>
              <w:left w:val="nil"/>
            </w:tcBorders>
            <w:vAlign w:val="center"/>
          </w:tcPr>
          <w:p w:rsidR="001F14AF" w:rsidRPr="009D719B" w:rsidRDefault="001F14AF">
            <w:pPr>
              <w:pStyle w:val="Tabell"/>
              <w:ind w:right="113"/>
              <w:jc w:val="right"/>
            </w:pPr>
            <w:r w:rsidRPr="009D719B">
              <w:t>2 265</w:t>
            </w:r>
          </w:p>
        </w:tc>
        <w:tc>
          <w:tcPr>
            <w:tcW w:w="851" w:type="dxa"/>
            <w:tcBorders>
              <w:right w:val="single" w:sz="18" w:space="0" w:color="auto"/>
            </w:tcBorders>
            <w:vAlign w:val="center"/>
          </w:tcPr>
          <w:p w:rsidR="001F14AF" w:rsidRPr="009D719B" w:rsidRDefault="001F14AF">
            <w:pPr>
              <w:pStyle w:val="Tabell"/>
              <w:ind w:right="113"/>
              <w:jc w:val="right"/>
            </w:pPr>
            <w:r w:rsidRPr="009D719B">
              <w:t>68 %</w:t>
            </w:r>
          </w:p>
        </w:tc>
        <w:tc>
          <w:tcPr>
            <w:tcW w:w="850" w:type="dxa"/>
            <w:tcBorders>
              <w:left w:val="nil"/>
            </w:tcBorders>
            <w:vAlign w:val="center"/>
          </w:tcPr>
          <w:p w:rsidR="001F14AF" w:rsidRPr="009D719B" w:rsidRDefault="001F14AF">
            <w:pPr>
              <w:pStyle w:val="Tabell"/>
              <w:tabs>
                <w:tab w:val="left" w:pos="355"/>
              </w:tabs>
              <w:ind w:right="57"/>
              <w:jc w:val="right"/>
            </w:pPr>
            <w:r w:rsidRPr="009D719B">
              <w:t>1 067</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32 %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3 332</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Marinen</w:t>
            </w:r>
          </w:p>
        </w:tc>
        <w:tc>
          <w:tcPr>
            <w:tcW w:w="850" w:type="dxa"/>
            <w:tcBorders>
              <w:left w:val="nil"/>
            </w:tcBorders>
            <w:vAlign w:val="center"/>
          </w:tcPr>
          <w:p w:rsidR="001F14AF" w:rsidRPr="009D719B" w:rsidRDefault="001F14AF">
            <w:pPr>
              <w:pStyle w:val="Tabell"/>
              <w:ind w:right="113"/>
              <w:jc w:val="right"/>
            </w:pPr>
            <w:r w:rsidRPr="009D719B">
              <w:t>1 744</w:t>
            </w:r>
          </w:p>
        </w:tc>
        <w:tc>
          <w:tcPr>
            <w:tcW w:w="851" w:type="dxa"/>
            <w:tcBorders>
              <w:right w:val="single" w:sz="18" w:space="0" w:color="auto"/>
            </w:tcBorders>
            <w:vAlign w:val="center"/>
          </w:tcPr>
          <w:p w:rsidR="001F14AF" w:rsidRPr="009D719B" w:rsidRDefault="001F14AF">
            <w:pPr>
              <w:pStyle w:val="Tabell"/>
              <w:ind w:right="113"/>
              <w:jc w:val="right"/>
            </w:pPr>
            <w:r w:rsidRPr="009D719B">
              <w:t>95 %</w:t>
            </w:r>
          </w:p>
        </w:tc>
        <w:tc>
          <w:tcPr>
            <w:tcW w:w="850" w:type="dxa"/>
            <w:tcBorders>
              <w:left w:val="nil"/>
            </w:tcBorders>
            <w:vAlign w:val="center"/>
          </w:tcPr>
          <w:p w:rsidR="001F14AF" w:rsidRPr="009D719B" w:rsidRDefault="001F14AF">
            <w:pPr>
              <w:pStyle w:val="Tabell"/>
              <w:tabs>
                <w:tab w:val="left" w:pos="355"/>
              </w:tabs>
              <w:ind w:right="57"/>
              <w:jc w:val="right"/>
            </w:pPr>
            <w:r w:rsidRPr="009D719B">
              <w:t>100</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5 %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1 844</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Helikopterförband</w:t>
            </w:r>
          </w:p>
        </w:tc>
        <w:tc>
          <w:tcPr>
            <w:tcW w:w="850" w:type="dxa"/>
            <w:tcBorders>
              <w:left w:val="nil"/>
            </w:tcBorders>
            <w:vAlign w:val="center"/>
          </w:tcPr>
          <w:p w:rsidR="001F14AF" w:rsidRPr="009D719B" w:rsidRDefault="001F14AF">
            <w:pPr>
              <w:pStyle w:val="Tabell"/>
              <w:ind w:right="113"/>
              <w:jc w:val="right"/>
            </w:pPr>
            <w:r w:rsidRPr="009D719B">
              <w:t>658</w:t>
            </w:r>
          </w:p>
        </w:tc>
        <w:tc>
          <w:tcPr>
            <w:tcW w:w="851" w:type="dxa"/>
            <w:tcBorders>
              <w:right w:val="single" w:sz="18" w:space="0" w:color="auto"/>
            </w:tcBorders>
            <w:vAlign w:val="center"/>
          </w:tcPr>
          <w:p w:rsidR="001F14AF" w:rsidRPr="009D719B" w:rsidRDefault="001F14AF">
            <w:pPr>
              <w:pStyle w:val="Tabell"/>
              <w:ind w:right="113"/>
              <w:jc w:val="right"/>
            </w:pPr>
            <w:r w:rsidRPr="009D719B">
              <w:t>86 %</w:t>
            </w:r>
          </w:p>
        </w:tc>
        <w:tc>
          <w:tcPr>
            <w:tcW w:w="850" w:type="dxa"/>
            <w:tcBorders>
              <w:left w:val="nil"/>
            </w:tcBorders>
            <w:vAlign w:val="center"/>
          </w:tcPr>
          <w:p w:rsidR="001F14AF" w:rsidRPr="009D719B" w:rsidRDefault="001F14AF">
            <w:pPr>
              <w:pStyle w:val="Tabell"/>
              <w:tabs>
                <w:tab w:val="left" w:pos="355"/>
              </w:tabs>
              <w:ind w:right="57"/>
              <w:jc w:val="right"/>
            </w:pPr>
            <w:r w:rsidRPr="009D719B">
              <w:t>111</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14 %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769</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Ledning</w:t>
            </w:r>
          </w:p>
        </w:tc>
        <w:tc>
          <w:tcPr>
            <w:tcW w:w="850" w:type="dxa"/>
            <w:tcBorders>
              <w:left w:val="nil"/>
            </w:tcBorders>
            <w:vAlign w:val="center"/>
          </w:tcPr>
          <w:p w:rsidR="001F14AF" w:rsidRPr="009D719B" w:rsidRDefault="001F14AF">
            <w:pPr>
              <w:pStyle w:val="Tabell"/>
              <w:ind w:right="113"/>
              <w:jc w:val="right"/>
            </w:pPr>
            <w:r w:rsidRPr="009D719B">
              <w:t>1 598</w:t>
            </w:r>
          </w:p>
        </w:tc>
        <w:tc>
          <w:tcPr>
            <w:tcW w:w="851" w:type="dxa"/>
            <w:tcBorders>
              <w:right w:val="single" w:sz="18" w:space="0" w:color="auto"/>
            </w:tcBorders>
            <w:vAlign w:val="center"/>
          </w:tcPr>
          <w:p w:rsidR="001F14AF" w:rsidRPr="009D719B" w:rsidRDefault="001F14AF">
            <w:pPr>
              <w:pStyle w:val="Tabell"/>
              <w:ind w:right="113"/>
              <w:jc w:val="right"/>
            </w:pPr>
            <w:r w:rsidRPr="009D719B">
              <w:t>78 %</w:t>
            </w:r>
          </w:p>
        </w:tc>
        <w:tc>
          <w:tcPr>
            <w:tcW w:w="850" w:type="dxa"/>
            <w:tcBorders>
              <w:left w:val="nil"/>
            </w:tcBorders>
            <w:vAlign w:val="center"/>
          </w:tcPr>
          <w:p w:rsidR="001F14AF" w:rsidRPr="009D719B" w:rsidRDefault="001F14AF">
            <w:pPr>
              <w:pStyle w:val="Tabell"/>
              <w:tabs>
                <w:tab w:val="left" w:pos="355"/>
              </w:tabs>
              <w:ind w:right="57"/>
              <w:jc w:val="right"/>
            </w:pPr>
            <w:r w:rsidRPr="009D719B">
              <w:t>451</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22 %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2 049</w:t>
            </w:r>
          </w:p>
        </w:tc>
      </w:tr>
      <w:tr w:rsidR="00000000" w:rsidRPr="009D719B">
        <w:tblPrEx>
          <w:tblCellMar>
            <w:top w:w="0" w:type="dxa"/>
            <w:bottom w:w="0" w:type="dxa"/>
          </w:tblCellMar>
        </w:tblPrEx>
        <w:trPr>
          <w:cantSplit/>
          <w:trHeight w:val="240"/>
        </w:trPr>
        <w:tc>
          <w:tcPr>
            <w:tcW w:w="1630" w:type="dxa"/>
            <w:tcBorders>
              <w:right w:val="single" w:sz="18" w:space="0" w:color="auto"/>
            </w:tcBorders>
            <w:vAlign w:val="center"/>
          </w:tcPr>
          <w:p w:rsidR="001F14AF" w:rsidRPr="009D719B" w:rsidRDefault="001F14AF">
            <w:pPr>
              <w:pStyle w:val="Tabellrubrik"/>
            </w:pPr>
            <w:r w:rsidRPr="009D719B">
              <w:t xml:space="preserve">FMLOG </w:t>
            </w:r>
            <w:r w:rsidRPr="009D719B">
              <w:rPr>
                <w:vertAlign w:val="superscript"/>
              </w:rPr>
              <w:t>a)</w:t>
            </w:r>
          </w:p>
        </w:tc>
        <w:tc>
          <w:tcPr>
            <w:tcW w:w="850" w:type="dxa"/>
            <w:tcBorders>
              <w:left w:val="nil"/>
            </w:tcBorders>
            <w:vAlign w:val="center"/>
          </w:tcPr>
          <w:p w:rsidR="001F14AF" w:rsidRPr="009D719B" w:rsidRDefault="001F14AF">
            <w:pPr>
              <w:pStyle w:val="Tabell"/>
              <w:ind w:right="113"/>
              <w:jc w:val="right"/>
            </w:pPr>
            <w:r w:rsidRPr="009D719B">
              <w:t>544</w:t>
            </w:r>
          </w:p>
        </w:tc>
        <w:tc>
          <w:tcPr>
            <w:tcW w:w="851" w:type="dxa"/>
            <w:tcBorders>
              <w:right w:val="single" w:sz="18" w:space="0" w:color="auto"/>
            </w:tcBorders>
            <w:vAlign w:val="center"/>
          </w:tcPr>
          <w:p w:rsidR="001F14AF" w:rsidRPr="009D719B" w:rsidRDefault="001F14AF">
            <w:pPr>
              <w:pStyle w:val="Tabell"/>
              <w:ind w:right="113"/>
              <w:jc w:val="right"/>
            </w:pPr>
            <w:r w:rsidRPr="009D719B">
              <w:t>9 %</w:t>
            </w:r>
          </w:p>
        </w:tc>
        <w:tc>
          <w:tcPr>
            <w:tcW w:w="850" w:type="dxa"/>
            <w:tcBorders>
              <w:left w:val="nil"/>
            </w:tcBorders>
            <w:vAlign w:val="center"/>
          </w:tcPr>
          <w:p w:rsidR="001F14AF" w:rsidRPr="009D719B" w:rsidRDefault="001F14AF">
            <w:pPr>
              <w:pStyle w:val="Tabell"/>
              <w:tabs>
                <w:tab w:val="left" w:pos="355"/>
              </w:tabs>
              <w:ind w:right="57"/>
              <w:jc w:val="right"/>
            </w:pPr>
            <w:r w:rsidRPr="009D719B">
              <w:t>5 416</w:t>
            </w:r>
          </w:p>
        </w:tc>
        <w:tc>
          <w:tcPr>
            <w:tcW w:w="851" w:type="dxa"/>
            <w:tcBorders>
              <w:right w:val="single" w:sz="18" w:space="0" w:color="auto"/>
            </w:tcBorders>
            <w:vAlign w:val="center"/>
          </w:tcPr>
          <w:p w:rsidR="001F14AF" w:rsidRPr="009D719B" w:rsidRDefault="001F14AF">
            <w:pPr>
              <w:pStyle w:val="Tabell"/>
              <w:tabs>
                <w:tab w:val="left" w:pos="1206"/>
              </w:tabs>
              <w:ind w:right="113"/>
              <w:jc w:val="right"/>
            </w:pPr>
            <w:r w:rsidRPr="009D719B">
              <w:t>91 %</w:t>
            </w:r>
          </w:p>
        </w:tc>
        <w:tc>
          <w:tcPr>
            <w:tcW w:w="936" w:type="dxa"/>
            <w:tcBorders>
              <w:left w:val="nil"/>
              <w:right w:val="single" w:sz="18" w:space="0" w:color="auto"/>
            </w:tcBorders>
            <w:vAlign w:val="center"/>
          </w:tcPr>
          <w:p w:rsidR="001F14AF" w:rsidRPr="009D719B" w:rsidRDefault="001F14AF">
            <w:pPr>
              <w:pStyle w:val="Tabell"/>
              <w:tabs>
                <w:tab w:val="left" w:pos="922"/>
              </w:tabs>
              <w:ind w:right="158"/>
              <w:jc w:val="right"/>
            </w:pPr>
            <w:r w:rsidRPr="009D719B">
              <w:t>5 960</w:t>
            </w:r>
          </w:p>
        </w:tc>
      </w:tr>
      <w:tr w:rsidR="00000000" w:rsidRPr="009D719B">
        <w:tblPrEx>
          <w:tblCellMar>
            <w:top w:w="0" w:type="dxa"/>
            <w:bottom w:w="0" w:type="dxa"/>
          </w:tblCellMar>
        </w:tblPrEx>
        <w:trPr>
          <w:cantSplit/>
          <w:trHeight w:val="240"/>
        </w:trPr>
        <w:tc>
          <w:tcPr>
            <w:tcW w:w="1630" w:type="dxa"/>
            <w:tcBorders>
              <w:bottom w:val="single" w:sz="4" w:space="0" w:color="auto"/>
              <w:right w:val="single" w:sz="18" w:space="0" w:color="auto"/>
            </w:tcBorders>
            <w:vAlign w:val="center"/>
          </w:tcPr>
          <w:p w:rsidR="001F14AF" w:rsidRPr="009D719B" w:rsidRDefault="001F14AF">
            <w:pPr>
              <w:pStyle w:val="Tabellrubrik"/>
            </w:pPr>
            <w:r w:rsidRPr="009D719B">
              <w:t>Skolor och cen</w:t>
            </w:r>
            <w:r w:rsidRPr="009D719B">
              <w:t>t</w:t>
            </w:r>
            <w:r w:rsidRPr="009D719B">
              <w:t>rum</w:t>
            </w:r>
          </w:p>
        </w:tc>
        <w:tc>
          <w:tcPr>
            <w:tcW w:w="850" w:type="dxa"/>
            <w:tcBorders>
              <w:left w:val="nil"/>
              <w:bottom w:val="single" w:sz="4" w:space="0" w:color="auto"/>
            </w:tcBorders>
            <w:vAlign w:val="center"/>
          </w:tcPr>
          <w:p w:rsidR="001F14AF" w:rsidRPr="009D719B" w:rsidRDefault="001F14AF">
            <w:pPr>
              <w:pStyle w:val="Tabell"/>
              <w:ind w:right="113"/>
              <w:jc w:val="right"/>
            </w:pPr>
            <w:r w:rsidRPr="009D719B">
              <w:t>1 293</w:t>
            </w:r>
          </w:p>
        </w:tc>
        <w:tc>
          <w:tcPr>
            <w:tcW w:w="851" w:type="dxa"/>
            <w:tcBorders>
              <w:bottom w:val="single" w:sz="4" w:space="0" w:color="auto"/>
              <w:right w:val="single" w:sz="18" w:space="0" w:color="auto"/>
            </w:tcBorders>
            <w:vAlign w:val="center"/>
          </w:tcPr>
          <w:p w:rsidR="001F14AF" w:rsidRPr="009D719B" w:rsidRDefault="001F14AF">
            <w:pPr>
              <w:pStyle w:val="Tabell"/>
              <w:ind w:right="113"/>
              <w:jc w:val="right"/>
            </w:pPr>
            <w:r w:rsidRPr="009D719B">
              <w:t>77 %</w:t>
            </w:r>
          </w:p>
        </w:tc>
        <w:tc>
          <w:tcPr>
            <w:tcW w:w="850" w:type="dxa"/>
            <w:tcBorders>
              <w:left w:val="nil"/>
              <w:bottom w:val="single" w:sz="4" w:space="0" w:color="auto"/>
            </w:tcBorders>
            <w:vAlign w:val="center"/>
          </w:tcPr>
          <w:p w:rsidR="001F14AF" w:rsidRPr="009D719B" w:rsidRDefault="001F14AF">
            <w:pPr>
              <w:pStyle w:val="Tabell"/>
              <w:tabs>
                <w:tab w:val="left" w:pos="355"/>
              </w:tabs>
              <w:ind w:right="57"/>
              <w:jc w:val="right"/>
            </w:pPr>
            <w:r w:rsidRPr="009D719B">
              <w:t>388</w:t>
            </w:r>
          </w:p>
        </w:tc>
        <w:tc>
          <w:tcPr>
            <w:tcW w:w="851" w:type="dxa"/>
            <w:tcBorders>
              <w:bottom w:val="single" w:sz="4" w:space="0" w:color="auto"/>
              <w:right w:val="single" w:sz="18" w:space="0" w:color="auto"/>
            </w:tcBorders>
            <w:vAlign w:val="center"/>
          </w:tcPr>
          <w:p w:rsidR="001F14AF" w:rsidRPr="009D719B" w:rsidRDefault="001F14AF">
            <w:pPr>
              <w:pStyle w:val="Tabell"/>
              <w:tabs>
                <w:tab w:val="left" w:pos="1206"/>
              </w:tabs>
              <w:ind w:right="113"/>
              <w:jc w:val="right"/>
            </w:pPr>
            <w:r w:rsidRPr="009D719B">
              <w:t>23 %</w:t>
            </w:r>
          </w:p>
        </w:tc>
        <w:tc>
          <w:tcPr>
            <w:tcW w:w="936" w:type="dxa"/>
            <w:tcBorders>
              <w:left w:val="nil"/>
              <w:bottom w:val="single" w:sz="4" w:space="0" w:color="auto"/>
              <w:right w:val="single" w:sz="18" w:space="0" w:color="auto"/>
            </w:tcBorders>
            <w:vAlign w:val="center"/>
          </w:tcPr>
          <w:p w:rsidR="001F14AF" w:rsidRPr="009D719B" w:rsidRDefault="001F14AF">
            <w:pPr>
              <w:pStyle w:val="Tabell"/>
              <w:tabs>
                <w:tab w:val="left" w:pos="922"/>
              </w:tabs>
              <w:ind w:right="158"/>
              <w:jc w:val="right"/>
            </w:pPr>
            <w:r w:rsidRPr="009D719B">
              <w:t>1 681</w:t>
            </w:r>
          </w:p>
        </w:tc>
      </w:tr>
      <w:tr w:rsidR="00000000" w:rsidRPr="009D719B">
        <w:tblPrEx>
          <w:tblCellMar>
            <w:top w:w="0" w:type="dxa"/>
            <w:bottom w:w="0" w:type="dxa"/>
          </w:tblCellMar>
        </w:tblPrEx>
        <w:trPr>
          <w:trHeight w:val="240"/>
        </w:trPr>
        <w:tc>
          <w:tcPr>
            <w:tcW w:w="1630" w:type="dxa"/>
            <w:tcBorders>
              <w:bottom w:val="single" w:sz="18" w:space="0" w:color="auto"/>
              <w:right w:val="single" w:sz="18" w:space="0" w:color="auto"/>
            </w:tcBorders>
            <w:shd w:val="pct10" w:color="auto" w:fill="FFFFFF"/>
          </w:tcPr>
          <w:p w:rsidR="001F14AF" w:rsidRPr="009D719B" w:rsidRDefault="001F14AF">
            <w:pPr>
              <w:pStyle w:val="Tabell"/>
            </w:pPr>
          </w:p>
        </w:tc>
        <w:tc>
          <w:tcPr>
            <w:tcW w:w="850" w:type="dxa"/>
            <w:tcBorders>
              <w:left w:val="nil"/>
              <w:bottom w:val="single" w:sz="18" w:space="0" w:color="auto"/>
            </w:tcBorders>
            <w:shd w:val="pct10" w:color="auto" w:fill="FFFFFF"/>
            <w:vAlign w:val="center"/>
          </w:tcPr>
          <w:p w:rsidR="001F14AF" w:rsidRPr="009D719B" w:rsidRDefault="001F14AF">
            <w:pPr>
              <w:pStyle w:val="Tabellrubrik"/>
              <w:tabs>
                <w:tab w:val="left" w:pos="369"/>
              </w:tabs>
              <w:ind w:right="113"/>
              <w:jc w:val="right"/>
            </w:pPr>
            <w:r w:rsidRPr="009D719B">
              <w:t>11 562</w:t>
            </w:r>
          </w:p>
        </w:tc>
        <w:tc>
          <w:tcPr>
            <w:tcW w:w="851" w:type="dxa"/>
            <w:tcBorders>
              <w:bottom w:val="single" w:sz="18" w:space="0" w:color="auto"/>
              <w:right w:val="single" w:sz="18" w:space="0" w:color="auto"/>
            </w:tcBorders>
            <w:shd w:val="pct10" w:color="auto" w:fill="FFFFFF"/>
            <w:vAlign w:val="center"/>
          </w:tcPr>
          <w:p w:rsidR="001F14AF" w:rsidRPr="009D719B" w:rsidRDefault="001F14AF">
            <w:pPr>
              <w:pStyle w:val="Tabellrubrik"/>
              <w:tabs>
                <w:tab w:val="left" w:pos="369"/>
              </w:tabs>
              <w:ind w:right="113"/>
              <w:jc w:val="right"/>
            </w:pPr>
            <w:r w:rsidRPr="009D719B">
              <w:t>59 %</w:t>
            </w:r>
          </w:p>
        </w:tc>
        <w:tc>
          <w:tcPr>
            <w:tcW w:w="850" w:type="dxa"/>
            <w:tcBorders>
              <w:left w:val="nil"/>
              <w:bottom w:val="single" w:sz="18" w:space="0" w:color="auto"/>
            </w:tcBorders>
            <w:shd w:val="pct10" w:color="auto" w:fill="FFFFFF"/>
            <w:vAlign w:val="center"/>
          </w:tcPr>
          <w:p w:rsidR="001F14AF" w:rsidRPr="009D719B" w:rsidRDefault="001F14AF">
            <w:pPr>
              <w:pStyle w:val="Tabellrubrik"/>
              <w:tabs>
                <w:tab w:val="left" w:pos="355"/>
              </w:tabs>
              <w:ind w:right="57"/>
              <w:jc w:val="right"/>
            </w:pPr>
            <w:r w:rsidRPr="009D719B">
              <w:t>8 188</w:t>
            </w:r>
          </w:p>
        </w:tc>
        <w:tc>
          <w:tcPr>
            <w:tcW w:w="851" w:type="dxa"/>
            <w:tcBorders>
              <w:bottom w:val="single" w:sz="18" w:space="0" w:color="auto"/>
              <w:right w:val="single" w:sz="18" w:space="0" w:color="auto"/>
            </w:tcBorders>
            <w:shd w:val="pct10" w:color="auto" w:fill="FFFFFF"/>
            <w:vAlign w:val="center"/>
          </w:tcPr>
          <w:p w:rsidR="001F14AF" w:rsidRPr="009D719B" w:rsidRDefault="001F14AF">
            <w:pPr>
              <w:pStyle w:val="Tabellrubrik"/>
              <w:tabs>
                <w:tab w:val="left" w:pos="1206"/>
              </w:tabs>
              <w:ind w:right="113"/>
              <w:jc w:val="right"/>
            </w:pPr>
            <w:r w:rsidRPr="009D719B">
              <w:t>41 %</w:t>
            </w:r>
          </w:p>
        </w:tc>
        <w:tc>
          <w:tcPr>
            <w:tcW w:w="936" w:type="dxa"/>
            <w:tcBorders>
              <w:left w:val="nil"/>
              <w:bottom w:val="single" w:sz="18" w:space="0" w:color="auto"/>
              <w:right w:val="single" w:sz="18" w:space="0" w:color="auto"/>
            </w:tcBorders>
            <w:shd w:val="pct10" w:color="auto" w:fill="FFFFFF"/>
            <w:vAlign w:val="center"/>
          </w:tcPr>
          <w:p w:rsidR="001F14AF" w:rsidRPr="009D719B" w:rsidRDefault="001F14AF">
            <w:pPr>
              <w:pStyle w:val="Tabellrubrik"/>
              <w:tabs>
                <w:tab w:val="left" w:pos="369"/>
                <w:tab w:val="left" w:pos="922"/>
              </w:tabs>
              <w:ind w:right="158"/>
              <w:jc w:val="right"/>
            </w:pPr>
            <w:r w:rsidRPr="009D719B">
              <w:t>19 750</w:t>
            </w:r>
          </w:p>
        </w:tc>
      </w:tr>
    </w:tbl>
    <w:p w:rsidR="001F14AF" w:rsidRPr="009D719B" w:rsidRDefault="001F14AF">
      <w:pPr>
        <w:pStyle w:val="Tabell"/>
        <w:jc w:val="left"/>
      </w:pPr>
      <w:r w:rsidRPr="009D719B">
        <w:t>Källa: Försvarsmakten</w:t>
      </w:r>
    </w:p>
    <w:p w:rsidR="001F14AF" w:rsidRPr="009D719B" w:rsidRDefault="001F14AF">
      <w:pPr>
        <w:pStyle w:val="Tabell"/>
        <w:tabs>
          <w:tab w:val="left" w:pos="284"/>
        </w:tabs>
        <w:jc w:val="left"/>
      </w:pPr>
      <w:r w:rsidRPr="009D719B">
        <w:t xml:space="preserve">a) </w:t>
      </w:r>
      <w:r w:rsidRPr="009D719B">
        <w:tab/>
        <w:t xml:space="preserve">FMLOG utgör Försvarsmaktens samlade stöd- och logistikfunktion och är spridd </w:t>
      </w:r>
      <w:r w:rsidRPr="009D719B">
        <w:tab/>
        <w:t xml:space="preserve">över samtliga förband. </w:t>
      </w:r>
    </w:p>
    <w:p w:rsidR="001F14AF" w:rsidRPr="009D719B" w:rsidRDefault="001F14AF">
      <w:pPr>
        <w:pStyle w:val="Rubrik3-Utannumrering"/>
      </w:pPr>
      <w:bookmarkStart w:id="39" w:name="_Toc38080775"/>
      <w:r w:rsidRPr="009D719B">
        <w:t>Armén</w:t>
      </w:r>
      <w:bookmarkEnd w:id="39"/>
    </w:p>
    <w:p w:rsidR="001F14AF" w:rsidRPr="009D719B" w:rsidRDefault="001F14AF">
      <w:r w:rsidRPr="009D719B">
        <w:t>Armén är den största försvarsgrenen, både vad gäller antalet anställda och antalet förband. Neddragningarna och omstruktureringarna under 1990-talet har också drabbat armén hårdast. And</w:t>
      </w:r>
      <w:r w:rsidRPr="009D719B">
        <w:t>e</w:t>
      </w:r>
      <w:r w:rsidRPr="009D719B">
        <w:t xml:space="preserve">len civilanställda är omkring 15 %. </w:t>
      </w:r>
    </w:p>
    <w:p w:rsidR="001F14AF" w:rsidRPr="009D719B" w:rsidRDefault="001F14AF">
      <w:pPr>
        <w:pStyle w:val="Normaltindrag"/>
      </w:pPr>
      <w:r w:rsidRPr="009D719B">
        <w:t xml:space="preserve">Arméförbanden sysslar huvudsakligen med att utbilda värnpliktiga. Enligt Pliktverkets statistik utbildas drygt 72 % av de värnpliktiga inom armén. De </w:t>
      </w:r>
      <w:r w:rsidRPr="009D719B">
        <w:lastRenderedPageBreak/>
        <w:t>internationella insatserna bemannades också under 1990-talet i stort sett enbart från arméförbanden. Deltagandet från de övriga försvarsgrenarna ökar däremot nu bl.a. på grund av utvecklingen av EU:s krishanteringsförmåga. Armén fortsätter dock att utgöra huvuddelen av både det svenska försvaret och de internationella insa</w:t>
      </w:r>
      <w:r w:rsidRPr="009D719B">
        <w:t>t</w:t>
      </w:r>
      <w:r w:rsidRPr="009D719B">
        <w:t xml:space="preserve">serna. </w:t>
      </w:r>
    </w:p>
    <w:p w:rsidR="001F14AF" w:rsidRPr="009D719B" w:rsidRDefault="001F14AF">
      <w:pPr>
        <w:pStyle w:val="Rubrik3-Utannumrering"/>
      </w:pPr>
      <w:bookmarkStart w:id="40" w:name="_Toc38080776"/>
      <w:r w:rsidRPr="009D719B">
        <w:t>Marinen</w:t>
      </w:r>
      <w:bookmarkEnd w:id="40"/>
    </w:p>
    <w:p w:rsidR="001F14AF" w:rsidRPr="009D719B" w:rsidRDefault="001F14AF">
      <w:r w:rsidRPr="009D719B">
        <w:t>Vid de marina förbanden är andelen civilanställda mycket liten. Framför allt vid de fyra fartygsförbanden är andelen civilanställda i stort sett obefintlig. Enligt företrädare för marinen beror detta på att de marina fartygsförbanden arbetar i sin insatsorganisation på ett sätt som varken armén eller flygvapnet gör. De marina fartygsförbanden ska fungera i krig på ungefär liknande sätt som de gör i fred, vilket innebär att många befattningar med nödvändighet är militära. Även inom förbandens administration</w:t>
      </w:r>
      <w:r w:rsidRPr="009D719B">
        <w:t xml:space="preserve"> och stödtjänster är befat</w:t>
      </w:r>
      <w:r w:rsidRPr="009D719B">
        <w:t>t</w:t>
      </w:r>
      <w:r w:rsidRPr="009D719B">
        <w:t>ningarna oftast militära. Befattningarna vid de marina fartygsförbanden är ofta tekniskt komplicerade och kräver över lag en relativt lång utbildning.</w:t>
      </w:r>
    </w:p>
    <w:p w:rsidR="001F14AF" w:rsidRPr="009D719B" w:rsidRDefault="001F14AF">
      <w:pPr>
        <w:pStyle w:val="Normaltindrag"/>
      </w:pPr>
      <w:r w:rsidRPr="009D719B">
        <w:t>Vid de två amfibieförbanden (i Vaxholm och Göteborg) är andelen civi</w:t>
      </w:r>
      <w:r w:rsidRPr="009D719B">
        <w:t>l</w:t>
      </w:r>
      <w:r w:rsidRPr="009D719B">
        <w:t xml:space="preserve">anställda något högre och verksamheten kan mer liknas vid den inom armén. I marinen ingår också två marinbaser som leder övervakningen av svenskt territorialvatten och ger visst stöd till de olika marina förbanden. </w:t>
      </w:r>
    </w:p>
    <w:p w:rsidR="001F14AF" w:rsidRPr="009D719B" w:rsidRDefault="001F14AF">
      <w:pPr>
        <w:pStyle w:val="Rubrik3-Utannumrering"/>
      </w:pPr>
      <w:bookmarkStart w:id="41" w:name="_Toc38080777"/>
      <w:r w:rsidRPr="009D719B">
        <w:t>Flygvapnet</w:t>
      </w:r>
      <w:bookmarkEnd w:id="41"/>
    </w:p>
    <w:p w:rsidR="001F14AF" w:rsidRPr="009D719B" w:rsidRDefault="001F14AF">
      <w:r w:rsidRPr="009D719B">
        <w:t>Flygvapnet har framför allt två utmärkande drag när det gäller personalfr</w:t>
      </w:r>
      <w:r w:rsidRPr="009D719B">
        <w:t>å</w:t>
      </w:r>
      <w:r w:rsidRPr="009D719B">
        <w:t>gor. För det första har flygvapnet, jämfört med de övriga försvarsgrenarna, en mycket hög andel civilanställda. Omkring en tredjedel av personalen i flygvapnet är civilanställda. Integrationen av militär och civil personal inom Försvarsmakten har kommit längst inom flygvapnet. Enligt de intervjuer som genomförts under denna granskning beror detta på att de civilanställda, i form av t.ex. flygtekniker och flygledare, deltar i kärnverksamheten på ett annat sätt än vid arméförband. Flygvapnet har också en bet</w:t>
      </w:r>
      <w:r w:rsidRPr="009D719B">
        <w:t xml:space="preserve">ydligt kortare historia än de andra försvarsgrenarna, vilket kan vara en påverkande faktor. </w:t>
      </w:r>
    </w:p>
    <w:p w:rsidR="001F14AF" w:rsidRPr="009D719B" w:rsidRDefault="001F14AF">
      <w:pPr>
        <w:pStyle w:val="Normaltindrag"/>
      </w:pPr>
      <w:r w:rsidRPr="009D719B">
        <w:t>Civilanställda arbetar annars oftast i olika stödfunktioner inom Försvar</w:t>
      </w:r>
      <w:r w:rsidRPr="009D719B">
        <w:t>s</w:t>
      </w:r>
      <w:r w:rsidRPr="009D719B">
        <w:t xml:space="preserve">makten och är enligt de civila fackförbunden (Försvarsförbundet och SEKO) en lägre prioriterad yrkesgrupp vad gäller t.ex. kompetensutveckling och karriärmöjligheter. </w:t>
      </w:r>
    </w:p>
    <w:p w:rsidR="001F14AF" w:rsidRPr="009D719B" w:rsidRDefault="001F14AF">
      <w:pPr>
        <w:pStyle w:val="Normaltindrag"/>
      </w:pPr>
      <w:r w:rsidRPr="009D719B">
        <w:t>För det andra finns det inom flygvapnet en yrkesgrupp med mycket spec</w:t>
      </w:r>
      <w:r w:rsidRPr="009D719B">
        <w:t>i</w:t>
      </w:r>
      <w:r w:rsidRPr="009D719B">
        <w:t>ella förutsättningar, nämligen flygförarna. De militära flygförarna uppfattas inom flygvapnet som en speciell och skyddad yrkesgrupp med lönenivåer långt över övriga yrkesofficerare. De höga lönenivåerna motiveras med den höga utbildningskostnaden för flygförare kombinerat med det starka mar</w:t>
      </w:r>
      <w:r w:rsidRPr="009D719B">
        <w:t>k</w:t>
      </w:r>
      <w:r w:rsidRPr="009D719B">
        <w:t xml:space="preserve">nadstrycket från den civila flygfarten. Från och med 1999 har de militära flygförarna ett nytt och mycket speciellt löneavtal som diskuteras utförligare i kapitel 6. </w:t>
      </w:r>
    </w:p>
    <w:p w:rsidR="001F14AF" w:rsidRPr="009D719B" w:rsidRDefault="001F14AF">
      <w:pPr>
        <w:pStyle w:val="Rubrik3-Utannumrering"/>
      </w:pPr>
      <w:bookmarkStart w:id="42" w:name="_Toc38080778"/>
      <w:r w:rsidRPr="009D719B">
        <w:lastRenderedPageBreak/>
        <w:t>Försvarsmaktens logistik (FMLOG)</w:t>
      </w:r>
      <w:bookmarkEnd w:id="42"/>
    </w:p>
    <w:p w:rsidR="001F14AF" w:rsidRPr="009D719B" w:rsidRDefault="001F14AF">
      <w:r w:rsidRPr="009D719B">
        <w:t>Den 1 januari 2002 inrättades Försvarsmaktens logistik (FMLOG) som en samlad organisation för stöd och underhåll inom Försvarsmakten. Stöd- och underhållstjänster som tidigare varit respektive förbandschefs ansvar slogs samman till en organisation. FMLOG är formellt att betrakta som ett fö</w:t>
      </w:r>
      <w:r w:rsidRPr="009D719B">
        <w:t>r</w:t>
      </w:r>
      <w:r w:rsidRPr="009D719B">
        <w:t>band, men skiljer sig på avgörande punkter från övriga organisationsenheter inom grundorganisationen.</w:t>
      </w:r>
    </w:p>
    <w:p w:rsidR="001F14AF" w:rsidRPr="009D719B" w:rsidRDefault="001F14AF">
      <w:pPr>
        <w:pStyle w:val="Normaltindrag"/>
      </w:pPr>
      <w:r w:rsidRPr="009D719B">
        <w:t>Försvarsmaktens logistik är helt igenom avgiftsfinansierad, vilket innebär att övriga organisationsenheter ska köpa in stödtjänster i form av exempelvis fordonsunderhåll, kontorstjänster och matlagning från FMLOG. Organisati</w:t>
      </w:r>
      <w:r w:rsidRPr="009D719B">
        <w:t>o</w:t>
      </w:r>
      <w:r w:rsidRPr="009D719B">
        <w:t>nen är spridd på 65 olika enheter som är lokaliserade tillsammans med grundorganisationens organisation</w:t>
      </w:r>
      <w:r w:rsidRPr="009D719B">
        <w:t>s</w:t>
      </w:r>
      <w:r w:rsidRPr="009D719B">
        <w:t xml:space="preserve">enheter runt om i landet. </w:t>
      </w:r>
    </w:p>
    <w:p w:rsidR="001F14AF" w:rsidRPr="009D719B" w:rsidRDefault="001F14AF">
      <w:pPr>
        <w:pStyle w:val="Normaltindrag"/>
      </w:pPr>
      <w:r w:rsidRPr="009D719B">
        <w:t>Personalen vid Försvarsmaktens logistik utgör en tredjedel av alla anstäl</w:t>
      </w:r>
      <w:r w:rsidRPr="009D719B">
        <w:t>l</w:t>
      </w:r>
      <w:r w:rsidRPr="009D719B">
        <w:t>da inom Försvarsmakten. Den övervägande delen är civilanställd (drygt 5 000), men organisationen har även ett antal yrkesofficerare. Under organ</w:t>
      </w:r>
      <w:r w:rsidRPr="009D719B">
        <w:t>i</w:t>
      </w:r>
      <w:r w:rsidRPr="009D719B">
        <w:t>sationens första levnadsår har omkring 500 yrkesofficerare arbetat inom FMLOG. Antalet yrkeso</w:t>
      </w:r>
      <w:r w:rsidRPr="009D719B">
        <w:t>f</w:t>
      </w:r>
      <w:r w:rsidRPr="009D719B">
        <w:t xml:space="preserve">ficerare ska på sikt minskas till 250. </w:t>
      </w:r>
    </w:p>
    <w:p w:rsidR="001F14AF" w:rsidRPr="009D719B" w:rsidRDefault="001F14AF">
      <w:pPr>
        <w:pStyle w:val="Normaltindrag"/>
      </w:pPr>
      <w:r w:rsidRPr="009D719B">
        <w:t>Tanken är att Försvarsmaktens logistik ska vara en utpräglat civil organ</w:t>
      </w:r>
      <w:r w:rsidRPr="009D719B">
        <w:t>i</w:t>
      </w:r>
      <w:r w:rsidRPr="009D719B">
        <w:t>sation med civila enhetschefer som har budget- och arbetsgivaransvar. I inledningsskedet är detta ansvar dock samlat hos den centrala ledningen för Försvarsmaktens logistik. I samband med att enhetscheferna utbildas ska ansvaret för verksamheten flyttas län</w:t>
      </w:r>
      <w:r w:rsidRPr="009D719B">
        <w:t>g</w:t>
      </w:r>
      <w:r w:rsidRPr="009D719B">
        <w:t>re ned i organisationen.</w:t>
      </w:r>
    </w:p>
    <w:p w:rsidR="001F14AF" w:rsidRPr="009D719B" w:rsidRDefault="001F14AF">
      <w:pPr>
        <w:pStyle w:val="Normaltindrag"/>
      </w:pPr>
      <w:r w:rsidRPr="009D719B">
        <w:t>Försvarsmaktens logistik har från första början varit en mycket kontrove</w:t>
      </w:r>
      <w:r w:rsidRPr="009D719B">
        <w:t>r</w:t>
      </w:r>
      <w:r w:rsidRPr="009D719B">
        <w:t>siell skapelse inom Försvarsmakten och införandet blev därför försenat. Vid vissa förband upplever man att stödtjänsterna nu blivit betydligt dyrare. Det finns också ett motstånd mot att lämna ifrån sig alla stödfunktioner från förbandet till den nya o</w:t>
      </w:r>
      <w:r w:rsidRPr="009D719B">
        <w:t>r</w:t>
      </w:r>
      <w:r w:rsidRPr="009D719B">
        <w:t xml:space="preserve">ganisationen. </w:t>
      </w:r>
    </w:p>
    <w:p w:rsidR="001F14AF" w:rsidRPr="009D719B" w:rsidRDefault="001F14AF">
      <w:pPr>
        <w:pStyle w:val="Normaltindrag"/>
      </w:pPr>
      <w:r w:rsidRPr="009D719B">
        <w:t>Riksdagens revisorer har tidigare varit kritiska till avgiftsfinansiering inom försvaret. I granskningen av styrningen av försvarets fastigheter och anläg</w:t>
      </w:r>
      <w:r w:rsidRPr="009D719B">
        <w:t>g</w:t>
      </w:r>
      <w:r w:rsidRPr="009D719B">
        <w:t>ningar (2002/03:RR7) konstaterade revisorerna att det uppstår problem när man försöker efterlikna en marknad inom ett område där förutsättningarna för att uppnå mar</w:t>
      </w:r>
      <w:r w:rsidRPr="009D719B">
        <w:t>k</w:t>
      </w:r>
      <w:r w:rsidRPr="009D719B">
        <w:t xml:space="preserve">nadsmässiga förhållanden är ytterst begränsade. </w:t>
      </w:r>
    </w:p>
    <w:p w:rsidR="001F14AF" w:rsidRPr="009D719B" w:rsidRDefault="001F14AF">
      <w:pPr>
        <w:pStyle w:val="Rubrik2"/>
      </w:pPr>
      <w:bookmarkStart w:id="43" w:name="_Toc32301641"/>
      <w:bookmarkStart w:id="44" w:name="_Toc38080779"/>
      <w:bookmarkStart w:id="45" w:name="_Toc38103343"/>
      <w:r w:rsidRPr="009D719B">
        <w:t>Försvarsmakten förändras</w:t>
      </w:r>
      <w:bookmarkEnd w:id="43"/>
      <w:bookmarkEnd w:id="44"/>
      <w:bookmarkEnd w:id="45"/>
    </w:p>
    <w:p w:rsidR="001F14AF" w:rsidRPr="009D719B" w:rsidRDefault="001F14AF">
      <w:r w:rsidRPr="009D719B">
        <w:t>Sedan början av 1990-talet har det svenska försvaret genomgått stora förän</w:t>
      </w:r>
      <w:r w:rsidRPr="009D719B">
        <w:t>d</w:t>
      </w:r>
      <w:r w:rsidRPr="009D719B">
        <w:t>ringar. Försvarsmakten bestod före 1994 av ett antal staber och förband ute i landet som utgjorde egna myndigheter. Riksdagen beslutade 1992 att de olika försvarsmyndigheterna skulle slås samman till en sammanhållen my</w:t>
      </w:r>
      <w:r w:rsidRPr="009D719B">
        <w:t>n</w:t>
      </w:r>
      <w:r w:rsidRPr="009D719B">
        <w:t>dighet med namnet Försvarsmakten. Den nya myndigheten skulle ledas av överbefälhavaren, biträdd av ”ett allsidigt sammansatt ledningsorgan” med benämningen Högkvarteret.</w:t>
      </w:r>
      <w:r w:rsidRPr="009D719B">
        <w:rPr>
          <w:rStyle w:val="Fotnotsreferens"/>
        </w:rPr>
        <w:footnoteReference w:id="3"/>
      </w:r>
      <w:r w:rsidRPr="009D719B">
        <w:t xml:space="preserve"> Skapandet av den nya myndigheten Försvar</w:t>
      </w:r>
      <w:r w:rsidRPr="009D719B">
        <w:t>s</w:t>
      </w:r>
      <w:r w:rsidRPr="009D719B">
        <w:t xml:space="preserve">makten byggde på den s.k. LEMO-utredningen (utredningen om lednings- och myndighetsorganisationen för försvaret). Bakgrunden till förändringen </w:t>
      </w:r>
      <w:r w:rsidRPr="009D719B">
        <w:lastRenderedPageBreak/>
        <w:t>var strävan att försvarets ledning i krigstid skulle vara likartad den fredstida ledningen. Regeringen skulle styra försvaret genom att besluta om den fö</w:t>
      </w:r>
      <w:r w:rsidRPr="009D719B">
        <w:t>r</w:t>
      </w:r>
      <w:r w:rsidRPr="009D719B">
        <w:t>måga försvaret ska ha i krig</w:t>
      </w:r>
      <w:r w:rsidRPr="009D719B">
        <w:t>s</w:t>
      </w:r>
      <w:r w:rsidRPr="009D719B">
        <w:t xml:space="preserve">tid. </w:t>
      </w:r>
    </w:p>
    <w:p w:rsidR="001F14AF" w:rsidRPr="009D719B" w:rsidRDefault="001F14AF">
      <w:pPr>
        <w:pStyle w:val="Normaltindrag"/>
      </w:pPr>
      <w:r w:rsidRPr="009D719B">
        <w:t>I utredningen framkommer också andra skäl för att bilda myndigheten Fö</w:t>
      </w:r>
      <w:r w:rsidRPr="009D719B">
        <w:t>r</w:t>
      </w:r>
      <w:r w:rsidRPr="009D719B">
        <w:t>svarsma</w:t>
      </w:r>
      <w:r w:rsidRPr="009D719B">
        <w:t>k</w:t>
      </w:r>
      <w:r w:rsidRPr="009D719B">
        <w:t>ten:</w:t>
      </w:r>
    </w:p>
    <w:p w:rsidR="001F14AF" w:rsidRPr="009D719B" w:rsidRDefault="001F14AF">
      <w:pPr>
        <w:pStyle w:val="Citat"/>
        <w:ind w:left="426" w:right="509"/>
        <w:rPr>
          <w:sz w:val="20"/>
        </w:rPr>
      </w:pPr>
      <w:r w:rsidRPr="009D719B">
        <w:rPr>
          <w:sz w:val="20"/>
        </w:rPr>
        <w:t>Ledningen i fred bör också kunna bli effektivare vad gäller avvägningar, produktion, personal och ekonomi. Nu rådande oklarhet om olika myndigheters och chefers befogenheter och ansvar för resultaten i verksamheten upphör därigenom på ett enkelt sätt.</w:t>
      </w:r>
      <w:r w:rsidRPr="009D719B">
        <w:rPr>
          <w:rStyle w:val="Fotnotsreferens"/>
          <w:sz w:val="20"/>
        </w:rPr>
        <w:footnoteReference w:id="4"/>
      </w:r>
    </w:p>
    <w:p w:rsidR="001F14AF" w:rsidRPr="009D719B" w:rsidRDefault="001F14AF">
      <w:r w:rsidRPr="009D719B">
        <w:t>Försvarsmakten som en sammanhållen myndighet inrättades den 1 juli 1994. Genom att skapa myndigheten Försvarsmakten uttalade regeringen att ansv</w:t>
      </w:r>
      <w:r w:rsidRPr="009D719B">
        <w:t>a</w:t>
      </w:r>
      <w:r w:rsidRPr="009D719B">
        <w:t xml:space="preserve">ret för försvaret skulle samlas hos överbefälhavaren. Överbefälhavaren blev chef för ett enrådighetsverk. </w:t>
      </w:r>
    </w:p>
    <w:p w:rsidR="001F14AF" w:rsidRPr="009D719B" w:rsidRDefault="001F14AF">
      <w:pPr>
        <w:pStyle w:val="Normaltindrag"/>
      </w:pPr>
      <w:r w:rsidRPr="009D719B">
        <w:t>I den s.k. UTFÖR-utredningen (utredningen för utvärdering av försvarets ledning och struktur), som var en utvärdering av LEMO-reformen, konstat</w:t>
      </w:r>
      <w:r w:rsidRPr="009D719B">
        <w:t>e</w:t>
      </w:r>
      <w:r w:rsidRPr="009D719B">
        <w:t>rades att regeringens möjligheter att styra och kontrollera Försvarsmakten hade minskat. Utvärderingen konstaterade också att Försvarsmakten var en myndighet som i stor utsträckning styrde sig själv och att överbefälhavaren snarast var ledaren för en federation än ledaren för en integrerande funktion. Överbefälhavaren hade inte tillgång till egen oberoende information, utan nöjde sig med att döma mellan de olika parterna som förde upp frågor till överbefälhavaren. Detta kunde enligt  UTFÖR-utredningen likn</w:t>
      </w:r>
      <w:r w:rsidRPr="009D719B">
        <w:t>as vid en federation och ger således bilden av en splittrad ledning där ansvaret i pra</w:t>
      </w:r>
      <w:r w:rsidRPr="009D719B">
        <w:t>k</w:t>
      </w:r>
      <w:r w:rsidRPr="009D719B">
        <w:t>tiken är svårt att placera.</w:t>
      </w:r>
      <w:r w:rsidRPr="009D719B">
        <w:rPr>
          <w:rStyle w:val="Fotnotsreferens"/>
        </w:rPr>
        <w:footnoteReference w:id="5"/>
      </w:r>
      <w:r w:rsidRPr="009D719B">
        <w:t xml:space="preserve"> </w:t>
      </w:r>
    </w:p>
    <w:p w:rsidR="001F14AF" w:rsidRPr="009D719B" w:rsidRDefault="001F14AF">
      <w:pPr>
        <w:pStyle w:val="Normaltindrag"/>
      </w:pPr>
      <w:r w:rsidRPr="009D719B">
        <w:t>UTFÖR-utredningen ledde till att riksdagen 1998 beslutade om en ändring i regeringens styrning av Försvarsmakten.</w:t>
      </w:r>
      <w:r w:rsidRPr="009D719B">
        <w:rPr>
          <w:rStyle w:val="Fotnotsreferens"/>
        </w:rPr>
        <w:footnoteReference w:id="6"/>
      </w:r>
      <w:r w:rsidRPr="009D719B">
        <w:t xml:space="preserve"> Sedan utredningen presenterades har också Försvarsmakten i olika steg förändrat sin interna organisation. Den senaste omorganiseringen trädde i kraft den 1 januari 2003 och har beskrivits ovan i detta kapitel.</w:t>
      </w:r>
    </w:p>
    <w:p w:rsidR="001F14AF" w:rsidRPr="009D719B" w:rsidRDefault="001F14AF">
      <w:pPr>
        <w:pStyle w:val="Rubrik3-Utannumrering"/>
      </w:pPr>
      <w:bookmarkStart w:id="46" w:name="_Toc38080780"/>
      <w:r w:rsidRPr="009D719B">
        <w:t>Organisationsförändringar i Högkvarteret</w:t>
      </w:r>
      <w:bookmarkEnd w:id="46"/>
    </w:p>
    <w:p w:rsidR="001F14AF" w:rsidRPr="009D719B" w:rsidRDefault="001F14AF">
      <w:r w:rsidRPr="009D719B">
        <w:t>Genom LEMO-reformen bildades Högkvarteret som ett samlat ledningso</w:t>
      </w:r>
      <w:r w:rsidRPr="009D719B">
        <w:t>r</w:t>
      </w:r>
      <w:r w:rsidRPr="009D719B">
        <w:t>gan för Försvarsmakten 1994. Försvarsmaktens ledning har sedan dess i flera olika etapper försökt finna en organisation</w:t>
      </w:r>
      <w:r w:rsidRPr="009D719B">
        <w:t>s</w:t>
      </w:r>
      <w:r w:rsidRPr="009D719B">
        <w:t xml:space="preserve">form som fungerar. </w:t>
      </w:r>
    </w:p>
    <w:p w:rsidR="001F14AF" w:rsidRPr="009D719B" w:rsidRDefault="001F14AF">
      <w:pPr>
        <w:pStyle w:val="Normaltindrag"/>
      </w:pPr>
      <w:r w:rsidRPr="009D719B">
        <w:t>Regeringen beslutade redan 1997 om en förändrad organisation inom Högkvarteret. I stället för att organisera Högkvarteret efter försvarsgrenarna delades Högkvarteret upp efter verksamheten med avdelningar för krigso</w:t>
      </w:r>
      <w:r w:rsidRPr="009D719B">
        <w:t>r</w:t>
      </w:r>
      <w:r w:rsidRPr="009D719B">
        <w:t>ganisationen, krigsförband och fredsorganisationen. Omorganiseringen var en följd av UTFÖR-utredningen och motiverades bl.a. med en ökad tydlighet i ansvarsfördelningen inom Högkva</w:t>
      </w:r>
      <w:r w:rsidRPr="009D719B">
        <w:t>r</w:t>
      </w:r>
      <w:r w:rsidRPr="009D719B">
        <w:t>teret.</w:t>
      </w:r>
    </w:p>
    <w:p w:rsidR="001F14AF" w:rsidRPr="009D719B" w:rsidRDefault="001F14AF">
      <w:pPr>
        <w:pStyle w:val="Normaltindrag"/>
      </w:pPr>
      <w:r w:rsidRPr="009D719B">
        <w:lastRenderedPageBreak/>
        <w:t>År 2000 beslutade riksdagen om en förändring av Försvarsmaktens ledning som bl.a. innebar att den operativa ledningen samlades under organisation</w:t>
      </w:r>
      <w:r w:rsidRPr="009D719B">
        <w:t>s</w:t>
      </w:r>
      <w:r w:rsidRPr="009D719B">
        <w:t>enheten Operativa insatsledningen (OPIL). Från och med 2002 gjordes vissa ändringar inom Högkvarterets organisation. Bland annat bröts bemanning</w:t>
      </w:r>
      <w:r w:rsidRPr="009D719B">
        <w:t>s</w:t>
      </w:r>
      <w:r w:rsidRPr="009D719B">
        <w:t>funktionen ur personalstaben och överfördes till grundorganisationslednin</w:t>
      </w:r>
      <w:r w:rsidRPr="009D719B">
        <w:t>g</w:t>
      </w:r>
      <w:r w:rsidRPr="009D719B">
        <w:t>en. Omorganiseringen gjordes bl.a. för att renodla planeringsarbetet och främja ett mer långsiktigt arbete med personal- och villkorsfrågor inom Fö</w:t>
      </w:r>
      <w:r w:rsidRPr="009D719B">
        <w:t>r</w:t>
      </w:r>
      <w:r w:rsidRPr="009D719B">
        <w:t>svarsmakten.</w:t>
      </w:r>
    </w:p>
    <w:p w:rsidR="001F14AF" w:rsidRPr="009D719B" w:rsidRDefault="001F14AF">
      <w:pPr>
        <w:pStyle w:val="Normaltindrag"/>
      </w:pPr>
      <w:r w:rsidRPr="009D719B">
        <w:t>Försvarsmakten presenterade i juni 2002 en intern utredning om hur den centrala ledningen inom myndigheten borde omorganiseras.</w:t>
      </w:r>
      <w:r w:rsidRPr="009D719B">
        <w:rPr>
          <w:rStyle w:val="Fotnotsreferens"/>
        </w:rPr>
        <w:footnoteReference w:id="7"/>
      </w:r>
      <w:r w:rsidRPr="009D719B">
        <w:t xml:space="preserve"> Resultatet av den interna utredningen är den organisation som gäller från den 1 januari 2003 och som beskrivits ovan. </w:t>
      </w:r>
    </w:p>
    <w:p w:rsidR="001F14AF" w:rsidRPr="009D719B" w:rsidRDefault="001F14AF">
      <w:pPr>
        <w:pStyle w:val="Normaltindrag"/>
      </w:pPr>
      <w:r w:rsidRPr="009D719B">
        <w:t>Utredningen framhåller att det funnits problem med att ha en personalstab på samma nivå som verksamhetsledningen (dvs. grundorganisationslednin</w:t>
      </w:r>
      <w:r w:rsidRPr="009D719B">
        <w:t>g</w:t>
      </w:r>
      <w:r w:rsidRPr="009D719B">
        <w:t>en). Detta problem framhålls också i utredningen om Försvarsmaktens pe</w:t>
      </w:r>
      <w:r w:rsidRPr="009D719B">
        <w:t>r</w:t>
      </w:r>
      <w:r w:rsidRPr="009D719B">
        <w:t>sonalförsörjning (SOU 2001:23). Utredaren konstaterade då att en hög grad av delegerat arbetsgivaransvar kräver ett utvecklat styrsystem. Med anle</w:t>
      </w:r>
      <w:r w:rsidRPr="009D719B">
        <w:t>d</w:t>
      </w:r>
      <w:r w:rsidRPr="009D719B">
        <w:t>ning av detta föreslog utredaren att Försvarsmakten skulle skapa en förstärkt och organisatoriskt samlad funktion för arbetsgivarfrågorna, direkt under Högkvarteret. Personalstaben förhandlade om löner och andra villkorsfrågor, men gjorde så med ekonomiskt mandat från grundorganisationslednin</w:t>
      </w:r>
      <w:r w:rsidRPr="009D719B">
        <w:t>gen, som styr verksamheten och ekonomin i grundorganisationen. Detta ledde till att personalstabens avtal och bestämmelser var relativt löst förankrade hos verksamhetslednin</w:t>
      </w:r>
      <w:r w:rsidRPr="009D719B">
        <w:t>g</w:t>
      </w:r>
      <w:r w:rsidRPr="009D719B">
        <w:t>en.</w:t>
      </w:r>
    </w:p>
    <w:p w:rsidR="001F14AF" w:rsidRPr="009D719B" w:rsidRDefault="001F14AF">
      <w:pPr>
        <w:pStyle w:val="Normaltindrag"/>
      </w:pPr>
      <w:r w:rsidRPr="009D719B">
        <w:t>Problemet är alltså maktfördelningen mellan personalstaben och grundo</w:t>
      </w:r>
      <w:r w:rsidRPr="009D719B">
        <w:t>r</w:t>
      </w:r>
      <w:r w:rsidRPr="009D719B">
        <w:t>ganisationsledningen. I den nya organisationen för Försvarsmaktens centrala ledning har detta problem hanterats så att personalstaben lyfts upp och gjorts om till en personalavdelning inom staben. Genom att personalstaben organ</w:t>
      </w:r>
      <w:r w:rsidRPr="009D719B">
        <w:t>i</w:t>
      </w:r>
      <w:r w:rsidRPr="009D719B">
        <w:t>satoriskt hamnar över grundorganisationsledningen är tanken att det långsi</w:t>
      </w:r>
      <w:r w:rsidRPr="009D719B">
        <w:t>k</w:t>
      </w:r>
      <w:r w:rsidRPr="009D719B">
        <w:t>tiga arbetet med personalfrågorna ska få större genomslag i verksa</w:t>
      </w:r>
      <w:r w:rsidRPr="009D719B">
        <w:t>m</w:t>
      </w:r>
      <w:r w:rsidRPr="009D719B">
        <w:t>heten.</w:t>
      </w:r>
    </w:p>
    <w:p w:rsidR="001F14AF" w:rsidRPr="009D719B" w:rsidRDefault="001F14AF">
      <w:pPr>
        <w:pStyle w:val="Rubrik3-Utannumrering"/>
      </w:pPr>
      <w:bookmarkStart w:id="47" w:name="_Toc38080781"/>
      <w:r w:rsidRPr="009D719B">
        <w:t>Neddragningar</w:t>
      </w:r>
      <w:bookmarkEnd w:id="47"/>
    </w:p>
    <w:p w:rsidR="001F14AF" w:rsidRPr="009D719B" w:rsidRDefault="001F14AF">
      <w:r w:rsidRPr="009D719B">
        <w:t>Försvarsmakten är inne i ett skede av stora omstruktureringar och nedskä</w:t>
      </w:r>
      <w:r w:rsidRPr="009D719B">
        <w:t>r</w:t>
      </w:r>
      <w:r w:rsidRPr="009D719B">
        <w:t xml:space="preserve">ningar. I flera omgångar har ett antal förband lagts ned och omorganiserats. </w:t>
      </w:r>
    </w:p>
    <w:p w:rsidR="001F14AF" w:rsidRPr="009D719B" w:rsidRDefault="001F14AF">
      <w:pPr>
        <w:pStyle w:val="Normaltindrag"/>
      </w:pPr>
      <w:r w:rsidRPr="009D719B">
        <w:t>Under hösten 1996 beslutade riksdagen att lägga ned nio arméförband och en flygflottilj (F 15 i Söderhamn).</w:t>
      </w:r>
      <w:r w:rsidRPr="009D719B">
        <w:rPr>
          <w:rStyle w:val="Fotnotsreferens"/>
        </w:rPr>
        <w:footnoteReference w:id="8"/>
      </w:r>
      <w:r w:rsidRPr="009D719B">
        <w:t xml:space="preserve"> På samma sätt beslutade riksdagen på våren 2000 att lägga ned och organisera om ett stort antal förband.</w:t>
      </w:r>
      <w:r w:rsidRPr="009D719B">
        <w:rPr>
          <w:rStyle w:val="Fotnotsreferens"/>
        </w:rPr>
        <w:footnoteReference w:id="9"/>
      </w:r>
      <w:r w:rsidRPr="009D719B">
        <w:t xml:space="preserve"> Sa</w:t>
      </w:r>
      <w:r w:rsidRPr="009D719B">
        <w:t>m</w:t>
      </w:r>
      <w:r w:rsidRPr="009D719B">
        <w:t>manlagt beslutades om nedläggning av 20 arméförband, 2 helikopterförband och 2 flygflottiljer. De två flygflottiljerna (F 10 i Ängelholm och F 16 i Up</w:t>
      </w:r>
      <w:r w:rsidRPr="009D719B">
        <w:t>p</w:t>
      </w:r>
      <w:r w:rsidRPr="009D719B">
        <w:t>sala) ska vara avvecklade vid utgången av 2003 respektive 2004. De övriga nedläggningarna slutfördes under år 2000 och 2001.</w:t>
      </w:r>
    </w:p>
    <w:p w:rsidR="001F14AF" w:rsidRPr="009D719B" w:rsidRDefault="001F14AF">
      <w:pPr>
        <w:pStyle w:val="Normaltindrag"/>
      </w:pPr>
      <w:r w:rsidRPr="009D719B">
        <w:lastRenderedPageBreak/>
        <w:t>Samtidigt beslutade riksdagen att Försvarsmaktens ledning skulle omorg</w:t>
      </w:r>
      <w:r w:rsidRPr="009D719B">
        <w:t>a</w:t>
      </w:r>
      <w:r w:rsidRPr="009D719B">
        <w:t>niseras. Ledningen med militärområden och försvarsområden var enligt regeringen onödigt omfattande. Dessutom behövde ledningen anpassas till de ökande internationella insatserna. Riksdagen biföll därför regeringens förslag att lägga ned bl.a. militärområdes- och försvarsområdesstaberna och ko</w:t>
      </w:r>
      <w:r w:rsidRPr="009D719B">
        <w:t>n</w:t>
      </w:r>
      <w:r w:rsidRPr="009D719B">
        <w:t>centrera Försvarsmaktens ledning till Högkvarteret och Operativa insatsle</w:t>
      </w:r>
      <w:r w:rsidRPr="009D719B">
        <w:t>d</w:t>
      </w:r>
      <w:r w:rsidRPr="009D719B">
        <w:t xml:space="preserve">ningen (OPIL). </w:t>
      </w:r>
    </w:p>
    <w:p w:rsidR="001F14AF" w:rsidRPr="009D719B" w:rsidRDefault="001F14AF">
      <w:pPr>
        <w:pStyle w:val="Normaltindrag"/>
      </w:pPr>
      <w:r w:rsidRPr="009D719B">
        <w:t>Resultatet av detta beslut var att i stort sett samtliga av Försvarsmaktens organisationsenheter undergick mer eller mindre omf</w:t>
      </w:r>
      <w:r w:rsidRPr="009D719B">
        <w:t>attande omorganis</w:t>
      </w:r>
      <w:r w:rsidRPr="009D719B">
        <w:t>e</w:t>
      </w:r>
      <w:r w:rsidRPr="009D719B">
        <w:t>ringar framför allt under år 2000.</w:t>
      </w:r>
    </w:p>
    <w:p w:rsidR="001F14AF" w:rsidRPr="009D719B" w:rsidRDefault="001F14AF">
      <w:pPr>
        <w:pStyle w:val="Rubrik3-Utannumrering"/>
      </w:pPr>
      <w:bookmarkStart w:id="48" w:name="_Toc38080782"/>
      <w:r w:rsidRPr="009D719B">
        <w:t>Personalavvecklingen</w:t>
      </w:r>
      <w:bookmarkEnd w:id="48"/>
    </w:p>
    <w:p w:rsidR="001F14AF" w:rsidRPr="009D719B" w:rsidRDefault="001F14AF">
      <w:r w:rsidRPr="009D719B">
        <w:t>Antalet anställda inom Försvarsmakten har under 1990-talet minskat kont</w:t>
      </w:r>
      <w:r w:rsidRPr="009D719B">
        <w:t>i</w:t>
      </w:r>
      <w:r w:rsidRPr="009D719B">
        <w:t>nuerligt. Antalet anställda yrkesofficerare har minskat för samtliga försvar</w:t>
      </w:r>
      <w:r w:rsidRPr="009D719B">
        <w:t>s</w:t>
      </w:r>
      <w:r w:rsidRPr="009D719B">
        <w:t>grenar. Armén, som också är den till antalet anställda största försvarsgrenen, har minskat mest. Detta visas i figur 2.2 nedan.</w:t>
      </w:r>
    </w:p>
    <w:p w:rsidR="001F14AF" w:rsidRPr="009D719B" w:rsidRDefault="001F14AF">
      <w:pPr>
        <w:pStyle w:val="Beskrivning"/>
      </w:pPr>
      <w:r w:rsidRPr="009D719B">
        <w:t xml:space="preserve">Figur </w:t>
      </w:r>
      <w:r w:rsidRPr="009D719B">
        <w:t>2</w:t>
      </w:r>
      <w:r w:rsidRPr="009D719B">
        <w:t>.</w:t>
      </w:r>
      <w:r w:rsidRPr="009D719B">
        <w:t>2</w:t>
      </w:r>
      <w:r w:rsidRPr="009D719B">
        <w:tab/>
        <w:t>Antalet anställda yrkesofficerare i Försvarsmakten</w:t>
      </w:r>
    </w:p>
    <w:p w:rsidR="001F14AF" w:rsidRPr="009D719B" w:rsidRDefault="001F14AF">
      <w:pPr>
        <w:pStyle w:val="Tabell"/>
        <w:jc w:val="left"/>
      </w:pPr>
      <w:r w:rsidRPr="009D719B">
        <w:t xml:space="preserve"> </w:t>
      </w:r>
      <w:r w:rsidRPr="009D719B">
        <w:object w:dxaOrig="840" w:dyaOrig="1545">
          <v:shape id="_x0000_s1077" type="#_x0000_t75" style="position:absolute;margin-left:0;margin-top:0;width:274.5pt;height:200.25pt;z-index:251659264;mso-position-horizontal:absolute;mso-position-horizontal-relative:text;mso-position-vertical:absolute;mso-position-vertical-relative:text" o:allowincell="f">
            <v:imagedata r:id="rId14" o:title=""/>
            <w10:wrap type="topAndBottom"/>
          </v:shape>
          <o:OLEObject Type="Embed" ProgID="Excel.Sheet.8" ShapeID="_x0000_s1077" DrawAspect="Content" ObjectID="_1827361176" r:id="rId15"/>
        </w:object>
      </w:r>
      <w:r w:rsidRPr="009D719B">
        <w:t>Källa: SCB</w:t>
      </w:r>
    </w:p>
    <w:p w:rsidR="001F14AF" w:rsidRPr="009D719B" w:rsidRDefault="001F14AF">
      <w:r w:rsidRPr="009D719B">
        <w:t>Armén har, sett till antalet anställda yrkesofficerare, halverats sedan 1993. Flygvapnet har under perioden minskat antalet anställda yrkesofficerare med 32 % och marinen med 23 %.</w:t>
      </w:r>
    </w:p>
    <w:p w:rsidR="001F14AF" w:rsidRPr="009D719B" w:rsidRDefault="001F14AF">
      <w:pPr>
        <w:pStyle w:val="Normaltindrag"/>
      </w:pPr>
      <w:r w:rsidRPr="009D719B">
        <w:t>Under 1990-talet har statens utgifter för Försvarsmakten ökat, både sett till fast och nominell kostnad. Först fr.o.m. år 2001 drogs anslagen för Fö</w:t>
      </w:r>
      <w:r w:rsidRPr="009D719B">
        <w:t>r</w:t>
      </w:r>
      <w:r w:rsidRPr="009D719B">
        <w:t>svarsmakten ned. Detta visas i figur 2.3 ne</w:t>
      </w:r>
      <w:r w:rsidRPr="009D719B">
        <w:t>d</w:t>
      </w:r>
      <w:r w:rsidRPr="009D719B">
        <w:t>an.</w:t>
      </w:r>
    </w:p>
    <w:p w:rsidR="001F14AF" w:rsidRPr="009D719B" w:rsidRDefault="001F14AF">
      <w:pPr>
        <w:pStyle w:val="Beskrivning"/>
      </w:pPr>
      <w:r w:rsidRPr="009D719B">
        <w:t xml:space="preserve"> </w:t>
      </w:r>
    </w:p>
    <w:p w:rsidR="001F14AF" w:rsidRPr="009D719B" w:rsidRDefault="001F14AF">
      <w:pPr>
        <w:pStyle w:val="Beskrivning"/>
      </w:pPr>
      <w:r w:rsidRPr="009D719B">
        <w:br w:type="page"/>
      </w:r>
      <w:r w:rsidRPr="009D719B">
        <w:lastRenderedPageBreak/>
        <w:t xml:space="preserve">Figur </w:t>
      </w:r>
      <w:r w:rsidRPr="009D719B">
        <w:t>2</w:t>
      </w:r>
      <w:r w:rsidRPr="009D719B">
        <w:t>.</w:t>
      </w:r>
      <w:r w:rsidRPr="009D719B">
        <w:t>3</w:t>
      </w:r>
      <w:r w:rsidRPr="009D719B">
        <w:tab/>
        <w:t xml:space="preserve">Statens utgifter för Försvarsmakten 1997–2001 </w:t>
      </w:r>
      <w:r w:rsidRPr="009D719B">
        <w:object w:dxaOrig="840" w:dyaOrig="1545">
          <v:shape id="_x0000_s1078" type="#_x0000_t75" style="position:absolute;left:0;text-align:left;margin-left:-4.5pt;margin-top:34pt;width:282pt;height:177pt;z-index:251660288;mso-position-horizontal:absolute;mso-position-horizontal-relative:text;mso-position-vertical:absolute;mso-position-vertical-relative:text" o:allowincell="f">
            <v:imagedata r:id="rId16" o:title=""/>
            <w10:wrap type="topAndBottom"/>
          </v:shape>
          <o:OLEObject Type="Embed" ProgID="Excel.Sheet.8" ShapeID="_x0000_s1078" DrawAspect="Content" ObjectID="_1827361177" r:id="rId17"/>
        </w:object>
      </w:r>
      <w:r w:rsidRPr="009D719B">
        <w:tab/>
        <w:t>(mätt i tusentals kr)</w:t>
      </w:r>
    </w:p>
    <w:p w:rsidR="001F14AF" w:rsidRPr="009D719B" w:rsidRDefault="001F14AF">
      <w:pPr>
        <w:pStyle w:val="Tabell"/>
      </w:pPr>
      <w:r w:rsidRPr="009D719B">
        <w:t>Källa: Statsbudgetens utfall 1997–2001</w:t>
      </w:r>
    </w:p>
    <w:p w:rsidR="001F14AF" w:rsidRPr="009D719B" w:rsidRDefault="001F14AF">
      <w:r w:rsidRPr="009D719B">
        <w:t>Försvarsmakten ska minska personellt fram till utgången av år 2004 då ant</w:t>
      </w:r>
      <w:r w:rsidRPr="009D719B">
        <w:t>a</w:t>
      </w:r>
      <w:r w:rsidRPr="009D719B">
        <w:t>let anställda ska vara i balans med verksamhetens krav. Genom överbefälh</w:t>
      </w:r>
      <w:r w:rsidRPr="009D719B">
        <w:t>a</w:t>
      </w:r>
      <w:r w:rsidRPr="009D719B">
        <w:t>varens omstruktureringsorder (2001-06-28) har omstruktureringen och a</w:t>
      </w:r>
      <w:r w:rsidRPr="009D719B">
        <w:t>v</w:t>
      </w:r>
      <w:r w:rsidRPr="009D719B">
        <w:t>vecklingen av personal givits prioritet före både förbandsverksamheten och deltagandet i inte</w:t>
      </w:r>
      <w:r w:rsidRPr="009D719B">
        <w:t>r</w:t>
      </w:r>
      <w:r w:rsidRPr="009D719B">
        <w:t xml:space="preserve">nationella insatser. </w:t>
      </w:r>
    </w:p>
    <w:p w:rsidR="001F14AF" w:rsidRPr="009D719B" w:rsidRDefault="001F14AF">
      <w:pPr>
        <w:pStyle w:val="Normaltindrag"/>
      </w:pPr>
      <w:r w:rsidRPr="009D719B">
        <w:t>Enligt Försvarsmaktens budgetunderlag för år 2003 är målet att Försvar</w:t>
      </w:r>
      <w:r w:rsidRPr="009D719B">
        <w:t>s</w:t>
      </w:r>
      <w:r w:rsidRPr="009D719B">
        <w:t>makten vid utgången av 2004 ska bestå av 9 750 yrkesofficerare och 7 470 civilanställda. (Om yrkesofficerare som tjänstgör inom Försvarsmaktens stödmyndigheter, dvs. Försvarshögskolan, Försvarets materielverk m.fl., räknas in ska antalet yrke</w:t>
      </w:r>
      <w:r w:rsidRPr="009D719B">
        <w:t>s</w:t>
      </w:r>
      <w:r w:rsidRPr="009D719B">
        <w:t xml:space="preserve">officerare minskas till drygt 11 000.) </w:t>
      </w:r>
    </w:p>
    <w:p w:rsidR="001F14AF" w:rsidRPr="009D719B" w:rsidRDefault="001F14AF">
      <w:pPr>
        <w:pStyle w:val="Normaltindrag"/>
      </w:pPr>
      <w:r w:rsidRPr="009D719B">
        <w:t>Enligt Försvarsmaktens årsredovisning för 2001 hade myndigheten 12 220 yrkesofficerare och 8 789 civilanställda. Myndigheten Försvarsmakten dras under perioden fram till 2004 med både övertalighet och kompetensbrist på samma gån</w:t>
      </w:r>
      <w:r w:rsidRPr="009D719B">
        <w:t>g. Försvarsmakten har totalt sett för många anställda för den verksamhet som ska bedrivas. Myndigheten har medvetet för stora persona</w:t>
      </w:r>
      <w:r w:rsidRPr="009D719B">
        <w:t>l</w:t>
      </w:r>
      <w:r w:rsidRPr="009D719B">
        <w:t>ramar under omställningsperioden, och genom olika avvecklingsinsatser (beskrivs nedan) ska myndigheten komma i personalmässig balans till u</w:t>
      </w:r>
      <w:r w:rsidRPr="009D719B">
        <w:t>t</w:t>
      </w:r>
      <w:r w:rsidRPr="009D719B">
        <w:t xml:space="preserve">gången av år 2004. Övertaligheten finns framför allt vid skolor och centrum, FMLOG, ledningen (dvs. Högkvarteret) och till viss del inom marinen. </w:t>
      </w:r>
    </w:p>
    <w:p w:rsidR="001F14AF" w:rsidRPr="009D719B" w:rsidRDefault="001F14AF">
      <w:pPr>
        <w:pStyle w:val="Normaltindrag"/>
      </w:pPr>
      <w:r w:rsidRPr="009D719B">
        <w:t>Samtidigt råder kompetensbrist inom Försvarsmakten vilket gör att flera organisationsenhete</w:t>
      </w:r>
      <w:r w:rsidRPr="009D719B">
        <w:t>r, framför allt inom armén, genomför verksamheten med vakanser. Kompetensläget vad gäller yrkesofficerare redovisas i tabellen nedan.</w:t>
      </w:r>
    </w:p>
    <w:p w:rsidR="001F14AF" w:rsidRPr="009D719B" w:rsidRDefault="001F14AF">
      <w:pPr>
        <w:pStyle w:val="Beskrivning"/>
        <w:jc w:val="left"/>
      </w:pPr>
      <w:r w:rsidRPr="009D719B">
        <w:br w:type="page"/>
      </w:r>
      <w:r w:rsidRPr="009D719B">
        <w:lastRenderedPageBreak/>
        <w:t xml:space="preserve">Tabell </w:t>
      </w:r>
      <w:r w:rsidRPr="009D719B">
        <w:t>2</w:t>
      </w:r>
      <w:r w:rsidRPr="009D719B">
        <w:t>.</w:t>
      </w:r>
      <w:r w:rsidRPr="009D719B">
        <w:t>2</w:t>
      </w:r>
      <w:r w:rsidRPr="009D719B">
        <w:tab/>
      </w:r>
      <w:r w:rsidRPr="009D719B">
        <w:tab/>
        <w:t>Det sammanlagda kompetensläget för yrkesoffi-</w:t>
      </w:r>
      <w:r w:rsidRPr="009D719B">
        <w:tab/>
      </w:r>
      <w:r w:rsidRPr="009D719B">
        <w:tab/>
        <w:t>cerare vid Försvarsmakten se</w:t>
      </w:r>
      <w:r w:rsidRPr="009D719B">
        <w:t>p</w:t>
      </w:r>
      <w:r w:rsidRPr="009D719B">
        <w:t>tember 2002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588"/>
        <w:gridCol w:w="1588"/>
        <w:gridCol w:w="1146"/>
      </w:tblGrid>
      <w:tr w:rsidR="00000000" w:rsidRPr="009D719B">
        <w:tblPrEx>
          <w:tblCellMar>
            <w:top w:w="0" w:type="dxa"/>
            <w:bottom w:w="0" w:type="dxa"/>
          </w:tblCellMar>
        </w:tblPrEx>
        <w:trPr>
          <w:trHeight w:hRule="exact" w:val="391"/>
        </w:trPr>
        <w:tc>
          <w:tcPr>
            <w:tcW w:w="1630" w:type="dxa"/>
            <w:tcBorders>
              <w:bottom w:val="single" w:sz="4" w:space="0" w:color="auto"/>
            </w:tcBorders>
            <w:shd w:val="pct15" w:color="auto" w:fill="FFFFFF"/>
            <w:vAlign w:val="center"/>
          </w:tcPr>
          <w:p w:rsidR="001F14AF" w:rsidRPr="009D719B" w:rsidRDefault="001F14AF">
            <w:pPr>
              <w:pStyle w:val="Tabell"/>
            </w:pPr>
          </w:p>
        </w:tc>
        <w:tc>
          <w:tcPr>
            <w:tcW w:w="1588" w:type="dxa"/>
            <w:shd w:val="pct15" w:color="auto" w:fill="FFFFFF"/>
            <w:vAlign w:val="center"/>
          </w:tcPr>
          <w:p w:rsidR="001F14AF" w:rsidRPr="009D719B" w:rsidRDefault="001F14AF">
            <w:pPr>
              <w:pStyle w:val="Tabellrubrik"/>
              <w:jc w:val="center"/>
            </w:pPr>
            <w:r w:rsidRPr="009D719B">
              <w:t>Personalram 2004</w:t>
            </w:r>
          </w:p>
        </w:tc>
        <w:tc>
          <w:tcPr>
            <w:tcW w:w="1588" w:type="dxa"/>
            <w:shd w:val="pct15" w:color="auto" w:fill="FFFFFF"/>
            <w:vAlign w:val="center"/>
          </w:tcPr>
          <w:p w:rsidR="001F14AF" w:rsidRPr="009D719B" w:rsidRDefault="001F14AF">
            <w:pPr>
              <w:pStyle w:val="Tabellrubrik"/>
              <w:jc w:val="center"/>
            </w:pPr>
            <w:r w:rsidRPr="009D719B">
              <w:t>Antal officerare i september 2002</w:t>
            </w:r>
          </w:p>
        </w:tc>
        <w:tc>
          <w:tcPr>
            <w:tcW w:w="1146" w:type="dxa"/>
            <w:tcBorders>
              <w:right w:val="single" w:sz="18" w:space="0" w:color="auto"/>
            </w:tcBorders>
            <w:shd w:val="pct15" w:color="auto" w:fill="FFFFFF"/>
            <w:vAlign w:val="center"/>
          </w:tcPr>
          <w:p w:rsidR="001F14AF" w:rsidRPr="009D719B" w:rsidRDefault="001F14AF">
            <w:pPr>
              <w:pStyle w:val="Tabellrubrik"/>
              <w:jc w:val="center"/>
            </w:pPr>
            <w:r w:rsidRPr="009D719B">
              <w:t>Differens</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Armén</w:t>
            </w:r>
          </w:p>
        </w:tc>
        <w:tc>
          <w:tcPr>
            <w:tcW w:w="1588" w:type="dxa"/>
            <w:vAlign w:val="center"/>
          </w:tcPr>
          <w:p w:rsidR="001F14AF" w:rsidRPr="009D719B" w:rsidRDefault="001F14AF">
            <w:pPr>
              <w:pStyle w:val="Tabell"/>
              <w:ind w:right="526"/>
              <w:jc w:val="right"/>
            </w:pPr>
            <w:r w:rsidRPr="009D719B">
              <w:t>3 519</w:t>
            </w:r>
          </w:p>
        </w:tc>
        <w:tc>
          <w:tcPr>
            <w:tcW w:w="1588" w:type="dxa"/>
            <w:vAlign w:val="center"/>
          </w:tcPr>
          <w:p w:rsidR="001F14AF" w:rsidRPr="009D719B" w:rsidRDefault="001F14AF">
            <w:pPr>
              <w:pStyle w:val="Tabell"/>
              <w:ind w:right="526"/>
              <w:jc w:val="right"/>
            </w:pPr>
            <w:r w:rsidRPr="009D719B">
              <w:t>3 235</w:t>
            </w:r>
          </w:p>
        </w:tc>
        <w:tc>
          <w:tcPr>
            <w:tcW w:w="1146" w:type="dxa"/>
            <w:tcBorders>
              <w:right w:val="single" w:sz="18" w:space="0" w:color="auto"/>
            </w:tcBorders>
            <w:vAlign w:val="center"/>
          </w:tcPr>
          <w:p w:rsidR="001F14AF" w:rsidRPr="009D719B" w:rsidRDefault="001F14AF">
            <w:pPr>
              <w:pStyle w:val="Tabell"/>
              <w:jc w:val="center"/>
            </w:pPr>
            <w:r w:rsidRPr="009D719B">
              <w:t>- 284</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Flygvapnet</w:t>
            </w:r>
          </w:p>
        </w:tc>
        <w:tc>
          <w:tcPr>
            <w:tcW w:w="1588" w:type="dxa"/>
            <w:vAlign w:val="center"/>
          </w:tcPr>
          <w:p w:rsidR="001F14AF" w:rsidRPr="009D719B" w:rsidRDefault="001F14AF">
            <w:pPr>
              <w:pStyle w:val="Tabell"/>
              <w:ind w:right="526"/>
              <w:jc w:val="right"/>
            </w:pPr>
            <w:r w:rsidRPr="009D719B">
              <w:t>2 213</w:t>
            </w:r>
          </w:p>
        </w:tc>
        <w:tc>
          <w:tcPr>
            <w:tcW w:w="1588" w:type="dxa"/>
            <w:vAlign w:val="center"/>
          </w:tcPr>
          <w:p w:rsidR="001F14AF" w:rsidRPr="009D719B" w:rsidRDefault="001F14AF">
            <w:pPr>
              <w:pStyle w:val="Tabell"/>
              <w:ind w:right="526"/>
              <w:jc w:val="right"/>
            </w:pPr>
            <w:r w:rsidRPr="009D719B">
              <w:t>2 154</w:t>
            </w:r>
          </w:p>
        </w:tc>
        <w:tc>
          <w:tcPr>
            <w:tcW w:w="1146" w:type="dxa"/>
            <w:tcBorders>
              <w:right w:val="single" w:sz="18" w:space="0" w:color="auto"/>
            </w:tcBorders>
            <w:vAlign w:val="center"/>
          </w:tcPr>
          <w:p w:rsidR="001F14AF" w:rsidRPr="009D719B" w:rsidRDefault="001F14AF">
            <w:pPr>
              <w:pStyle w:val="Tabell"/>
              <w:jc w:val="center"/>
            </w:pPr>
            <w:r w:rsidRPr="009D719B">
              <w:t xml:space="preserve">  - 59</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Marinen</w:t>
            </w:r>
          </w:p>
        </w:tc>
        <w:tc>
          <w:tcPr>
            <w:tcW w:w="1588" w:type="dxa"/>
            <w:vAlign w:val="center"/>
          </w:tcPr>
          <w:p w:rsidR="001F14AF" w:rsidRPr="009D719B" w:rsidRDefault="001F14AF">
            <w:pPr>
              <w:pStyle w:val="Tabell"/>
              <w:ind w:right="526"/>
              <w:jc w:val="right"/>
            </w:pPr>
            <w:r w:rsidRPr="009D719B">
              <w:t>1 570</w:t>
            </w:r>
          </w:p>
        </w:tc>
        <w:tc>
          <w:tcPr>
            <w:tcW w:w="1588" w:type="dxa"/>
            <w:vAlign w:val="center"/>
          </w:tcPr>
          <w:p w:rsidR="001F14AF" w:rsidRPr="009D719B" w:rsidRDefault="001F14AF">
            <w:pPr>
              <w:pStyle w:val="Tabell"/>
              <w:ind w:right="526"/>
              <w:jc w:val="right"/>
            </w:pPr>
            <w:r w:rsidRPr="009D719B">
              <w:t>1 675</w:t>
            </w:r>
          </w:p>
        </w:tc>
        <w:tc>
          <w:tcPr>
            <w:tcW w:w="1146" w:type="dxa"/>
            <w:tcBorders>
              <w:right w:val="single" w:sz="18" w:space="0" w:color="auto"/>
            </w:tcBorders>
            <w:vAlign w:val="center"/>
          </w:tcPr>
          <w:p w:rsidR="001F14AF" w:rsidRPr="009D719B" w:rsidRDefault="001F14AF">
            <w:pPr>
              <w:pStyle w:val="Tabell"/>
              <w:jc w:val="center"/>
            </w:pPr>
            <w:r w:rsidRPr="009D719B">
              <w:t xml:space="preserve">   105</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Helikopterförband</w:t>
            </w:r>
          </w:p>
        </w:tc>
        <w:tc>
          <w:tcPr>
            <w:tcW w:w="1588" w:type="dxa"/>
            <w:vAlign w:val="center"/>
          </w:tcPr>
          <w:p w:rsidR="001F14AF" w:rsidRPr="009D719B" w:rsidRDefault="001F14AF">
            <w:pPr>
              <w:pStyle w:val="Tabell"/>
              <w:ind w:right="526"/>
              <w:jc w:val="right"/>
            </w:pPr>
            <w:r w:rsidRPr="009D719B">
              <w:t>592</w:t>
            </w:r>
          </w:p>
        </w:tc>
        <w:tc>
          <w:tcPr>
            <w:tcW w:w="1588" w:type="dxa"/>
            <w:vAlign w:val="center"/>
          </w:tcPr>
          <w:p w:rsidR="001F14AF" w:rsidRPr="009D719B" w:rsidRDefault="001F14AF">
            <w:pPr>
              <w:pStyle w:val="Tabell"/>
              <w:ind w:right="526"/>
              <w:jc w:val="right"/>
            </w:pPr>
            <w:r w:rsidRPr="009D719B">
              <w:t>666</w:t>
            </w:r>
          </w:p>
        </w:tc>
        <w:tc>
          <w:tcPr>
            <w:tcW w:w="1146" w:type="dxa"/>
            <w:tcBorders>
              <w:right w:val="single" w:sz="18" w:space="0" w:color="auto"/>
            </w:tcBorders>
            <w:vAlign w:val="center"/>
          </w:tcPr>
          <w:p w:rsidR="001F14AF" w:rsidRPr="009D719B" w:rsidRDefault="001F14AF">
            <w:pPr>
              <w:pStyle w:val="Tabell"/>
              <w:jc w:val="center"/>
            </w:pPr>
            <w:r w:rsidRPr="009D719B">
              <w:t xml:space="preserve">    74</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Ledning</w:t>
            </w:r>
          </w:p>
        </w:tc>
        <w:tc>
          <w:tcPr>
            <w:tcW w:w="1588" w:type="dxa"/>
            <w:vAlign w:val="center"/>
          </w:tcPr>
          <w:p w:rsidR="001F14AF" w:rsidRPr="009D719B" w:rsidRDefault="001F14AF">
            <w:pPr>
              <w:pStyle w:val="Tabell"/>
              <w:ind w:right="526"/>
              <w:jc w:val="right"/>
            </w:pPr>
            <w:r w:rsidRPr="009D719B">
              <w:t>1 174</w:t>
            </w:r>
          </w:p>
        </w:tc>
        <w:tc>
          <w:tcPr>
            <w:tcW w:w="1588" w:type="dxa"/>
            <w:vAlign w:val="center"/>
          </w:tcPr>
          <w:p w:rsidR="001F14AF" w:rsidRPr="009D719B" w:rsidRDefault="001F14AF">
            <w:pPr>
              <w:pStyle w:val="Tabell"/>
              <w:ind w:right="526"/>
              <w:jc w:val="right"/>
            </w:pPr>
            <w:r w:rsidRPr="009D719B">
              <w:t>1 580</w:t>
            </w:r>
          </w:p>
        </w:tc>
        <w:tc>
          <w:tcPr>
            <w:tcW w:w="1146" w:type="dxa"/>
            <w:tcBorders>
              <w:right w:val="single" w:sz="18" w:space="0" w:color="auto"/>
            </w:tcBorders>
            <w:vAlign w:val="center"/>
          </w:tcPr>
          <w:p w:rsidR="001F14AF" w:rsidRPr="009D719B" w:rsidRDefault="001F14AF">
            <w:pPr>
              <w:pStyle w:val="Tabell"/>
              <w:jc w:val="center"/>
            </w:pPr>
            <w:r w:rsidRPr="009D719B">
              <w:t xml:space="preserve">  466</w:t>
            </w:r>
          </w:p>
        </w:tc>
      </w:tr>
      <w:tr w:rsidR="00000000" w:rsidRPr="009D719B">
        <w:tblPrEx>
          <w:tblCellMar>
            <w:top w:w="0" w:type="dxa"/>
            <w:bottom w:w="0" w:type="dxa"/>
          </w:tblCellMar>
        </w:tblPrEx>
        <w:trPr>
          <w:trHeight w:hRule="exact" w:val="240"/>
        </w:trPr>
        <w:tc>
          <w:tcPr>
            <w:tcW w:w="1630" w:type="dxa"/>
            <w:shd w:val="pct15" w:color="auto" w:fill="FFFFFF"/>
            <w:vAlign w:val="center"/>
          </w:tcPr>
          <w:p w:rsidR="001F14AF" w:rsidRPr="009D719B" w:rsidRDefault="001F14AF">
            <w:pPr>
              <w:pStyle w:val="Tabellrubrik"/>
            </w:pPr>
            <w:r w:rsidRPr="009D719B">
              <w:t>Skolor och cen</w:t>
            </w:r>
            <w:r w:rsidRPr="009D719B">
              <w:t>t</w:t>
            </w:r>
            <w:r w:rsidRPr="009D719B">
              <w:t>rum</w:t>
            </w:r>
          </w:p>
        </w:tc>
        <w:tc>
          <w:tcPr>
            <w:tcW w:w="1588" w:type="dxa"/>
            <w:vAlign w:val="center"/>
          </w:tcPr>
          <w:p w:rsidR="001F14AF" w:rsidRPr="009D719B" w:rsidRDefault="001F14AF">
            <w:pPr>
              <w:pStyle w:val="Tabell"/>
              <w:ind w:right="526"/>
              <w:jc w:val="right"/>
            </w:pPr>
            <w:r w:rsidRPr="009D719B">
              <w:t>1 104</w:t>
            </w:r>
          </w:p>
        </w:tc>
        <w:tc>
          <w:tcPr>
            <w:tcW w:w="1588" w:type="dxa"/>
            <w:vAlign w:val="center"/>
          </w:tcPr>
          <w:p w:rsidR="001F14AF" w:rsidRPr="009D719B" w:rsidRDefault="001F14AF">
            <w:pPr>
              <w:pStyle w:val="Tabell"/>
              <w:ind w:right="526"/>
              <w:jc w:val="right"/>
            </w:pPr>
            <w:r w:rsidRPr="009D719B">
              <w:t>1 157</w:t>
            </w:r>
          </w:p>
        </w:tc>
        <w:tc>
          <w:tcPr>
            <w:tcW w:w="1146" w:type="dxa"/>
            <w:tcBorders>
              <w:right w:val="single" w:sz="18" w:space="0" w:color="auto"/>
            </w:tcBorders>
            <w:vAlign w:val="center"/>
          </w:tcPr>
          <w:p w:rsidR="001F14AF" w:rsidRPr="009D719B" w:rsidRDefault="001F14AF">
            <w:pPr>
              <w:pStyle w:val="Tabell"/>
              <w:jc w:val="center"/>
            </w:pPr>
            <w:r w:rsidRPr="009D719B">
              <w:t xml:space="preserve">   53</w:t>
            </w:r>
          </w:p>
        </w:tc>
      </w:tr>
      <w:tr w:rsidR="00000000" w:rsidRPr="009D719B">
        <w:tblPrEx>
          <w:tblCellMar>
            <w:top w:w="0" w:type="dxa"/>
            <w:bottom w:w="0" w:type="dxa"/>
          </w:tblCellMar>
        </w:tblPrEx>
        <w:trPr>
          <w:trHeight w:hRule="exact" w:val="240"/>
        </w:trPr>
        <w:tc>
          <w:tcPr>
            <w:tcW w:w="1630" w:type="dxa"/>
            <w:tcBorders>
              <w:bottom w:val="single" w:sz="4" w:space="0" w:color="auto"/>
            </w:tcBorders>
            <w:shd w:val="pct15" w:color="auto" w:fill="FFFFFF"/>
            <w:vAlign w:val="center"/>
          </w:tcPr>
          <w:p w:rsidR="001F14AF" w:rsidRPr="009D719B" w:rsidRDefault="001F14AF">
            <w:pPr>
              <w:pStyle w:val="Tabellrubrik"/>
            </w:pPr>
            <w:r w:rsidRPr="009D719B">
              <w:t>FMLOG</w:t>
            </w:r>
          </w:p>
        </w:tc>
        <w:tc>
          <w:tcPr>
            <w:tcW w:w="1588" w:type="dxa"/>
            <w:tcBorders>
              <w:bottom w:val="single" w:sz="4" w:space="0" w:color="auto"/>
            </w:tcBorders>
            <w:vAlign w:val="center"/>
          </w:tcPr>
          <w:p w:rsidR="001F14AF" w:rsidRPr="009D719B" w:rsidRDefault="001F14AF">
            <w:pPr>
              <w:pStyle w:val="Tabell"/>
              <w:ind w:right="526"/>
              <w:jc w:val="right"/>
            </w:pPr>
            <w:r w:rsidRPr="009D719B">
              <w:t>250</w:t>
            </w:r>
          </w:p>
        </w:tc>
        <w:tc>
          <w:tcPr>
            <w:tcW w:w="1588" w:type="dxa"/>
            <w:tcBorders>
              <w:bottom w:val="single" w:sz="4" w:space="0" w:color="auto"/>
            </w:tcBorders>
            <w:vAlign w:val="center"/>
          </w:tcPr>
          <w:p w:rsidR="001F14AF" w:rsidRPr="009D719B" w:rsidRDefault="001F14AF">
            <w:pPr>
              <w:pStyle w:val="Tabell"/>
              <w:ind w:right="526"/>
              <w:jc w:val="right"/>
            </w:pPr>
            <w:r w:rsidRPr="009D719B">
              <w:t>528</w:t>
            </w:r>
          </w:p>
        </w:tc>
        <w:tc>
          <w:tcPr>
            <w:tcW w:w="1146" w:type="dxa"/>
            <w:tcBorders>
              <w:bottom w:val="single" w:sz="4" w:space="0" w:color="auto"/>
              <w:right w:val="single" w:sz="18" w:space="0" w:color="auto"/>
            </w:tcBorders>
            <w:vAlign w:val="center"/>
          </w:tcPr>
          <w:p w:rsidR="001F14AF" w:rsidRPr="009D719B" w:rsidRDefault="001F14AF">
            <w:pPr>
              <w:pStyle w:val="Tabell"/>
              <w:jc w:val="center"/>
            </w:pPr>
            <w:r w:rsidRPr="009D719B">
              <w:t xml:space="preserve">  278</w:t>
            </w:r>
          </w:p>
        </w:tc>
      </w:tr>
      <w:tr w:rsidR="00000000" w:rsidRPr="009D719B">
        <w:tblPrEx>
          <w:tblCellMar>
            <w:top w:w="0" w:type="dxa"/>
            <w:bottom w:w="0" w:type="dxa"/>
          </w:tblCellMar>
        </w:tblPrEx>
        <w:trPr>
          <w:trHeight w:hRule="exact" w:val="240"/>
        </w:trPr>
        <w:tc>
          <w:tcPr>
            <w:tcW w:w="1630" w:type="dxa"/>
            <w:tcBorders>
              <w:bottom w:val="single" w:sz="18" w:space="0" w:color="auto"/>
            </w:tcBorders>
            <w:shd w:val="pct15" w:color="auto" w:fill="FFFFFF"/>
            <w:vAlign w:val="center"/>
          </w:tcPr>
          <w:p w:rsidR="001F14AF" w:rsidRPr="009D719B" w:rsidRDefault="001F14AF">
            <w:pPr>
              <w:pStyle w:val="Tabell"/>
            </w:pPr>
          </w:p>
        </w:tc>
        <w:tc>
          <w:tcPr>
            <w:tcW w:w="1588" w:type="dxa"/>
            <w:tcBorders>
              <w:bottom w:val="single" w:sz="18" w:space="0" w:color="auto"/>
            </w:tcBorders>
            <w:shd w:val="pct15" w:color="auto" w:fill="FFFFFF"/>
            <w:vAlign w:val="center"/>
          </w:tcPr>
          <w:p w:rsidR="001F14AF" w:rsidRPr="009D719B" w:rsidRDefault="001F14AF">
            <w:pPr>
              <w:pStyle w:val="Tabell"/>
              <w:ind w:right="526"/>
              <w:jc w:val="right"/>
              <w:rPr>
                <w:b/>
              </w:rPr>
            </w:pPr>
            <w:r w:rsidRPr="009D719B">
              <w:rPr>
                <w:b/>
              </w:rPr>
              <w:t>10 422</w:t>
            </w:r>
          </w:p>
        </w:tc>
        <w:tc>
          <w:tcPr>
            <w:tcW w:w="1588" w:type="dxa"/>
            <w:tcBorders>
              <w:bottom w:val="single" w:sz="18" w:space="0" w:color="auto"/>
            </w:tcBorders>
            <w:shd w:val="pct15" w:color="auto" w:fill="FFFFFF"/>
            <w:vAlign w:val="center"/>
          </w:tcPr>
          <w:p w:rsidR="001F14AF" w:rsidRPr="009D719B" w:rsidRDefault="001F14AF">
            <w:pPr>
              <w:pStyle w:val="Tabell"/>
              <w:ind w:right="526"/>
              <w:jc w:val="right"/>
              <w:rPr>
                <w:b/>
              </w:rPr>
            </w:pPr>
            <w:r w:rsidRPr="009D719B">
              <w:rPr>
                <w:b/>
              </w:rPr>
              <w:t>10 995</w:t>
            </w:r>
          </w:p>
        </w:tc>
        <w:tc>
          <w:tcPr>
            <w:tcW w:w="1146" w:type="dxa"/>
            <w:tcBorders>
              <w:bottom w:val="single" w:sz="18" w:space="0" w:color="auto"/>
              <w:right w:val="single" w:sz="18" w:space="0" w:color="auto"/>
            </w:tcBorders>
            <w:shd w:val="pct15" w:color="auto" w:fill="FFFFFF"/>
            <w:vAlign w:val="center"/>
          </w:tcPr>
          <w:p w:rsidR="001F14AF" w:rsidRPr="009D719B" w:rsidRDefault="001F14AF">
            <w:pPr>
              <w:pStyle w:val="Tabell"/>
              <w:jc w:val="center"/>
              <w:rPr>
                <w:b/>
              </w:rPr>
            </w:pPr>
            <w:r w:rsidRPr="009D719B">
              <w:rPr>
                <w:b/>
              </w:rPr>
              <w:t xml:space="preserve">  633</w:t>
            </w:r>
          </w:p>
        </w:tc>
      </w:tr>
    </w:tbl>
    <w:p w:rsidR="001F14AF" w:rsidRPr="009D719B" w:rsidRDefault="001F14AF">
      <w:pPr>
        <w:pStyle w:val="Tabell"/>
      </w:pPr>
      <w:r w:rsidRPr="009D719B">
        <w:t>För flygvapnet är ovanstående siffror angående personalramar osäkra på grund av nedläggningar under år 2003.</w:t>
      </w:r>
    </w:p>
    <w:p w:rsidR="001F14AF" w:rsidRPr="009D719B" w:rsidRDefault="001F14AF">
      <w:pPr>
        <w:pStyle w:val="Tabell"/>
      </w:pPr>
      <w:r w:rsidRPr="009D719B">
        <w:t>Källa: Försvarsmakten</w:t>
      </w:r>
    </w:p>
    <w:p w:rsidR="001F14AF" w:rsidRPr="009D719B" w:rsidRDefault="001F14AF">
      <w:r w:rsidRPr="009D719B">
        <w:t xml:space="preserve">Organisationsenheterna inom armén har för år 2004 en samlad personalram på 3 519 yrkesofficerare men saknar totalt 284 officerare för att fylla ramen. För vissa arméförband är vakanserna omfattande. Förbanden I 5 i Östersund, P 10 i Strängnäs och T 2 i Skövde har t.ex. vakanser på 20–35 %. Det finns dock arméförband med övertalighet. Förbanden K 3 i Karlsborg och P 7 i Lund har övertalighet med 12 % respektive 28 %. </w:t>
      </w:r>
    </w:p>
    <w:p w:rsidR="001F14AF" w:rsidRPr="009D719B" w:rsidRDefault="001F14AF">
      <w:pPr>
        <w:pStyle w:val="Normaltindrag"/>
      </w:pPr>
      <w:r w:rsidRPr="009D719B">
        <w:t>Övertaligheten som framkommer i tabellen ovan består av de officerare som Försvarsmakten ska avveckla fram till utgången av år 2004. Vad som är anmärkningsvärt är dock den fortsatta  kompetensbrist på totalt 284 officer</w:t>
      </w:r>
      <w:r w:rsidRPr="009D719B">
        <w:t>a</w:t>
      </w:r>
      <w:r w:rsidRPr="009D719B">
        <w:t xml:space="preserve">re som beräknas för armén. </w:t>
      </w:r>
    </w:p>
    <w:p w:rsidR="001F14AF" w:rsidRPr="009D719B" w:rsidRDefault="001F14AF">
      <w:pPr>
        <w:pStyle w:val="Normaltindrag"/>
      </w:pPr>
      <w:r w:rsidRPr="009D719B">
        <w:t>Försvarsmakten uppger att den övertaliga kompetensen inte är möjlig att överföra till de enheter som har kompetensbrist. Kompetensen är inte utby</w:t>
      </w:r>
      <w:r w:rsidRPr="009D719B">
        <w:t>t</w:t>
      </w:r>
      <w:r w:rsidRPr="009D719B">
        <w:t>bar mellan de olika organisationsenheterna. Under perioden fram till utgån</w:t>
      </w:r>
      <w:r w:rsidRPr="009D719B">
        <w:t>g</w:t>
      </w:r>
      <w:r w:rsidRPr="009D719B">
        <w:t>en av år 2004 räknar Försvarsmakten med att man behöver nyrekrytera o</w:t>
      </w:r>
      <w:r w:rsidRPr="009D719B">
        <w:t>m</w:t>
      </w:r>
      <w:r w:rsidRPr="009D719B">
        <w:t>kring 1 200 yrkesofficerare. Det återstående avvecklingsbehovet under åren 2002–2004 uppgår således till omkring 1 800 yrkesofficerare. Målen för personalvolymerna uttrycks i Försvarsmaktens budgetunderlag till regerin</w:t>
      </w:r>
      <w:r w:rsidRPr="009D719B">
        <w:t>g</w:t>
      </w:r>
      <w:r w:rsidRPr="009D719B">
        <w:t>en. Försvarsmakten har dock inte satt något mål för hur personalkostnaderna ska förändras i samband med personalavvecklin</w:t>
      </w:r>
      <w:r w:rsidRPr="009D719B">
        <w:t>g</w:t>
      </w:r>
      <w:r w:rsidRPr="009D719B">
        <w:t>en.</w:t>
      </w:r>
    </w:p>
    <w:p w:rsidR="001F14AF" w:rsidRPr="009D719B" w:rsidRDefault="001F14AF">
      <w:pPr>
        <w:pStyle w:val="Rubrik4-Utannumrering"/>
      </w:pPr>
      <w:bookmarkStart w:id="49" w:name="_Toc38080783"/>
      <w:r w:rsidRPr="009D719B">
        <w:t>Avvecklingsinsatser</w:t>
      </w:r>
      <w:bookmarkEnd w:id="49"/>
    </w:p>
    <w:p w:rsidR="001F14AF" w:rsidRPr="009D719B" w:rsidRDefault="001F14AF">
      <w:r w:rsidRPr="009D719B">
        <w:t xml:space="preserve">Överbefälhavaren har beslutat att inga yrkesofficerare ska sägas upp på grund av övertalighet under avvecklingsperioden. Bakgrunden till detta beslut är att myndigheten vid en uppsägning skulle vara tvungen att säga upp främst de yngre officerarna </w:t>
      </w:r>
      <w:r w:rsidRPr="009D719B">
        <w:softHyphen/>
        <w:t>– en grupp som man vill behålla. Före 1984 anställdes yrkesofficerare med fullmakt, vilket innebär att de inte kan sägas upp på grund av arbetsbrist.</w:t>
      </w:r>
    </w:p>
    <w:p w:rsidR="001F14AF" w:rsidRPr="009D719B" w:rsidRDefault="001F14AF">
      <w:pPr>
        <w:pStyle w:val="Normaltindrag"/>
      </w:pPr>
      <w:r w:rsidRPr="009D719B">
        <w:t>För att stimulera officerare att avgå i de grupper som myndigheten inte längre har behov av, har Försvarsmakten infört ett antal avvecklingsinsatser för yrkesofficerare. Dessa insatser består av beviljande av förtida pension, bidrag för yrkesväxling m.m.</w:t>
      </w:r>
    </w:p>
    <w:p w:rsidR="001F14AF" w:rsidRPr="009D719B" w:rsidRDefault="001F14AF">
      <w:pPr>
        <w:pStyle w:val="Normaltindrag"/>
      </w:pPr>
      <w:r w:rsidRPr="009D719B">
        <w:lastRenderedPageBreak/>
        <w:t>Beslutet att inte säga upp yrkesofficerare innebär stora kostnader för Fö</w:t>
      </w:r>
      <w:r w:rsidRPr="009D719B">
        <w:t>r</w:t>
      </w:r>
      <w:r w:rsidRPr="009D719B">
        <w:t>svarsmakten. Avvecklingskostnaderna för yrkesofficerare under 2002 berä</w:t>
      </w:r>
      <w:r w:rsidRPr="009D719B">
        <w:t>k</w:t>
      </w:r>
      <w:r w:rsidRPr="009D719B">
        <w:t>nades av Försvarsmakten till drygt 1 miljard kr, medan RRV i en granskning av Försvarsmaktens omstrukturering (RRV 2002:14) beräknade kostnaderna till 1,4 miljarder kr. Avvecklingen skulle under 2002 omfatta drygt 900 yrkesofficerare.</w:t>
      </w:r>
    </w:p>
    <w:p w:rsidR="001F14AF" w:rsidRPr="009D719B" w:rsidRDefault="001F14AF">
      <w:pPr>
        <w:pStyle w:val="Normaltindrag"/>
      </w:pPr>
      <w:r w:rsidRPr="009D719B">
        <w:t>Försvarsmaktens beslut att inte säga upp yrkesofficerare innebär också att myndigheten kan få mycket begränsad ekonomisk hjälp från Trygghetssti</w:t>
      </w:r>
      <w:r w:rsidRPr="009D719B">
        <w:t>f</w:t>
      </w:r>
      <w:r w:rsidRPr="009D719B">
        <w:t>telsen. De statliga arbetsgivarna finansierar Trygghetsstiftelsen genom årliga avsättningar som bestäms genom kollektivavtal. Trygghetsstiftelsen ska sedan agera för att underlätta situationen för statligt anställda som blir, eller riskerar att bli, uppsagda.</w:t>
      </w:r>
    </w:p>
    <w:p w:rsidR="001F14AF" w:rsidRPr="009D719B" w:rsidRDefault="001F14AF">
      <w:pPr>
        <w:pStyle w:val="Normaltindrag"/>
      </w:pPr>
      <w:r w:rsidRPr="009D719B">
        <w:t>Trygghetsstiftelsen har varit djupt involverad i avvecklingen av Försvar</w:t>
      </w:r>
      <w:r w:rsidRPr="009D719B">
        <w:t>s</w:t>
      </w:r>
      <w:r w:rsidRPr="009D719B">
        <w:t>maktens civilanställda personal. Här har kostnaderna också varit betydligt lägre på grund av att civilanställda inte erbjuds samma avvecklingsbidrag som officerare samt på grund av finansieringen från Trygghetsstiftelsen. Försvarsmakten beräknade att avvecklingen av civilanställda skulle kosta 256 miljoner kr under 2002 och beröra omkring 800 civilanställda.</w:t>
      </w:r>
    </w:p>
    <w:p w:rsidR="001F14AF" w:rsidRPr="009D719B" w:rsidRDefault="001F14AF">
      <w:pPr>
        <w:pStyle w:val="Normaltindrag"/>
      </w:pPr>
      <w:r w:rsidRPr="009D719B">
        <w:t>I Försvarsmaktens anslag ingår ett omställningsbidrag på 3 miljarder kr. I sin granskning av Försvarsmaktens omstrukturering noterade RRV att r</w:t>
      </w:r>
      <w:r w:rsidRPr="009D719B">
        <w:t>e</w:t>
      </w:r>
      <w:r w:rsidRPr="009D719B">
        <w:t>geringen inte framställt några återrapporteringskrav för hur dessa medel skulle utnyttjas. RRV anser att det är av vikt att i planering och styrning särskilja de resurser som erfordras för s.k. extraordinära insatser, dvs. ver</w:t>
      </w:r>
      <w:r w:rsidRPr="009D719B">
        <w:t>k</w:t>
      </w:r>
      <w:r w:rsidRPr="009D719B">
        <w:t>samhet som inte är av normal natur och tidsmässigt avgrä</w:t>
      </w:r>
      <w:r w:rsidRPr="009D719B">
        <w:t>n</w:t>
      </w:r>
      <w:r w:rsidRPr="009D719B">
        <w:t>sad.</w:t>
      </w:r>
    </w:p>
    <w:p w:rsidR="001F14AF" w:rsidRPr="009D719B" w:rsidRDefault="001F14AF">
      <w:pPr>
        <w:pStyle w:val="Rubrik4-Utannumrering"/>
      </w:pPr>
      <w:bookmarkStart w:id="50" w:name="_Toc38080784"/>
      <w:r w:rsidRPr="009D719B">
        <w:t>Avgångar</w:t>
      </w:r>
      <w:bookmarkEnd w:id="50"/>
    </w:p>
    <w:p w:rsidR="001F14AF" w:rsidRPr="009D719B" w:rsidRDefault="001F14AF">
      <w:r w:rsidRPr="009D719B">
        <w:t>Under 2001 beviljades avgång för totalt 1 326 yrkesofficerare. Av dessa valde 520 att lämna Försvarsmakten, trots att de inte kom i fråga för någon avvecklingsinsats. Under år 2001 var dessa spontanavgångar 140 fler än vad Försvarsmakten räknat med. I årsredovisningen förklarar Försvarsmakten detta med att arbetsmarknaden under det första halvåret 2001 varit gynnsam och att offic</w:t>
      </w:r>
      <w:r w:rsidRPr="009D719B">
        <w:t>e</w:t>
      </w:r>
      <w:r w:rsidRPr="009D719B">
        <w:t>rare generellt är attraktiva på den civila arbetsmarknaden.</w:t>
      </w:r>
    </w:p>
    <w:p w:rsidR="001F14AF" w:rsidRPr="009D719B" w:rsidRDefault="001F14AF">
      <w:pPr>
        <w:pStyle w:val="Normaltindrag"/>
      </w:pPr>
      <w:r w:rsidRPr="009D719B">
        <w:t>Riksdagens revisorer konstaterade i en informationsrapport från år 2000 att Försvarsmakten underskattat betydelsen av att följa upp hur avvecklingen av personal fortlöpte.</w:t>
      </w:r>
      <w:r w:rsidRPr="009D719B">
        <w:rPr>
          <w:rStyle w:val="Fotnotsreferens"/>
        </w:rPr>
        <w:footnoteReference w:id="10"/>
      </w:r>
      <w:r w:rsidRPr="009D719B">
        <w:t xml:space="preserve"> Revisorerna konstaterade att kompetensflykten från Försvarsmakten var oroande och att myndigheten vidtagit få åtgärder för att behålla önskvärd pe</w:t>
      </w:r>
      <w:r w:rsidRPr="009D719B">
        <w:t>r</w:t>
      </w:r>
      <w:r w:rsidRPr="009D719B">
        <w:t>sonal.</w:t>
      </w:r>
    </w:p>
    <w:p w:rsidR="001F14AF" w:rsidRPr="009D719B" w:rsidRDefault="001F14AF">
      <w:pPr>
        <w:pStyle w:val="Normaltindrag"/>
      </w:pPr>
      <w:r w:rsidRPr="009D719B">
        <w:t>Riksrevisionsverket (RRV) har i sin granskning av omstruktureringen inom Försvarsmakten konstaterat att Försvarsmakten kommer att missa målbilden för personalavvecklingen med drygt 200 yrkesofficerare (RRV 2002:14). Enligt RRV är nu hela Försvarsmakten inriktad på volymmins</w:t>
      </w:r>
      <w:r w:rsidRPr="009D719B">
        <w:t>k</w:t>
      </w:r>
      <w:r w:rsidRPr="009D719B">
        <w:t>ningarna av yrkesofficerare. Däremot beaktar Försvarsmakten inte komp</w:t>
      </w:r>
      <w:r w:rsidRPr="009D719B">
        <w:t>e</w:t>
      </w:r>
      <w:r w:rsidRPr="009D719B">
        <w:t xml:space="preserve">tensförsörjningen i denna process. Försvarsmakten kan inte med nuvarande </w:t>
      </w:r>
      <w:r w:rsidRPr="009D719B">
        <w:lastRenderedPageBreak/>
        <w:t>stödsystem följa upp viktiga kompetensgrupper vilket bl.a. inneburit att personal med kompetens som Försvarsmakten önskat behålla fått del av avvecklingsinsatserna. RRV konstaterar att det inte framstår som sannolikt att Försvarsmakten kommer att ha fyllt sitt kompetensbehov för att tillgodose kraven på insatsorganisationen till utgången av år 2004.</w:t>
      </w:r>
    </w:p>
    <w:p w:rsidR="001F14AF" w:rsidRPr="009D719B" w:rsidRDefault="001F14AF"/>
    <w:p w:rsidR="001F14AF" w:rsidRPr="009D719B" w:rsidRDefault="001F14AF">
      <w:pPr>
        <w:pStyle w:val="Rubrik1"/>
      </w:pPr>
      <w:r w:rsidRPr="009D719B">
        <w:br w:type="page"/>
      </w:r>
      <w:bookmarkStart w:id="51" w:name="_Toc32301642"/>
      <w:bookmarkStart w:id="52" w:name="_Toc38080785"/>
      <w:bookmarkStart w:id="53" w:name="_Toc38103344"/>
      <w:r w:rsidRPr="009D719B">
        <w:lastRenderedPageBreak/>
        <w:t>Arbetsgivarpolitik</w:t>
      </w:r>
      <w:bookmarkEnd w:id="51"/>
      <w:bookmarkEnd w:id="52"/>
      <w:bookmarkEnd w:id="53"/>
    </w:p>
    <w:p w:rsidR="001F14AF" w:rsidRPr="009D719B" w:rsidRDefault="001F14AF">
      <w:r w:rsidRPr="009D719B">
        <w:t>Riksdag, regering och myndigheter har olika roller när det gäller arbetsgiva</w:t>
      </w:r>
      <w:r w:rsidRPr="009D719B">
        <w:t>r</w:t>
      </w:r>
      <w:r w:rsidRPr="009D719B">
        <w:t>politiken inom staten. Riksdagens ansvar ligger i besluten om myndighete</w:t>
      </w:r>
      <w:r w:rsidRPr="009D719B">
        <w:t>r</w:t>
      </w:r>
      <w:r w:rsidRPr="009D719B">
        <w:t>nas ekonomiska ramar samt stiftandet av arbetsrättsliga lagar. Regeringens roll består av att utnämna myndighetschefer samt att ställa krav på och följa upp myndigheternas arbetsgivarpolitik. Ansvaret för arbetsgivarpolitiken i staten vilar på regeringen, som dock har delegerat detta ansvar till myndi</w:t>
      </w:r>
      <w:r w:rsidRPr="009D719B">
        <w:t>g</w:t>
      </w:r>
      <w:r w:rsidRPr="009D719B">
        <w:t xml:space="preserve">hetscheferna. </w:t>
      </w:r>
    </w:p>
    <w:p w:rsidR="001F14AF" w:rsidRPr="009D719B" w:rsidRDefault="001F14AF">
      <w:pPr>
        <w:pStyle w:val="Rubrik2"/>
      </w:pPr>
      <w:bookmarkStart w:id="54" w:name="_Toc32301643"/>
      <w:bookmarkStart w:id="55" w:name="_Toc38080786"/>
      <w:bookmarkStart w:id="56" w:name="_Toc38103345"/>
      <w:r w:rsidRPr="009D719B">
        <w:t>Delegeringen av arbetsgivarpolitiken i staten</w:t>
      </w:r>
      <w:bookmarkEnd w:id="54"/>
      <w:bookmarkEnd w:id="55"/>
      <w:bookmarkEnd w:id="56"/>
    </w:p>
    <w:p w:rsidR="001F14AF" w:rsidRPr="009D719B" w:rsidRDefault="001F14AF">
      <w:r w:rsidRPr="009D719B">
        <w:t>Ansvaret för den statliga arbetsgivarpolitiken har stegvis överförts från rik</w:t>
      </w:r>
      <w:r w:rsidRPr="009D719B">
        <w:t>s</w:t>
      </w:r>
      <w:r w:rsidRPr="009D719B">
        <w:t>dagen till regeringen.</w:t>
      </w:r>
      <w:r w:rsidRPr="009D719B">
        <w:rPr>
          <w:rStyle w:val="Fotnotsreferens"/>
        </w:rPr>
        <w:footnoteReference w:id="11"/>
      </w:r>
      <w:r w:rsidRPr="009D719B">
        <w:t xml:space="preserve"> Regeringens styrning av myndigheterna ska dock inskränka sig till den huvudsakliga inriktningen av myndigheternas ver</w:t>
      </w:r>
      <w:r w:rsidRPr="009D719B">
        <w:t>k</w:t>
      </w:r>
      <w:r w:rsidRPr="009D719B">
        <w:t>samhet. Myndigheterna tilldelas ramanslag och instruktioner med de mål som myndigheten ska uppnå. Inom sitt ramanslag är myndigheten fri att bedriva arbetsgivarpolitik anpassad till den egna verksamheten. Regeringen har således delegerat ansvaret för arbetsgivarpolitiken till de olika myndi</w:t>
      </w:r>
      <w:r w:rsidRPr="009D719B">
        <w:t>g</w:t>
      </w:r>
      <w:r w:rsidRPr="009D719B">
        <w:t>heterna.</w:t>
      </w:r>
    </w:p>
    <w:p w:rsidR="001F14AF" w:rsidRPr="009D719B" w:rsidRDefault="001F14AF">
      <w:pPr>
        <w:pStyle w:val="Normaltindrag"/>
      </w:pPr>
      <w:r w:rsidRPr="009D719B">
        <w:t>De statliga myndigheterna finansierar sina förvaltningskostnader med ra</w:t>
      </w:r>
      <w:r w:rsidRPr="009D719B">
        <w:t>m</w:t>
      </w:r>
      <w:r w:rsidRPr="009D719B">
        <w:t xml:space="preserve">anslag. Dessa ramanslag räknas upp beroende på kostnaden för arbetskraft inom tillverkningsindustrin samt produktivitetsökningen inom den privata tjänstesektorn. Den konkurrensutsatta sektorn ska vara lönenormerande även för den statliga arbetsmarknaden. Detta innebär bl.a. att höjda lönekostnader vid en myndighet inte ska leda till ökade anslag. </w:t>
      </w:r>
    </w:p>
    <w:p w:rsidR="001F14AF" w:rsidRPr="009D719B" w:rsidRDefault="001F14AF">
      <w:pPr>
        <w:pStyle w:val="Normaltindrag"/>
      </w:pPr>
      <w:r w:rsidRPr="009D719B">
        <w:t>Kraftiga löneökningar inom en myndighet kan dock ge effekter i form av omprioriteringar av verksamheten eller att regeringen känner sig tvingad att gå in med ext</w:t>
      </w:r>
      <w:r w:rsidRPr="009D719B">
        <w:t>ra medel i tilläggsbudgeten. Regeringen föreslog för år 2001 att drygt 1 miljard kr skulle föras från Försvarsmaktens materielanslag (6:3) till förbandsanslaget (6:1). Liknande överföringar gjordes för år 2000 då Fö</w:t>
      </w:r>
      <w:r w:rsidRPr="009D719B">
        <w:t>r</w:t>
      </w:r>
      <w:r w:rsidRPr="009D719B">
        <w:t>svarsmakten överskred förbandsanslaget med 680 miljoner kr, vilket var 120 miljoner kr över den medgivna anslagskrediten.</w:t>
      </w:r>
    </w:p>
    <w:p w:rsidR="001F14AF" w:rsidRPr="009D719B" w:rsidRDefault="001F14AF">
      <w:pPr>
        <w:pStyle w:val="Normaltindrag"/>
      </w:pPr>
      <w:r w:rsidRPr="009D719B">
        <w:t>Rätten att sluta kollektivavtal på det statliga området är dock genom r</w:t>
      </w:r>
      <w:r w:rsidRPr="009D719B">
        <w:t>e</w:t>
      </w:r>
      <w:r w:rsidRPr="009D719B">
        <w:t>geringens delegation förbehållen Arbetsgivarverket. Verket ska fungera som en medlemsorganisation för de statliga arbetsgivarna och ska samordna den arbetsgivarpolitik som bedrivs inom de statliga myndigheterna. Arbetsgiva</w:t>
      </w:r>
      <w:r w:rsidRPr="009D719B">
        <w:t>r</w:t>
      </w:r>
      <w:r w:rsidRPr="009D719B">
        <w:t>verket tecknar centrala avtal å sina medlemmars vägnar med de olika arbet</w:t>
      </w:r>
      <w:r w:rsidRPr="009D719B">
        <w:t>s</w:t>
      </w:r>
      <w:r w:rsidRPr="009D719B">
        <w:t>tagarorganisationerna på det statliga området. Genom kollektivavtalsföror</w:t>
      </w:r>
      <w:r w:rsidRPr="009D719B">
        <w:t>d</w:t>
      </w:r>
      <w:r w:rsidRPr="009D719B">
        <w:t>ningen (1976:1021) regleras att Arbetsgivarverket i sin tur kan delegera rätten att teckna kollektivavtal till de olika medlemsmyndigheterna</w:t>
      </w:r>
      <w:r w:rsidRPr="009D719B">
        <w:t>. Myndi</w:t>
      </w:r>
      <w:r w:rsidRPr="009D719B">
        <w:t>g</w:t>
      </w:r>
      <w:r w:rsidRPr="009D719B">
        <w:t>heterna har således rätt att teckna egna, lokala, kollektivavtal, utifrån de centrala avtal som Arbetsgivarverket förhandlar fram.</w:t>
      </w:r>
    </w:p>
    <w:p w:rsidR="001F14AF" w:rsidRPr="009D719B" w:rsidRDefault="001F14AF">
      <w:pPr>
        <w:pStyle w:val="Normaltindrag"/>
      </w:pPr>
      <w:r w:rsidRPr="009D719B">
        <w:lastRenderedPageBreak/>
        <w:t>Från och med 1994 när Arbetsgivarverket fick sin nuvarande form, kunde myndigheterna successivt börja teckna egna, lokala, kollektivavtal. Fö</w:t>
      </w:r>
      <w:r w:rsidRPr="009D719B">
        <w:t>r</w:t>
      </w:r>
      <w:r w:rsidRPr="009D719B">
        <w:t xml:space="preserve">svarsmakten var 1996 bland de sista myndigheterna som fick rätten att sluta egna kollektivavtal. </w:t>
      </w:r>
    </w:p>
    <w:p w:rsidR="001F14AF" w:rsidRPr="009D719B" w:rsidRDefault="001F14AF">
      <w:pPr>
        <w:pStyle w:val="Rubrik2"/>
      </w:pPr>
      <w:bookmarkStart w:id="57" w:name="_Toc32301644"/>
      <w:bookmarkStart w:id="58" w:name="_Toc38080787"/>
      <w:bookmarkStart w:id="59" w:name="_Toc38103346"/>
      <w:r w:rsidRPr="009D719B">
        <w:t>Den statliga lönebildningen</w:t>
      </w:r>
      <w:bookmarkEnd w:id="57"/>
      <w:bookmarkEnd w:id="58"/>
      <w:bookmarkEnd w:id="59"/>
    </w:p>
    <w:p w:rsidR="001F14AF" w:rsidRPr="009D719B" w:rsidRDefault="001F14AF">
      <w:r w:rsidRPr="009D719B">
        <w:t>På central nivå förhandlar Arbetsgivarverket med SACO, Offentliganställdas förhandlingsråd (OFR) och SEKO. Parterna har kommit överens om ett gemensamt samarbetsavtal som ligger till grund för lönebildningen. Sama</w:t>
      </w:r>
      <w:r w:rsidRPr="009D719B">
        <w:t>r</w:t>
      </w:r>
      <w:r w:rsidRPr="009D719B">
        <w:t>betsavtalet är en principdeklaration i vilken parterna tar gemensamt ansvar för lönebildningen. Parterna har också kommit överens om ett allmänt löne- och förmånsavtal (ALFA) som ska tjäna som utgångspunkt för vidare fö</w:t>
      </w:r>
      <w:r w:rsidRPr="009D719B">
        <w:t>r</w:t>
      </w:r>
      <w:r w:rsidRPr="009D719B">
        <w:t xml:space="preserve">handlingar vid myndigheterna. </w:t>
      </w:r>
    </w:p>
    <w:p w:rsidR="001F14AF" w:rsidRPr="009D719B" w:rsidRDefault="001F14AF">
      <w:pPr>
        <w:pStyle w:val="Normaltindrag"/>
      </w:pPr>
      <w:r w:rsidRPr="009D719B">
        <w:t>Arbetsgivarverket och de fackliga organisationerna genomför periodvis löneförhandlingar som resulterar i ramavtal om löner för arbetstagare i staten (RALS). Löptiden för dessa ramavtal varierar. Det ramavtal som tecknades år 2001 löpte endast under ett år, med</w:t>
      </w:r>
      <w:r w:rsidRPr="009D719B">
        <w:t>an parterna i 2002 års förhandling tecknade ett avtal som gäl</w:t>
      </w:r>
      <w:r w:rsidRPr="009D719B">
        <w:t>l</w:t>
      </w:r>
      <w:r w:rsidRPr="009D719B">
        <w:t xml:space="preserve">er i två och ett halvt år, fram till år 2004. </w:t>
      </w:r>
    </w:p>
    <w:p w:rsidR="001F14AF" w:rsidRPr="009D719B" w:rsidRDefault="001F14AF">
      <w:pPr>
        <w:pStyle w:val="Normaltindrag"/>
      </w:pPr>
      <w:r w:rsidRPr="009D719B">
        <w:t>Avtalen ser olika ut för de olika fackliga organisationerna. I avtalet mellan Arbetsgivarverket och SACO finns inga preciseringar av hur stor löneö</w:t>
      </w:r>
      <w:r w:rsidRPr="009D719B">
        <w:t>k</w:t>
      </w:r>
      <w:r w:rsidRPr="009D719B">
        <w:t>ningen ska vara för medlemmarna under avtalsperioden. SACO:s avtal är helt sifferlöst, och det är upp till de lokala parterna att avgöra storleken på löneökningarna. I avtalet med OFR har man heller inte angett löneökninga</w:t>
      </w:r>
      <w:r w:rsidRPr="009D719B">
        <w:t>r</w:t>
      </w:r>
      <w:r w:rsidRPr="009D719B">
        <w:t>na under perioden, men här finns däremot en s.k. stupstock som innebär att medlemmarna är garanterade en viss löneökning om de lokala parterna inte kan enas om en löneökning. I avtalet mellan Arbetsgivarverket och SEKO finns däremot en minsta garanterad löneökning för samtliga me</w:t>
      </w:r>
      <w:r w:rsidRPr="009D719B">
        <w:t>d</w:t>
      </w:r>
      <w:r w:rsidRPr="009D719B">
        <w:t>lemmar.</w:t>
      </w:r>
    </w:p>
    <w:p w:rsidR="001F14AF" w:rsidRPr="009D719B" w:rsidRDefault="001F14AF">
      <w:pPr>
        <w:pStyle w:val="Rubrik3-Utannumrering"/>
      </w:pPr>
      <w:bookmarkStart w:id="60" w:name="_Toc38080788"/>
      <w:r w:rsidRPr="009D719B">
        <w:t>Vad är en god lönebildning?</w:t>
      </w:r>
      <w:bookmarkEnd w:id="60"/>
    </w:p>
    <w:p w:rsidR="001F14AF" w:rsidRPr="009D719B" w:rsidRDefault="001F14AF">
      <w:r w:rsidRPr="009D719B">
        <w:t>Arbetsgivarverket utformar råd till de olika medlemmarna om hur lönebil</w:t>
      </w:r>
      <w:r w:rsidRPr="009D719B">
        <w:t>d</w:t>
      </w:r>
      <w:r w:rsidRPr="009D719B">
        <w:t>ningen bör utformas. En myndighets lönepolitik omfattar myndighetens regler för hur lön och andra anställningsförmåner ska utformas för att på bästa sätt gynna verksamheten. Från samhällsekonomisk synpunkt kan man se en god lönebildning som att löneökningarna hålls nere. Detta är också en förutsättning på t.ex. myndighetsnivå. Enligt verksförordningen (1995:1322) är myndighetschefen både ansvarig för att hushålla med statens medel och för att verksamheten bedrivs effektivt.</w:t>
      </w:r>
    </w:p>
    <w:p w:rsidR="001F14AF" w:rsidRPr="009D719B" w:rsidRDefault="001F14AF">
      <w:pPr>
        <w:pStyle w:val="Normaltindrag"/>
      </w:pPr>
      <w:r w:rsidRPr="009D719B">
        <w:t>En myndighetschef måste därmed t</w:t>
      </w:r>
      <w:r w:rsidRPr="009D719B">
        <w:t>a hänsyn till verksamheten. Arbetsg</w:t>
      </w:r>
      <w:r w:rsidRPr="009D719B">
        <w:t>i</w:t>
      </w:r>
      <w:r w:rsidRPr="009D719B">
        <w:t>varpolitiken ska verka gynnsamt på arbetsledningspolitiken. Arbetsgivarve</w:t>
      </w:r>
      <w:r w:rsidRPr="009D719B">
        <w:t>r</w:t>
      </w:r>
      <w:r w:rsidRPr="009D719B">
        <w:t>ket menar att lönepolitiken är ett arbetsgivarinstrument och bör därför inte förhandlas fram tillsammans med arbetstagarorganisationerna.</w:t>
      </w:r>
      <w:r w:rsidRPr="009D719B">
        <w:rPr>
          <w:rStyle w:val="Fotnotsreferens"/>
        </w:rPr>
        <w:footnoteReference w:id="12"/>
      </w:r>
      <w:r w:rsidRPr="009D719B">
        <w:t xml:space="preserve"> I ramavtalet om löner (RALS) för perioden 2002–2004 har parterna enats om att ”en väl utvecklad lönesättning som utgår från sakliga grunder är betydelsefull för en </w:t>
      </w:r>
      <w:r w:rsidRPr="009D719B">
        <w:lastRenderedPageBreak/>
        <w:t>ändamålsenlig differentiering av lönerna”. Arbetsgivarverket poängterar också att den individuella lönesättningen gynnar effektiviteten i verksamh</w:t>
      </w:r>
      <w:r w:rsidRPr="009D719B">
        <w:t>e</w:t>
      </w:r>
      <w:r w:rsidRPr="009D719B">
        <w:t xml:space="preserve">ten. Individuellt bestämda löner, baserade på individens arbetsuppgifter, prestationer och resultat, ökar den anställdes motivation och påverkar således resultaten av verksamheten. Individuella löner </w:t>
      </w:r>
      <w:r w:rsidRPr="009D719B">
        <w:t>leder till att lönebilden på myndigheten differentieras. Arbetsgivarverket menar dock att eftersom lön</w:t>
      </w:r>
      <w:r w:rsidRPr="009D719B">
        <w:t>e</w:t>
      </w:r>
      <w:r w:rsidRPr="009D719B">
        <w:t>skillnader kan skapa spänningar inom organisationen är det viktigt att de kriterier som används vid lönesättningen är kända och tydl</w:t>
      </w:r>
      <w:r w:rsidRPr="009D719B">
        <w:t>i</w:t>
      </w:r>
      <w:r w:rsidRPr="009D719B">
        <w:t>ga.</w:t>
      </w:r>
    </w:p>
    <w:p w:rsidR="001F14AF" w:rsidRPr="009D719B" w:rsidRDefault="001F14AF">
      <w:pPr>
        <w:pStyle w:val="Rubrik3-Utannumrering"/>
      </w:pPr>
      <w:bookmarkStart w:id="61" w:name="_Toc38080789"/>
      <w:r w:rsidRPr="009D719B">
        <w:t>Hur har lönebildningen bedrivits inom staten?</w:t>
      </w:r>
      <w:bookmarkEnd w:id="61"/>
    </w:p>
    <w:p w:rsidR="001F14AF" w:rsidRPr="009D719B" w:rsidRDefault="001F14AF">
      <w:r w:rsidRPr="009D719B">
        <w:t>I en utvärdering från 1997 av det delegerade arbetsgivaransvaret (SOU 1997:48) konstaterades att vissa myndigheter genomfört kraftiga löneö</w:t>
      </w:r>
      <w:r w:rsidRPr="009D719B">
        <w:t>k</w:t>
      </w:r>
      <w:r w:rsidRPr="009D719B">
        <w:t>ningar. Detta betraktade dock utredaren som problem som skulle lösas när systemet fått lite tid på sig. Utredaren kunde också notera att i större my</w:t>
      </w:r>
      <w:r w:rsidRPr="009D719B">
        <w:t>n</w:t>
      </w:r>
      <w:r w:rsidRPr="009D719B">
        <w:t>digheter var den regionala arbetsgivarfunktionen ofta svag. De regionala cheferna kunde ha svårt att hålla emot vid löneförhandlingar. Dessutom fanns det risk för lönekonkurrens inom myndigheten.</w:t>
      </w:r>
    </w:p>
    <w:p w:rsidR="001F14AF" w:rsidRPr="009D719B" w:rsidRDefault="001F14AF">
      <w:pPr>
        <w:pStyle w:val="Normaltindrag"/>
      </w:pPr>
      <w:r w:rsidRPr="009D719B">
        <w:t>Riksdagens revisorer granskade 1999 lönekostnaderna vid de statliga myndigheterna (1998/99:RR10). Revisorerna konstaterade att myndighete</w:t>
      </w:r>
      <w:r w:rsidRPr="009D719B">
        <w:t>r</w:t>
      </w:r>
      <w:r w:rsidRPr="009D719B">
        <w:t>nas löneutveckling hade överstigit de lägsta nivåer som angavs i avtalen. Vissa myndigheter hade överstigit dessa nivåer i betydande grad. Revisore</w:t>
      </w:r>
      <w:r w:rsidRPr="009D719B">
        <w:t>r</w:t>
      </w:r>
      <w:r w:rsidRPr="009D719B">
        <w:t>na menade att regeringen, mot bakgrund av myndigheternas snabbt ökande lönekostnader, borde hålla myndigheternas lön</w:t>
      </w:r>
      <w:r w:rsidRPr="009D719B">
        <w:t>e</w:t>
      </w:r>
      <w:r w:rsidRPr="009D719B">
        <w:t>kostnader under uppsikt.</w:t>
      </w:r>
    </w:p>
    <w:p w:rsidR="001F14AF" w:rsidRPr="009D719B" w:rsidRDefault="001F14AF">
      <w:pPr>
        <w:pStyle w:val="Normaltindrag"/>
      </w:pPr>
      <w:r w:rsidRPr="009D719B">
        <w:t>I utredningen om den arbetsgivarpolitiska delegeringen i staten (SOU 2002:32) konstaterade utredaren att den statliga lönebildningen i stort hållits på en samhällsekonomiskt ansvarsfull nivå. Det delegerade arbetsgivarans</w:t>
      </w:r>
      <w:r w:rsidRPr="009D719B">
        <w:t>v</w:t>
      </w:r>
      <w:r w:rsidRPr="009D719B">
        <w:t>a</w:t>
      </w:r>
      <w:r w:rsidRPr="009D719B">
        <w:t>ret kan således inte sägas ha drivit upp lönerna inom den statliga sektorn i allmänhet. Enligt utredaren fanns det dock exempel på områden där löneö</w:t>
      </w:r>
      <w:r w:rsidRPr="009D719B">
        <w:t>k</w:t>
      </w:r>
      <w:r w:rsidRPr="009D719B">
        <w:t xml:space="preserve">ningen varit hög. </w:t>
      </w:r>
    </w:p>
    <w:p w:rsidR="001F14AF" w:rsidRPr="009D719B" w:rsidRDefault="001F14AF">
      <w:pPr>
        <w:pStyle w:val="Normaltindrag"/>
      </w:pPr>
      <w:r w:rsidRPr="009D719B">
        <w:t>Utredaren konstaterar också att den individuella lönebildningen har slagit igenom ute på myndigheterna sedan arbetsgivaransvaret delegerades i början av 1990-talet. Det finns dock ett visst motstånd mot individuella löner. Utr</w:t>
      </w:r>
      <w:r w:rsidRPr="009D719B">
        <w:t>e</w:t>
      </w:r>
      <w:r w:rsidRPr="009D719B">
        <w:t>daren kunde konstatera att individuell lönesättning främst användes vid nyrekrytering och för personalkategorier som var eftertraktade på arbet</w:t>
      </w:r>
      <w:r w:rsidRPr="009D719B">
        <w:t>s</w:t>
      </w:r>
      <w:r w:rsidRPr="009D719B">
        <w:t xml:space="preserve">marknaden. </w:t>
      </w:r>
    </w:p>
    <w:p w:rsidR="001F14AF" w:rsidRPr="009D719B" w:rsidRDefault="001F14AF">
      <w:pPr>
        <w:pStyle w:val="Normaltindrag"/>
      </w:pPr>
      <w:r w:rsidRPr="009D719B">
        <w:t>Delegeringen av arbetsgivaransvaret kan också leda till löneglidning. Det finns enligt utredaren tecken på att arbetsgivarsidan inte kan samordna sitt beteende och sin förhandlingskompetens på samma sätt som arbetstagars</w:t>
      </w:r>
      <w:r w:rsidRPr="009D719B">
        <w:t>i</w:t>
      </w:r>
      <w:r w:rsidRPr="009D719B">
        <w:t>dan. Utredaren identifierar två grupper av myndigheter där detta riskerar att bli ett problem. För det första gäller det små myndigheter med en svag a</w:t>
      </w:r>
      <w:r w:rsidRPr="009D719B">
        <w:t>r</w:t>
      </w:r>
      <w:r w:rsidRPr="009D719B">
        <w:t>betsgivarfunktion och för det andra myndigheter där sektors- eller kårintre</w:t>
      </w:r>
      <w:r w:rsidRPr="009D719B">
        <w:t>s</w:t>
      </w:r>
      <w:r w:rsidRPr="009D719B">
        <w:t>sen har en stark ställning.</w:t>
      </w:r>
    </w:p>
    <w:p w:rsidR="001F14AF" w:rsidRPr="009D719B" w:rsidRDefault="001F14AF">
      <w:pPr>
        <w:pStyle w:val="Rubrik2"/>
      </w:pPr>
      <w:bookmarkStart w:id="62" w:name="_Toc32301645"/>
      <w:bookmarkStart w:id="63" w:name="_Toc38080790"/>
      <w:bookmarkStart w:id="64" w:name="_Toc38103347"/>
      <w:r w:rsidRPr="009D719B">
        <w:lastRenderedPageBreak/>
        <w:t>Att granska arbetsgivarpolitik</w:t>
      </w:r>
      <w:bookmarkEnd w:id="62"/>
      <w:bookmarkEnd w:id="63"/>
      <w:bookmarkEnd w:id="64"/>
    </w:p>
    <w:p w:rsidR="001F14AF" w:rsidRPr="009D719B" w:rsidRDefault="001F14AF">
      <w:r w:rsidRPr="009D719B">
        <w:t>I utredningen om den delegerade arbetsgivarpolitiken i staten (SOU 2002:32) diskuterar utredaren granskning av myndigheternas arbetsgivarpolitik. Utr</w:t>
      </w:r>
      <w:r w:rsidRPr="009D719B">
        <w:t>e</w:t>
      </w:r>
      <w:r w:rsidRPr="009D719B">
        <w:t>daren skriver:</w:t>
      </w:r>
    </w:p>
    <w:p w:rsidR="001F14AF" w:rsidRPr="009D719B" w:rsidRDefault="001F14AF">
      <w:pPr>
        <w:pStyle w:val="Citat"/>
        <w:ind w:left="426" w:right="509"/>
        <w:rPr>
          <w:sz w:val="20"/>
        </w:rPr>
      </w:pPr>
      <w:r w:rsidRPr="009D719B">
        <w:rPr>
          <w:sz w:val="20"/>
        </w:rPr>
        <w:t>När det gäller kollektivavtalen kan granskningen avse my</w:t>
      </w:r>
      <w:r w:rsidRPr="009D719B">
        <w:rPr>
          <w:sz w:val="20"/>
        </w:rPr>
        <w:t>n</w:t>
      </w:r>
      <w:r w:rsidRPr="009D719B">
        <w:rPr>
          <w:sz w:val="20"/>
        </w:rPr>
        <w:t>digheternas agerande som arbetsgivare – om de t.ex. uppträtt svagt eller med bristfälligt mandat – men inte själva innehå</w:t>
      </w:r>
      <w:r w:rsidRPr="009D719B">
        <w:rPr>
          <w:sz w:val="20"/>
        </w:rPr>
        <w:t>l</w:t>
      </w:r>
      <w:r w:rsidRPr="009D719B">
        <w:rPr>
          <w:sz w:val="20"/>
        </w:rPr>
        <w:t>let i avtalen. Innehållet kan vara en omständighet vid bedö</w:t>
      </w:r>
      <w:r w:rsidRPr="009D719B">
        <w:rPr>
          <w:sz w:val="20"/>
        </w:rPr>
        <w:t>m</w:t>
      </w:r>
      <w:r w:rsidRPr="009D719B">
        <w:rPr>
          <w:sz w:val="20"/>
        </w:rPr>
        <w:t>ningen av arbetsgivarsidans uppträdande. Den fackliga sidan i ett kollektivavtal kan aldrig bli föremål för granskning eller bedö</w:t>
      </w:r>
      <w:r w:rsidRPr="009D719B">
        <w:rPr>
          <w:sz w:val="20"/>
        </w:rPr>
        <w:t>m</w:t>
      </w:r>
      <w:r w:rsidRPr="009D719B">
        <w:rPr>
          <w:sz w:val="20"/>
        </w:rPr>
        <w:t>ning.</w:t>
      </w:r>
    </w:p>
    <w:p w:rsidR="001F14AF" w:rsidRPr="009D719B" w:rsidRDefault="001F14AF">
      <w:r w:rsidRPr="009D719B">
        <w:t>En granskning av myndigheternas arbetsgivarpolitik skulle således vara en mycket svår balansgång. Mycket av arbetsgivarpolitiken vid en myndighet utformas i samverkan eller förhandling med de f</w:t>
      </w:r>
      <w:r w:rsidRPr="009D719B">
        <w:t xml:space="preserve">ackliga organisationerna. Denna inställning har framkommit både från Arbetsgivarverket och från fackligt håll, bl.a. i de remissvar som lämnats om tidigare granskningar av arbetsgivarpolitik. </w:t>
      </w:r>
    </w:p>
    <w:p w:rsidR="001F14AF" w:rsidRPr="009D719B" w:rsidRDefault="001F14AF">
      <w:pPr>
        <w:pStyle w:val="Normaltindrag"/>
      </w:pPr>
      <w:r w:rsidRPr="009D719B">
        <w:t>Denna ovilja eller rädsla att blanda sig i avtalsfrågor kan också spåras i r</w:t>
      </w:r>
      <w:r w:rsidRPr="009D719B">
        <w:t>e</w:t>
      </w:r>
      <w:r w:rsidRPr="009D719B">
        <w:t>geringens sätt att hantera arbetsgivarpolitiken vid myndigheterna. Riksd</w:t>
      </w:r>
      <w:r w:rsidRPr="009D719B">
        <w:t>a</w:t>
      </w:r>
      <w:r w:rsidRPr="009D719B">
        <w:t>gens revisorer har tidigare konstaterat att regeringen varit passiv i sin roll som arbetsgivare och visat litet intresse att lägga sig i myndigheternas a</w:t>
      </w:r>
      <w:r w:rsidRPr="009D719B">
        <w:t>r</w:t>
      </w:r>
      <w:r w:rsidRPr="009D719B">
        <w:t>betsgivarpolitik.</w:t>
      </w:r>
      <w:r w:rsidRPr="009D719B">
        <w:rPr>
          <w:rStyle w:val="Fotnotsreferens"/>
        </w:rPr>
        <w:footnoteReference w:id="13"/>
      </w:r>
      <w:r w:rsidRPr="009D719B">
        <w:t xml:space="preserve"> Denna fråga diskuteras vidare i kapitel 9. </w:t>
      </w:r>
    </w:p>
    <w:p w:rsidR="001F14AF" w:rsidRPr="009D719B" w:rsidRDefault="001F14AF">
      <w:pPr>
        <w:pStyle w:val="Rubrik2"/>
      </w:pPr>
      <w:bookmarkStart w:id="65" w:name="_Toc32301646"/>
      <w:bookmarkStart w:id="66" w:name="_Toc38080791"/>
      <w:bookmarkStart w:id="67" w:name="_Toc38103348"/>
      <w:r w:rsidRPr="009D719B">
        <w:t>Att stärka arbetsgivarrollen</w:t>
      </w:r>
      <w:bookmarkEnd w:id="65"/>
      <w:bookmarkEnd w:id="66"/>
      <w:bookmarkEnd w:id="67"/>
    </w:p>
    <w:p w:rsidR="001F14AF" w:rsidRPr="009D719B" w:rsidRDefault="001F14AF">
      <w:r w:rsidRPr="009D719B">
        <w:t>Arbetsgivarpolitik handlar ofta om frågor som hanteras i förhandling eller samverkan mellan två eller flera parter – arbetsgivaren och de fackliga org</w:t>
      </w:r>
      <w:r w:rsidRPr="009D719B">
        <w:t>a</w:t>
      </w:r>
      <w:r w:rsidRPr="009D719B">
        <w:t>nisationerna. Arbetsgivarpolitiken kan vara mer eller mindre under arbetsg</w:t>
      </w:r>
      <w:r w:rsidRPr="009D719B">
        <w:t>i</w:t>
      </w:r>
      <w:r w:rsidRPr="009D719B">
        <w:t>varens ko</w:t>
      </w:r>
      <w:r w:rsidRPr="009D719B">
        <w:t>n</w:t>
      </w:r>
      <w:r w:rsidRPr="009D719B">
        <w:t xml:space="preserve">troll. </w:t>
      </w:r>
    </w:p>
    <w:p w:rsidR="001F14AF" w:rsidRPr="009D719B" w:rsidRDefault="001F14AF">
      <w:pPr>
        <w:pStyle w:val="Rubrik3-Utannumrering"/>
      </w:pPr>
      <w:bookmarkStart w:id="68" w:name="_Toc38080792"/>
      <w:r w:rsidRPr="009D719B">
        <w:t>Tidigare utredningar</w:t>
      </w:r>
      <w:bookmarkEnd w:id="68"/>
    </w:p>
    <w:p w:rsidR="001F14AF" w:rsidRPr="009D719B" w:rsidRDefault="001F14AF">
      <w:r w:rsidRPr="009D719B">
        <w:t>Försvarsmakten har fått kritik för att vara alltför svag i sin roll som arbetsg</w:t>
      </w:r>
      <w:r w:rsidRPr="009D719B">
        <w:t>i</w:t>
      </w:r>
      <w:r w:rsidRPr="009D719B">
        <w:t>vare. Denna kritik har tidigare framförts av såväl RRV som Riksdagens revisorer.</w:t>
      </w:r>
      <w:r w:rsidRPr="009D719B">
        <w:rPr>
          <w:rStyle w:val="Fotnotsreferens"/>
        </w:rPr>
        <w:footnoteReference w:id="14"/>
      </w:r>
      <w:r w:rsidRPr="009D719B">
        <w:t xml:space="preserve"> RRV påpekade vikten av att regeringen i dialogen med myndi</w:t>
      </w:r>
      <w:r w:rsidRPr="009D719B">
        <w:t>g</w:t>
      </w:r>
      <w:r w:rsidRPr="009D719B">
        <w:t>heten ställde större krav på ett arbetsgivarbeteende i linje med verksamhet</w:t>
      </w:r>
      <w:r w:rsidRPr="009D719B">
        <w:t>s</w:t>
      </w:r>
      <w:r w:rsidRPr="009D719B">
        <w:t>intresset. Riksdagens revisorer menade att Försvarsmakten var svag som arbetsgivare i den meningen att myndigheten inte klarade av att hävda ver</w:t>
      </w:r>
      <w:r w:rsidRPr="009D719B">
        <w:t>k</w:t>
      </w:r>
      <w:r w:rsidRPr="009D719B">
        <w:t>samhetens intressen gentemot offic</w:t>
      </w:r>
      <w:r w:rsidRPr="009D719B">
        <w:t>e</w:t>
      </w:r>
      <w:r w:rsidRPr="009D719B">
        <w:t xml:space="preserve">rarnas intressen.  </w:t>
      </w:r>
    </w:p>
    <w:p w:rsidR="001F14AF" w:rsidRPr="009D719B" w:rsidRDefault="001F14AF">
      <w:pPr>
        <w:pStyle w:val="Normaltindrag"/>
      </w:pPr>
      <w:r w:rsidRPr="009D719B">
        <w:t xml:space="preserve">Som ett resultat av denna kritik har regeringen uttalat att Försvarsmakten bör stärka sin roll som arbetsgivare. I propositionen </w:t>
      </w:r>
      <w:r w:rsidRPr="009D719B">
        <w:rPr>
          <w:i/>
        </w:rPr>
        <w:t xml:space="preserve">Fortsatt förnyelse av </w:t>
      </w:r>
      <w:r w:rsidRPr="009D719B">
        <w:rPr>
          <w:i/>
        </w:rPr>
        <w:lastRenderedPageBreak/>
        <w:t>totalförsvaret</w:t>
      </w:r>
      <w:r w:rsidRPr="009D719B">
        <w:t xml:space="preserve"> (prop. 2001/02:10) skriver regeringen att Försvarsmakten bör stärka och samordna sin arbetsgivarroll. Myndigheten bör förbättra styrnin</w:t>
      </w:r>
      <w:r w:rsidRPr="009D719B">
        <w:t>g</w:t>
      </w:r>
      <w:r w:rsidRPr="009D719B">
        <w:t>en och uppföljningen av personalförsörjningen samt vidta åtgärder för att förbättra förtroendet för myndigheten i frågor som rör arbetsgivarrollen. Enligt regeringen ligger detta ansvar i allt väsentligt hos Försvarsmakten och förutsätter sedvanliga överenskommelser med de fackl</w:t>
      </w:r>
      <w:r w:rsidRPr="009D719B">
        <w:t>i</w:t>
      </w:r>
      <w:r w:rsidRPr="009D719B">
        <w:t xml:space="preserve">ga organisationerna. </w:t>
      </w:r>
    </w:p>
    <w:p w:rsidR="001F14AF" w:rsidRPr="009D719B" w:rsidRDefault="001F14AF">
      <w:pPr>
        <w:pStyle w:val="Normaltindrag"/>
      </w:pPr>
      <w:r w:rsidRPr="009D719B">
        <w:t xml:space="preserve">Utredningen om personalförsörjningen </w:t>
      </w:r>
      <w:r w:rsidRPr="009D719B">
        <w:t>inom Försvarsmakten (</w:t>
      </w:r>
      <w:r w:rsidRPr="009D719B">
        <w:rPr>
          <w:i/>
        </w:rPr>
        <w:t>Personal för ett nytt försvar</w:t>
      </w:r>
      <w:r w:rsidRPr="009D719B">
        <w:t>, SOU 2001:23) ansåg att myndigheten borde överväga en förstärkt och organisatoriskt samlad funktion för arbetsgivarfrågorna, direkt under Högkvarterets ledning. Högkvarteret borde också inta en mer aktiv hållning, framför allt vad gäller styrning och uppföljning.</w:t>
      </w:r>
    </w:p>
    <w:p w:rsidR="001F14AF" w:rsidRPr="009D719B" w:rsidRDefault="001F14AF">
      <w:pPr>
        <w:pStyle w:val="Rubrik3-Utannumrering"/>
      </w:pPr>
      <w:bookmarkStart w:id="69" w:name="_Toc38080793"/>
      <w:r w:rsidRPr="009D719B">
        <w:t>Hur stärker man arbetsgivarrollen?</w:t>
      </w:r>
      <w:bookmarkEnd w:id="69"/>
    </w:p>
    <w:p w:rsidR="001F14AF" w:rsidRPr="009D719B" w:rsidRDefault="001F14AF">
      <w:r w:rsidRPr="009D719B">
        <w:t>Tidigare granskningar visar således att Försvarsmakten varit svag i sin roll som arbetsgivare i förhållande till arbetstagarorganisationerna. Frågan blir då hur Försvarsmakten ska stärka sin roll som arbetsgivare. Om man ser till regeringens uttalanden och Personalförsörjningsutredningens förslag handlar det för det första om en organisatorisk förändring, dvs. en förändring som kan skapa det nödvändiga ramverket och en förutsättning för en stark arbet</w:t>
      </w:r>
      <w:r w:rsidRPr="009D719B">
        <w:t>s</w:t>
      </w:r>
      <w:r w:rsidRPr="009D719B">
        <w:t>givarroll. För det andra handlar det om en förändring av attityder och instäl</w:t>
      </w:r>
      <w:r w:rsidRPr="009D719B">
        <w:t>l</w:t>
      </w:r>
      <w:r w:rsidRPr="009D719B">
        <w:t xml:space="preserve">ning hos chefer på lokal och central nivå inom Försvarsmakten. För det tredje är stärkandet av arbetsgivarrollen också en fråga om styrning och uppföljning från myndighetsledningen centralt. </w:t>
      </w:r>
    </w:p>
    <w:p w:rsidR="001F14AF" w:rsidRPr="009D719B" w:rsidRDefault="001F14AF">
      <w:pPr>
        <w:pStyle w:val="Rubrik2"/>
      </w:pPr>
      <w:bookmarkStart w:id="70" w:name="_Toc32301647"/>
      <w:bookmarkStart w:id="71" w:name="_Toc38080794"/>
      <w:bookmarkStart w:id="72" w:name="_Toc38103349"/>
      <w:r w:rsidRPr="009D719B">
        <w:t>Delegeringen inom Försvarsmakten</w:t>
      </w:r>
      <w:bookmarkEnd w:id="70"/>
      <w:bookmarkEnd w:id="71"/>
      <w:bookmarkEnd w:id="72"/>
    </w:p>
    <w:p w:rsidR="001F14AF" w:rsidRPr="009D719B" w:rsidRDefault="001F14AF">
      <w:r w:rsidRPr="009D719B">
        <w:t>Arbetsgivaransvaret för Försvarsmakten åvilar överbefälhavaren (ÖB) i hans egenskap som myndighetschef. Arbetsgivaransvaret är dock delegerat till cheferna för de olika organisationsenheterna (förband, skolor och centrum) i samtliga fall där ÖB inte har beslutat om annat. Grundregeln är att arbetsg</w:t>
      </w:r>
      <w:r w:rsidRPr="009D719B">
        <w:t>i</w:t>
      </w:r>
      <w:r w:rsidRPr="009D719B">
        <w:t>varansvaret utövas av förband</w:t>
      </w:r>
      <w:r w:rsidRPr="009D719B">
        <w:t>s</w:t>
      </w:r>
      <w:r w:rsidRPr="009D719B">
        <w:t xml:space="preserve">chefen. </w:t>
      </w:r>
    </w:p>
    <w:p w:rsidR="001F14AF" w:rsidRPr="009D719B" w:rsidRDefault="001F14AF">
      <w:pPr>
        <w:pStyle w:val="Normaltindrag"/>
      </w:pPr>
      <w:r w:rsidRPr="009D719B">
        <w:t>Arbetsgivaransvaret för en förbandschef vad gäller lönebildningen omgä</w:t>
      </w:r>
      <w:r w:rsidRPr="009D719B">
        <w:t>r</w:t>
      </w:r>
      <w:r w:rsidRPr="009D719B">
        <w:t>das av vissa restriktioner. För det första har varje förbandschef en ekonomisk ram för sin verksamhet, för det andra är arbetsgivaransvaret för vissa högre officerare styrt från central nivå inom Högkvarteret och för det tredje styrs arbetsgivaransvaret av de bestämmelser, policydokument och avtal som tas fram centralt inom Försvarsmakten. Styrningen av förbanden och avtalsfö</w:t>
      </w:r>
      <w:r w:rsidRPr="009D719B">
        <w:t>r</w:t>
      </w:r>
      <w:r w:rsidRPr="009D719B">
        <w:t>handlingarna inom Försvarsmakten behandlas i kapitel 5 och 6 nedan.</w:t>
      </w:r>
    </w:p>
    <w:p w:rsidR="001F14AF" w:rsidRPr="009D719B" w:rsidRDefault="001F14AF">
      <w:pPr>
        <w:pStyle w:val="Rubrik2"/>
      </w:pPr>
      <w:bookmarkStart w:id="73" w:name="_Toc32301648"/>
      <w:bookmarkStart w:id="74" w:name="_Toc38080795"/>
      <w:bookmarkStart w:id="75" w:name="_Toc38103350"/>
      <w:r w:rsidRPr="009D719B">
        <w:t>Försvarsmaktens givna förutsättningar</w:t>
      </w:r>
      <w:bookmarkEnd w:id="73"/>
      <w:bookmarkEnd w:id="74"/>
      <w:bookmarkEnd w:id="75"/>
    </w:p>
    <w:p w:rsidR="001F14AF" w:rsidRPr="009D719B" w:rsidRDefault="001F14AF">
      <w:r w:rsidRPr="009D719B">
        <w:t>Baserat på beskrivningen av Försvarsmakten och den statliga arbetsgivarp</w:t>
      </w:r>
      <w:r w:rsidRPr="009D719B">
        <w:t>o</w:t>
      </w:r>
      <w:r w:rsidRPr="009D719B">
        <w:t>litiken i detta och föregående kapitel kan vi nu identifiera de givna förutsät</w:t>
      </w:r>
      <w:r w:rsidRPr="009D719B">
        <w:t>t</w:t>
      </w:r>
      <w:r w:rsidRPr="009D719B">
        <w:t xml:space="preserve">ningarna för Försvarsmakten att bedriva arbetsgivarpolitik. </w:t>
      </w:r>
    </w:p>
    <w:p w:rsidR="001F14AF" w:rsidRPr="009D719B" w:rsidRDefault="001F14AF">
      <w:pPr>
        <w:pStyle w:val="Rubrik3-Utannumrering"/>
      </w:pPr>
      <w:bookmarkStart w:id="76" w:name="_Toc38080796"/>
      <w:r w:rsidRPr="009D719B">
        <w:lastRenderedPageBreak/>
        <w:t>Myndighetens storlek och struktur</w:t>
      </w:r>
      <w:bookmarkEnd w:id="76"/>
    </w:p>
    <w:p w:rsidR="001F14AF" w:rsidRPr="009D719B" w:rsidRDefault="001F14AF">
      <w:r w:rsidRPr="009D719B">
        <w:t>Försvarsmakten är, näst efter polisen, den näst största statliga myndigheten i landet. Vid utgången av år 2001 var ca 23 000 personer anställda inom det svenska polisväsendet, medan Försvarsmakten efter de senaste årens ban</w:t>
      </w:r>
      <w:r w:rsidRPr="009D719B">
        <w:t>t</w:t>
      </w:r>
      <w:r w:rsidRPr="009D719B">
        <w:t>ning i april 2002 var nere i drygt 19 000 anställda. Antalet anställda ska dessutom fortsätta att minska t.o.m. år 2004. Försvarsmakten har också en stor geografisk spridning samt en org</w:t>
      </w:r>
      <w:r w:rsidRPr="009D719B">
        <w:t>a</w:t>
      </w:r>
      <w:r w:rsidRPr="009D719B">
        <w:t>nisatorisk delegering.</w:t>
      </w:r>
    </w:p>
    <w:p w:rsidR="001F14AF" w:rsidRPr="009D719B" w:rsidRDefault="001F14AF">
      <w:pPr>
        <w:pStyle w:val="Rubrik3-Utannumrering"/>
      </w:pPr>
      <w:bookmarkStart w:id="77" w:name="_Toc38080797"/>
      <w:r w:rsidRPr="009D719B">
        <w:t>Kårandan</w:t>
      </w:r>
      <w:bookmarkEnd w:id="77"/>
    </w:p>
    <w:p w:rsidR="001F14AF" w:rsidRPr="009D719B" w:rsidRDefault="001F14AF">
      <w:r w:rsidRPr="009D719B">
        <w:t>Kårandan inom Försvarsmakten har tidigare beskrivits av flera utredningar.</w:t>
      </w:r>
      <w:r w:rsidRPr="009D719B">
        <w:rPr>
          <w:rStyle w:val="Fotnotsreferens"/>
        </w:rPr>
        <w:footnoteReference w:id="15"/>
      </w:r>
      <w:r w:rsidRPr="009D719B">
        <w:t xml:space="preserve"> Av Försvarsmaktens 11 500 yrkesofficerare är omkring 95 % medlemmar i Officersförbundet. Detta ger Officersförbundet en mycket stark förhan</w:t>
      </w:r>
      <w:r w:rsidRPr="009D719B">
        <w:t>d</w:t>
      </w:r>
      <w:r w:rsidRPr="009D719B">
        <w:t xml:space="preserve">lingsposition gentemot Försvarsmakten. Yrkesofficerare utgör en relativt homogen yrkesgrupp som svetsas samman av bl.a. en gemensam utbildning, hög rörlighet inom organisationen och historiska traditioner som sträcker sig långt bakåt i tiden. </w:t>
      </w:r>
    </w:p>
    <w:p w:rsidR="001F14AF" w:rsidRPr="009D719B" w:rsidRDefault="001F14AF">
      <w:pPr>
        <w:pStyle w:val="Normaltindrag"/>
      </w:pPr>
      <w:r w:rsidRPr="009D719B">
        <w:t>Yrkesofficerarna och Försvarsmakten har under senare år dessutom varit utsatta för ett starkt yttre tryck genom ändrade arbetsu</w:t>
      </w:r>
      <w:r w:rsidRPr="009D719B">
        <w:t>ppgifter, nedskärningar och omorganiseringar vilket kan ha påverkat sammanhållningen inom gru</w:t>
      </w:r>
      <w:r w:rsidRPr="009D719B">
        <w:t>p</w:t>
      </w:r>
      <w:r w:rsidRPr="009D719B">
        <w:t xml:space="preserve">pen ytterligare. </w:t>
      </w:r>
    </w:p>
    <w:p w:rsidR="001F14AF" w:rsidRPr="009D719B" w:rsidRDefault="001F14AF">
      <w:pPr>
        <w:pStyle w:val="Normaltindrag"/>
      </w:pPr>
      <w:r w:rsidRPr="009D719B">
        <w:t>Yrkesofficerare utgör visserligen en mycket stark yrkeskår, men visar även tecken på en ökande intern diversifiering. Utredningen om Försvarsmaktens personalförsörjning (SOU 2001:23) lämnade förslag som innebar att karriä</w:t>
      </w:r>
      <w:r w:rsidRPr="009D719B">
        <w:t>r</w:t>
      </w:r>
      <w:r w:rsidRPr="009D719B">
        <w:t>vägarna för yrkesofficerare skulle öppnas för fler inriktningar. De intervjuer som genomförts under denna granskning har också visat att det finns en viss splittring mellan y</w:t>
      </w:r>
      <w:r w:rsidRPr="009D719B">
        <w:t>r</w:t>
      </w:r>
      <w:r w:rsidRPr="009D719B">
        <w:t xml:space="preserve">kesgrupper inom kåren. </w:t>
      </w:r>
    </w:p>
    <w:p w:rsidR="001F14AF" w:rsidRPr="009D719B" w:rsidRDefault="001F14AF">
      <w:pPr>
        <w:pStyle w:val="Rubrik3-Utannumrering"/>
      </w:pPr>
      <w:bookmarkStart w:id="78" w:name="_Toc38080798"/>
      <w:r w:rsidRPr="009D719B">
        <w:t>Arbetsförhållanden</w:t>
      </w:r>
      <w:bookmarkEnd w:id="78"/>
    </w:p>
    <w:p w:rsidR="001F14AF" w:rsidRPr="009D719B" w:rsidRDefault="001F14AF">
      <w:r w:rsidRPr="009D719B">
        <w:t>Arbetsförhållandena för yrkesofficerare inom Försvarsmakten är i många fall speciella, dock inte unika, jämfört med den statliga sektorn i övrigt. Dels kan yrkesofficerare ibland förväntas arbeta dygnet runt under obekväma förhå</w:t>
      </w:r>
      <w:r w:rsidRPr="009D719B">
        <w:t>l</w:t>
      </w:r>
      <w:r w:rsidRPr="009D719B">
        <w:t>landen, dels förväntas yrkesofficerare ha en stor rörlighet mellan olika fö</w:t>
      </w:r>
      <w:r w:rsidRPr="009D719B">
        <w:t>r</w:t>
      </w:r>
      <w:r w:rsidRPr="009D719B">
        <w:t xml:space="preserve">band runt om i landet. </w:t>
      </w:r>
    </w:p>
    <w:p w:rsidR="001F14AF" w:rsidRPr="009D719B" w:rsidRDefault="001F14AF">
      <w:pPr>
        <w:pStyle w:val="Normaltindrag"/>
      </w:pPr>
      <w:r w:rsidRPr="009D719B">
        <w:t>Ytterligare en aspekt av detta är deltagandet i de internationella fred</w:t>
      </w:r>
      <w:r w:rsidRPr="009D719B">
        <w:t>s</w:t>
      </w:r>
      <w:r w:rsidRPr="009D719B">
        <w:t>främjande insatserna. Försvarsutskottet har uttalat att tjänstgöring i intern</w:t>
      </w:r>
      <w:r w:rsidRPr="009D719B">
        <w:t>a</w:t>
      </w:r>
      <w:r w:rsidRPr="009D719B">
        <w:t>tionella insatser bör ses som en naturlig del av officerens yrkesutövning och att yrkesofficerare ska ha en skyldighet att delta i såväl fredsbevarande som fredsframtvingande uppgifter. Regeringen ska återkomma till riksdagen med förslag som möjliggör för Försvarsmakten att genomdriva denna skyldighet. Själva tjänstgöringsskyldigheten ska således inte regleras i en lag, utan g</w:t>
      </w:r>
      <w:r w:rsidRPr="009D719B">
        <w:t>e</w:t>
      </w:r>
      <w:r w:rsidRPr="009D719B">
        <w:t>nom interna bestämmelser inom Försvarsma</w:t>
      </w:r>
      <w:r w:rsidRPr="009D719B">
        <w:t>k</w:t>
      </w:r>
      <w:r w:rsidRPr="009D719B">
        <w:t>ten.</w:t>
      </w:r>
      <w:r w:rsidRPr="009D719B">
        <w:rPr>
          <w:rStyle w:val="Fotnotsreferens"/>
        </w:rPr>
        <w:footnoteReference w:id="16"/>
      </w:r>
      <w:r w:rsidRPr="009D719B">
        <w:t xml:space="preserve">   </w:t>
      </w:r>
    </w:p>
    <w:p w:rsidR="001F14AF" w:rsidRPr="009D719B" w:rsidRDefault="001F14AF">
      <w:pPr>
        <w:pStyle w:val="Rubrik3-Utannumrering"/>
      </w:pPr>
      <w:bookmarkStart w:id="79" w:name="_Toc38080799"/>
      <w:r w:rsidRPr="009D719B">
        <w:lastRenderedPageBreak/>
        <w:t>Omstruktureringen</w:t>
      </w:r>
      <w:bookmarkEnd w:id="79"/>
    </w:p>
    <w:p w:rsidR="001F14AF" w:rsidRPr="009D719B" w:rsidRDefault="001F14AF">
      <w:r w:rsidRPr="009D719B">
        <w:t>Försvarsmakten har under senare år omorganiserats i flera steg. Den mest omfattande omorganiseringen genomfördes 1994 genom den s.k. LEMO-reformen. Denna reform fick bl.a. till följd att Försvarsmakten slogs ihop till en sammanhållen myndighet. De olika förbanden hade tidigare varit egna myndigheter, men styrs sedan 1994 av en central ledningsorganisation, Hö</w:t>
      </w:r>
      <w:r w:rsidRPr="009D719B">
        <w:t>g</w:t>
      </w:r>
      <w:r w:rsidRPr="009D719B">
        <w:t>kvarteret.</w:t>
      </w:r>
    </w:p>
    <w:p w:rsidR="001F14AF" w:rsidRPr="009D719B" w:rsidRDefault="001F14AF">
      <w:pPr>
        <w:pStyle w:val="Normaltindrag"/>
      </w:pPr>
      <w:r w:rsidRPr="009D719B">
        <w:t>Under 1990-talet har Försvarsmakten också genomgått omfattande ne</w:t>
      </w:r>
      <w:r w:rsidRPr="009D719B">
        <w:t>d</w:t>
      </w:r>
      <w:r w:rsidRPr="009D719B">
        <w:t>skärningar i flera steg. Dessa nedskärningar har lett till att förband har lagts ned och omorganiserats. Den omstrukturering av Försvarsmakten som g</w:t>
      </w:r>
      <w:r w:rsidRPr="009D719B">
        <w:t>e</w:t>
      </w:r>
      <w:r w:rsidRPr="009D719B">
        <w:t>nomförts under senare år (och som beskrevs i kapitel 2) kan påverka hur myndigheten uppträder som arbetsgiv</w:t>
      </w:r>
      <w:r w:rsidRPr="009D719B">
        <w:t>a</w:t>
      </w:r>
      <w:r w:rsidRPr="009D719B">
        <w:t>re.</w:t>
      </w:r>
    </w:p>
    <w:p w:rsidR="001F14AF" w:rsidRPr="009D719B" w:rsidRDefault="001F14AF">
      <w:pPr>
        <w:pStyle w:val="Normaltindrag"/>
      </w:pPr>
      <w:r w:rsidRPr="009D719B">
        <w:t>Officersförbundet genomförde under sommaren 2002 en attitydundersö</w:t>
      </w:r>
      <w:r w:rsidRPr="009D719B">
        <w:t>k</w:t>
      </w:r>
      <w:r w:rsidRPr="009D719B">
        <w:t>ning bland sina medlemmar och kom fram till att yrkesofficerarnas förtroe</w:t>
      </w:r>
      <w:r w:rsidRPr="009D719B">
        <w:t>n</w:t>
      </w:r>
      <w:r w:rsidRPr="009D719B">
        <w:t>de för den centrala ledningen var lågt och dessutom hade minskat sedan den förra mätningen.</w:t>
      </w:r>
      <w:r w:rsidRPr="009D719B">
        <w:rPr>
          <w:rStyle w:val="Fotnotsreferens"/>
        </w:rPr>
        <w:footnoteReference w:id="17"/>
      </w:r>
      <w:r w:rsidRPr="009D719B">
        <w:t xml:space="preserve"> I Försvarsmaktens egen utredning från 2002 om den ce</w:t>
      </w:r>
      <w:r w:rsidRPr="009D719B">
        <w:t>n</w:t>
      </w:r>
      <w:r w:rsidRPr="009D719B">
        <w:t xml:space="preserve">trala ledningens utformning menar utredaren: </w:t>
      </w:r>
    </w:p>
    <w:p w:rsidR="001F14AF" w:rsidRPr="009D719B" w:rsidRDefault="001F14AF">
      <w:pPr>
        <w:pStyle w:val="Citat"/>
        <w:ind w:left="426" w:right="509"/>
      </w:pPr>
      <w:r w:rsidRPr="009D719B">
        <w:rPr>
          <w:sz w:val="20"/>
        </w:rPr>
        <w:t>Det förekommer otydligheter där chefer inte är överens om mål och medel för den ominriktning som pågår av Försvar</w:t>
      </w:r>
      <w:r w:rsidRPr="009D719B">
        <w:rPr>
          <w:sz w:val="20"/>
        </w:rPr>
        <w:t>s</w:t>
      </w:r>
      <w:r w:rsidRPr="009D719B">
        <w:rPr>
          <w:sz w:val="20"/>
        </w:rPr>
        <w:t>maktens verksamhet. Det uppstår då konflikter som avspeglar sig i rollspelet mellan den centrala ledningen och förba</w:t>
      </w:r>
      <w:r w:rsidRPr="009D719B">
        <w:rPr>
          <w:sz w:val="20"/>
        </w:rPr>
        <w:t>n</w:t>
      </w:r>
      <w:r w:rsidRPr="009D719B">
        <w:rPr>
          <w:sz w:val="20"/>
        </w:rPr>
        <w:t>den.</w:t>
      </w:r>
      <w:r w:rsidRPr="009D719B">
        <w:rPr>
          <w:rStyle w:val="Fotnotsreferens"/>
        </w:rPr>
        <w:footnoteReference w:id="18"/>
      </w:r>
      <w:r w:rsidRPr="009D719B">
        <w:t xml:space="preserve"> </w:t>
      </w:r>
    </w:p>
    <w:p w:rsidR="001F14AF" w:rsidRPr="009D719B" w:rsidRDefault="001F14AF">
      <w:r w:rsidRPr="009D719B">
        <w:t>Den brist på förtroende mellan förbanden och den centrala ledningen som antyds i Försvarsmaktens utredning kan också spåras i de intervjuer som genomförts under revisorernas granskning. Den spänning som råder mellan förbanden och den centrala ledningen kan delvis härröra från den pågående omorganiseringen och påverkar också möjligheterna för Försvarsmakten att driva arbetsgiva</w:t>
      </w:r>
      <w:r w:rsidRPr="009D719B">
        <w:t>r</w:t>
      </w:r>
      <w:r w:rsidRPr="009D719B">
        <w:t xml:space="preserve">politiken. </w:t>
      </w:r>
    </w:p>
    <w:p w:rsidR="001F14AF" w:rsidRPr="009D719B" w:rsidRDefault="001F14AF">
      <w:pPr>
        <w:pStyle w:val="Rubrik1"/>
      </w:pPr>
      <w:r w:rsidRPr="009D719B">
        <w:br w:type="page"/>
      </w:r>
      <w:bookmarkStart w:id="80" w:name="_Toc32301649"/>
      <w:bookmarkStart w:id="81" w:name="_Toc38080800"/>
      <w:bookmarkStart w:id="82" w:name="_Toc38103351"/>
      <w:r w:rsidRPr="009D719B">
        <w:lastRenderedPageBreak/>
        <w:t>Personalkostnader</w:t>
      </w:r>
      <w:bookmarkEnd w:id="80"/>
      <w:bookmarkEnd w:id="81"/>
      <w:bookmarkEnd w:id="82"/>
    </w:p>
    <w:p w:rsidR="001F14AF" w:rsidRPr="009D719B" w:rsidRDefault="001F14AF">
      <w:r w:rsidRPr="009D719B">
        <w:t>I detta kapitel presenteras en analys av hur Försvarsmaktens personalkostn</w:t>
      </w:r>
      <w:r w:rsidRPr="009D719B">
        <w:t>a</w:t>
      </w:r>
      <w:r w:rsidRPr="009D719B">
        <w:t>der utvecklats. Den stora posten bakom personalkostnaderna är lönerna, som analyseras på grundval av lönestatistik som tagits fram av Statistiska centra</w:t>
      </w:r>
      <w:r w:rsidRPr="009D719B">
        <w:t>l</w:t>
      </w:r>
      <w:r w:rsidRPr="009D719B">
        <w:t xml:space="preserve">byrån. </w:t>
      </w:r>
    </w:p>
    <w:p w:rsidR="001F14AF" w:rsidRPr="009D719B" w:rsidRDefault="001F14AF">
      <w:pPr>
        <w:pStyle w:val="Rubrik2"/>
      </w:pPr>
      <w:bookmarkStart w:id="83" w:name="_Toc32301650"/>
      <w:bookmarkStart w:id="84" w:name="_Toc38080801"/>
      <w:bookmarkStart w:id="85" w:name="_Toc38103352"/>
      <w:r w:rsidRPr="009D719B">
        <w:t>Ökande kostnader per anställd</w:t>
      </w:r>
      <w:bookmarkEnd w:id="83"/>
      <w:bookmarkEnd w:id="84"/>
      <w:bookmarkEnd w:id="85"/>
    </w:p>
    <w:p w:rsidR="001F14AF" w:rsidRPr="009D719B" w:rsidRDefault="001F14AF">
      <w:r w:rsidRPr="009D719B">
        <w:t>Försvarsmakten har sedan 1996 minskat antalet anställda med en fjärdedel. Samtidigt har personalkostnaden, uttryckt i fasta priser, ökat under perioden. I nedanstående figur visas utvecklingen av antalet anställda samt persona</w:t>
      </w:r>
      <w:r w:rsidRPr="009D719B">
        <w:t>l</w:t>
      </w:r>
      <w:r w:rsidRPr="009D719B">
        <w:t>kostnaderna uttryckta i index med 1996 som basår (det år då Försvarsmakten började teckna egna kollektivavtal).</w:t>
      </w:r>
    </w:p>
    <w:p w:rsidR="001F14AF" w:rsidRPr="009D719B" w:rsidRDefault="001F14AF">
      <w:pPr>
        <w:pStyle w:val="Beskrivning"/>
        <w:jc w:val="left"/>
      </w:pPr>
      <w:r w:rsidRPr="009D719B">
        <w:object w:dxaOrig="840" w:dyaOrig="1545">
          <v:shape id="_x0000_s1032" type="#_x0000_t75" style="position:absolute;margin-left:-3pt;margin-top:41pt;width:273.75pt;height:185.25pt;z-index:251655168;mso-position-horizontal:absolute;mso-position-horizontal-relative:text;mso-position-vertical:absolute;mso-position-vertical-relative:text" o:allowincell="f">
            <v:imagedata r:id="rId18" o:title=""/>
            <w10:wrap type="topAndBottom"/>
          </v:shape>
          <o:OLEObject Type="Embed" ProgID="Excel.Sheet.8" ShapeID="_x0000_s1032" DrawAspect="Content" ObjectID="_1827361178" r:id="rId19"/>
        </w:object>
      </w:r>
      <w:r w:rsidRPr="009D719B">
        <w:t xml:space="preserve">Figur </w:t>
      </w:r>
      <w:r w:rsidRPr="009D719B">
        <w:t>4</w:t>
      </w:r>
      <w:r w:rsidRPr="009D719B">
        <w:t>.</w:t>
      </w:r>
      <w:r w:rsidRPr="009D719B">
        <w:t>1</w:t>
      </w:r>
      <w:r w:rsidRPr="009D719B">
        <w:tab/>
        <w:t>Försvarsmaktens personalkostnader (fasta priser) och antal anställda 1996–2001 uttryckt i index (basår 1996)</w:t>
      </w:r>
    </w:p>
    <w:p w:rsidR="001F14AF" w:rsidRPr="009D719B" w:rsidRDefault="001F14AF">
      <w:pPr>
        <w:pStyle w:val="Tabell"/>
        <w:jc w:val="left"/>
      </w:pPr>
      <w:r w:rsidRPr="009D719B">
        <w:t>Källa: Försvarsmaktens årsredovisningar 1996–2001</w:t>
      </w:r>
    </w:p>
    <w:p w:rsidR="001F14AF" w:rsidRPr="009D719B" w:rsidRDefault="001F14AF">
      <w:r w:rsidRPr="009D719B">
        <w:t>Den stora ökningen av personalkostnaderna under år 2000 förklarar Fö</w:t>
      </w:r>
      <w:r w:rsidRPr="009D719B">
        <w:t>r</w:t>
      </w:r>
      <w:r w:rsidRPr="009D719B">
        <w:t>svarsmakten i årsredovisningen med ovanligt höga utlägg för pensionskos</w:t>
      </w:r>
      <w:r w:rsidRPr="009D719B">
        <w:t>t</w:t>
      </w:r>
      <w:r w:rsidRPr="009D719B">
        <w:t>nader och engångsutbetalningar till personal som avgått i fö</w:t>
      </w:r>
      <w:r w:rsidRPr="009D719B">
        <w:t>r</w:t>
      </w:r>
      <w:r w:rsidRPr="009D719B">
        <w:t>tid.</w:t>
      </w:r>
    </w:p>
    <w:p w:rsidR="001F14AF" w:rsidRPr="009D719B" w:rsidRDefault="001F14AF">
      <w:pPr>
        <w:pStyle w:val="Normaltindrag"/>
      </w:pPr>
      <w:r w:rsidRPr="009D719B">
        <w:t>I personalkostnaderna ska även Försvarsmaktens kostnader för avvec</w:t>
      </w:r>
      <w:r w:rsidRPr="009D719B">
        <w:t>k</w:t>
      </w:r>
      <w:r w:rsidRPr="009D719B">
        <w:t>lingen av personal ingå. Under år 2001 var denna kostnad 1 103 miljoner kr för yrkesofficerare och 216 miljoner kr för civil personal. För år 2002 berä</w:t>
      </w:r>
      <w:r w:rsidRPr="009D719B">
        <w:t>k</w:t>
      </w:r>
      <w:r w:rsidRPr="009D719B">
        <w:t>nas avvecklingskostnaden för yrkeso</w:t>
      </w:r>
      <w:r w:rsidRPr="009D719B">
        <w:t>f</w:t>
      </w:r>
      <w:r w:rsidRPr="009D719B">
        <w:t>ficerare uppgå till 1 084 miljoner kr.</w:t>
      </w:r>
      <w:r w:rsidRPr="009D719B">
        <w:rPr>
          <w:rStyle w:val="Fotnotsreferens"/>
        </w:rPr>
        <w:footnoteReference w:id="19"/>
      </w:r>
      <w:r w:rsidRPr="009D719B">
        <w:t xml:space="preserve"> </w:t>
      </w:r>
    </w:p>
    <w:p w:rsidR="001F14AF" w:rsidRPr="009D719B" w:rsidRDefault="001F14AF">
      <w:pPr>
        <w:pStyle w:val="Normaltindrag"/>
      </w:pPr>
      <w:r w:rsidRPr="009D719B">
        <w:t>Enligt Försvarsmakten är det inte säkert att samtliga kostnader till följd av personalavvecklingen finns redovisade i årsredovisningens post persona</w:t>
      </w:r>
      <w:r w:rsidRPr="009D719B">
        <w:t>l</w:t>
      </w:r>
      <w:r w:rsidRPr="009D719B">
        <w:t xml:space="preserve">kostnader. Försvarsmakten har enligt egen utsago haft problem med att få </w:t>
      </w:r>
      <w:r w:rsidRPr="009D719B">
        <w:lastRenderedPageBreak/>
        <w:t>förbanden att redovisa avvecklingskostnaderna konsekvent. Personalkostn</w:t>
      </w:r>
      <w:r w:rsidRPr="009D719B">
        <w:t>a</w:t>
      </w:r>
      <w:r w:rsidRPr="009D719B">
        <w:t>derna exklusive avvecklingskostnaderna (så långt de är kända) har varit i stort sett oförändrade under perioden 1996</w:t>
      </w:r>
      <w:r w:rsidRPr="009D719B">
        <w:softHyphen/>
        <w:t>–2001, medan antalet anställda har minskat.</w:t>
      </w:r>
    </w:p>
    <w:p w:rsidR="001F14AF" w:rsidRPr="009D719B" w:rsidRDefault="001F14AF">
      <w:pPr>
        <w:pStyle w:val="Rubrik3-Utannumrering"/>
      </w:pPr>
      <w:bookmarkStart w:id="86" w:name="_Toc38080802"/>
      <w:r w:rsidRPr="009D719B">
        <w:t>Pensionsutbetalningar</w:t>
      </w:r>
      <w:bookmarkEnd w:id="86"/>
    </w:p>
    <w:p w:rsidR="001F14AF" w:rsidRPr="009D719B" w:rsidRDefault="001F14AF">
      <w:r w:rsidRPr="009D719B">
        <w:t>Pensionsåldern för en yrkesofficer är 60 år. I samband med avvecklingen av personal kan en officer under vissa förhållanden gå i pension från 55 års ålder. För civilanställda har det inom Försvarsmakten funnits en möjlighet att gå i pension från 58 års ålder om den befattning den anställde lämnar inte ska återbesättas.</w:t>
      </w:r>
    </w:p>
    <w:p w:rsidR="001F14AF" w:rsidRPr="009D719B" w:rsidRDefault="001F14AF">
      <w:pPr>
        <w:pStyle w:val="Normaltindrag"/>
      </w:pPr>
      <w:r w:rsidRPr="009D719B">
        <w:t>En så låg pensionsålder påverkar myndighetens kostnader för tjänstepe</w:t>
      </w:r>
      <w:r w:rsidRPr="009D719B">
        <w:t>n</w:t>
      </w:r>
      <w:r w:rsidRPr="009D719B">
        <w:t>sionen. Jämfört med andra myndigheter där pensionsåldern är 65 år avsätter Försvarsmakten stora summor för att fina</w:t>
      </w:r>
      <w:r w:rsidRPr="009D719B">
        <w:t>n</w:t>
      </w:r>
      <w:r w:rsidRPr="009D719B">
        <w:t xml:space="preserve">siera tjänstepensionen. </w:t>
      </w:r>
    </w:p>
    <w:p w:rsidR="001F14AF" w:rsidRPr="009D719B" w:rsidRDefault="001F14AF">
      <w:pPr>
        <w:pStyle w:val="Normaltindrag"/>
      </w:pPr>
      <w:r w:rsidRPr="009D719B">
        <w:t>Pensionen innan den anställde når den lagstadgade pensionsåldern på 65 år finansieras genom avsättningar som Försvarsmakten gör årligen. Detta fina</w:t>
      </w:r>
      <w:r w:rsidRPr="009D719B">
        <w:t>n</w:t>
      </w:r>
      <w:r w:rsidRPr="009D719B">
        <w:t>sieras med engångsbelopp som Försvarsmakten betalar in till Statens pe</w:t>
      </w:r>
      <w:r w:rsidRPr="009D719B">
        <w:t>n</w:t>
      </w:r>
      <w:r w:rsidRPr="009D719B">
        <w:t xml:space="preserve">sionsverk. </w:t>
      </w:r>
    </w:p>
    <w:p w:rsidR="001F14AF" w:rsidRPr="009D719B" w:rsidRDefault="001F14AF">
      <w:pPr>
        <w:pStyle w:val="Normaltindrag"/>
      </w:pPr>
      <w:r w:rsidRPr="009D719B">
        <w:t>Försvarsmaktens pensionsavsättningar framgår av nedanstående tabell.</w:t>
      </w:r>
    </w:p>
    <w:p w:rsidR="001F14AF" w:rsidRPr="009D719B" w:rsidRDefault="001F14AF">
      <w:pPr>
        <w:pStyle w:val="Beskrivning"/>
      </w:pPr>
      <w:r w:rsidRPr="009D719B">
        <w:t xml:space="preserve">Tabell </w:t>
      </w:r>
      <w:r w:rsidRPr="009D719B">
        <w:t>4</w:t>
      </w:r>
      <w:r w:rsidRPr="009D719B">
        <w:t>.</w:t>
      </w:r>
      <w:r w:rsidRPr="009D719B">
        <w:t>1</w:t>
      </w:r>
      <w:r w:rsidRPr="009D719B">
        <w:tab/>
        <w:t>Försvarsmaktens pensionsavsättningar 1999–2001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701"/>
        <w:gridCol w:w="1701"/>
        <w:gridCol w:w="1701"/>
      </w:tblGrid>
      <w:tr w:rsidR="00000000" w:rsidRPr="009D719B">
        <w:tblPrEx>
          <w:tblCellMar>
            <w:top w:w="0" w:type="dxa"/>
            <w:bottom w:w="0" w:type="dxa"/>
          </w:tblCellMar>
        </w:tblPrEx>
        <w:trPr>
          <w:trHeight w:val="240"/>
        </w:trPr>
        <w:tc>
          <w:tcPr>
            <w:tcW w:w="779" w:type="dxa"/>
            <w:tcBorders>
              <w:bottom w:val="single" w:sz="4" w:space="0" w:color="auto"/>
            </w:tcBorders>
            <w:shd w:val="pct15" w:color="auto" w:fill="FFFFFF"/>
            <w:vAlign w:val="center"/>
          </w:tcPr>
          <w:p w:rsidR="001F14AF" w:rsidRPr="009D719B" w:rsidRDefault="001F14AF">
            <w:pPr>
              <w:pStyle w:val="Tabell"/>
              <w:jc w:val="center"/>
            </w:pPr>
            <w:r w:rsidRPr="009D719B">
              <w:t>(kr)</w:t>
            </w:r>
          </w:p>
        </w:tc>
        <w:tc>
          <w:tcPr>
            <w:tcW w:w="1701" w:type="dxa"/>
            <w:shd w:val="pct15" w:color="auto" w:fill="FFFFFF"/>
            <w:vAlign w:val="center"/>
          </w:tcPr>
          <w:p w:rsidR="001F14AF" w:rsidRPr="009D719B" w:rsidRDefault="001F14AF">
            <w:pPr>
              <w:pStyle w:val="Tabell"/>
              <w:jc w:val="center"/>
              <w:rPr>
                <w:b/>
              </w:rPr>
            </w:pPr>
            <w:r w:rsidRPr="009D719B">
              <w:rPr>
                <w:b/>
              </w:rPr>
              <w:t xml:space="preserve">Årlig </w:t>
            </w:r>
            <w:r w:rsidRPr="009D719B">
              <w:rPr>
                <w:b/>
              </w:rPr>
              <w:br/>
              <w:t>pensionskos</w:t>
            </w:r>
            <w:r w:rsidRPr="009D719B">
              <w:rPr>
                <w:b/>
              </w:rPr>
              <w:t>t</w:t>
            </w:r>
            <w:r w:rsidRPr="009D719B">
              <w:rPr>
                <w:b/>
              </w:rPr>
              <w:t>nad</w:t>
            </w:r>
          </w:p>
        </w:tc>
        <w:tc>
          <w:tcPr>
            <w:tcW w:w="1701" w:type="dxa"/>
            <w:tcBorders>
              <w:right w:val="single" w:sz="18" w:space="0" w:color="auto"/>
            </w:tcBorders>
            <w:shd w:val="pct15" w:color="auto" w:fill="FFFFFF"/>
            <w:vAlign w:val="center"/>
          </w:tcPr>
          <w:p w:rsidR="001F14AF" w:rsidRPr="009D719B" w:rsidRDefault="001F14AF">
            <w:pPr>
              <w:pStyle w:val="Tabell"/>
              <w:jc w:val="center"/>
              <w:rPr>
                <w:b/>
              </w:rPr>
            </w:pPr>
            <w:r w:rsidRPr="009D719B">
              <w:rPr>
                <w:b/>
              </w:rPr>
              <w:t>Engångsbelopp</w:t>
            </w:r>
          </w:p>
        </w:tc>
        <w:tc>
          <w:tcPr>
            <w:tcW w:w="1701" w:type="dxa"/>
            <w:tcBorders>
              <w:left w:val="nil"/>
              <w:right w:val="single" w:sz="18" w:space="0" w:color="auto"/>
            </w:tcBorders>
            <w:shd w:val="pct15" w:color="auto" w:fill="FFFFFF"/>
            <w:vAlign w:val="center"/>
          </w:tcPr>
          <w:p w:rsidR="001F14AF" w:rsidRPr="009D719B" w:rsidRDefault="001F14AF">
            <w:pPr>
              <w:pStyle w:val="Tabell"/>
              <w:jc w:val="center"/>
              <w:rPr>
                <w:b/>
              </w:rPr>
            </w:pPr>
            <w:r w:rsidRPr="009D719B">
              <w:rPr>
                <w:b/>
              </w:rPr>
              <w:t xml:space="preserve">Total </w:t>
            </w:r>
            <w:r w:rsidRPr="009D719B">
              <w:rPr>
                <w:b/>
              </w:rPr>
              <w:br/>
              <w:t>pensionskos</w:t>
            </w:r>
            <w:r w:rsidRPr="009D719B">
              <w:rPr>
                <w:b/>
              </w:rPr>
              <w:t>t</w:t>
            </w:r>
            <w:r w:rsidRPr="009D719B">
              <w:rPr>
                <w:b/>
              </w:rPr>
              <w:t>nad</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pPr>
            <w:r w:rsidRPr="009D719B">
              <w:t>1999</w:t>
            </w:r>
          </w:p>
        </w:tc>
        <w:tc>
          <w:tcPr>
            <w:tcW w:w="1701" w:type="dxa"/>
            <w:vAlign w:val="center"/>
          </w:tcPr>
          <w:p w:rsidR="001F14AF" w:rsidRPr="009D719B" w:rsidRDefault="001F14AF">
            <w:pPr>
              <w:pStyle w:val="Tabell"/>
              <w:tabs>
                <w:tab w:val="left" w:pos="355"/>
              </w:tabs>
            </w:pPr>
            <w:r w:rsidRPr="009D719B">
              <w:tab/>
              <w:t>1 120 606 000</w:t>
            </w:r>
          </w:p>
        </w:tc>
        <w:tc>
          <w:tcPr>
            <w:tcW w:w="1701" w:type="dxa"/>
            <w:tcBorders>
              <w:right w:val="single" w:sz="18" w:space="0" w:color="auto"/>
            </w:tcBorders>
            <w:vAlign w:val="center"/>
          </w:tcPr>
          <w:p w:rsidR="001F14AF" w:rsidRPr="009D719B" w:rsidRDefault="001F14AF">
            <w:pPr>
              <w:pStyle w:val="Tabell"/>
              <w:tabs>
                <w:tab w:val="left" w:pos="355"/>
              </w:tabs>
            </w:pPr>
            <w:r w:rsidRPr="009D719B">
              <w:tab/>
              <w:t xml:space="preserve">    8 673 000</w:t>
            </w:r>
          </w:p>
        </w:tc>
        <w:tc>
          <w:tcPr>
            <w:tcW w:w="1701" w:type="dxa"/>
            <w:tcBorders>
              <w:left w:val="nil"/>
              <w:right w:val="single" w:sz="18" w:space="0" w:color="auto"/>
            </w:tcBorders>
            <w:vAlign w:val="center"/>
          </w:tcPr>
          <w:p w:rsidR="001F14AF" w:rsidRPr="009D719B" w:rsidRDefault="001F14AF">
            <w:pPr>
              <w:pStyle w:val="Tabell"/>
              <w:tabs>
                <w:tab w:val="left" w:pos="355"/>
              </w:tabs>
            </w:pPr>
            <w:r w:rsidRPr="009D719B">
              <w:tab/>
              <w:t>1 129 279 000</w:t>
            </w:r>
          </w:p>
        </w:tc>
      </w:tr>
      <w:tr w:rsidR="00000000" w:rsidRPr="009D719B">
        <w:tblPrEx>
          <w:tblCellMar>
            <w:top w:w="0" w:type="dxa"/>
            <w:bottom w:w="0" w:type="dxa"/>
          </w:tblCellMar>
        </w:tblPrEx>
        <w:trPr>
          <w:trHeight w:val="240"/>
        </w:trPr>
        <w:tc>
          <w:tcPr>
            <w:tcW w:w="779" w:type="dxa"/>
            <w:tcBorders>
              <w:bottom w:val="single" w:sz="4" w:space="0" w:color="auto"/>
            </w:tcBorders>
            <w:shd w:val="pct15" w:color="auto" w:fill="FFFFFF"/>
            <w:vAlign w:val="center"/>
          </w:tcPr>
          <w:p w:rsidR="001F14AF" w:rsidRPr="009D719B" w:rsidRDefault="001F14AF">
            <w:pPr>
              <w:pStyle w:val="Tabell"/>
              <w:jc w:val="center"/>
            </w:pPr>
            <w:r w:rsidRPr="009D719B">
              <w:t>2000</w:t>
            </w:r>
          </w:p>
        </w:tc>
        <w:tc>
          <w:tcPr>
            <w:tcW w:w="1701" w:type="dxa"/>
            <w:tcBorders>
              <w:bottom w:val="single" w:sz="4" w:space="0" w:color="auto"/>
            </w:tcBorders>
            <w:vAlign w:val="center"/>
          </w:tcPr>
          <w:p w:rsidR="001F14AF" w:rsidRPr="009D719B" w:rsidRDefault="001F14AF">
            <w:pPr>
              <w:pStyle w:val="Tabell"/>
              <w:tabs>
                <w:tab w:val="left" w:pos="355"/>
              </w:tabs>
            </w:pPr>
            <w:r w:rsidRPr="009D719B">
              <w:tab/>
              <w:t>1 717 891 000</w:t>
            </w:r>
          </w:p>
        </w:tc>
        <w:tc>
          <w:tcPr>
            <w:tcW w:w="1701" w:type="dxa"/>
            <w:tcBorders>
              <w:bottom w:val="single" w:sz="4" w:space="0" w:color="auto"/>
              <w:right w:val="single" w:sz="18" w:space="0" w:color="auto"/>
            </w:tcBorders>
            <w:vAlign w:val="center"/>
          </w:tcPr>
          <w:p w:rsidR="001F14AF" w:rsidRPr="009D719B" w:rsidRDefault="001F14AF">
            <w:pPr>
              <w:pStyle w:val="Tabell"/>
              <w:tabs>
                <w:tab w:val="left" w:pos="355"/>
              </w:tabs>
            </w:pPr>
            <w:r w:rsidRPr="009D719B">
              <w:tab/>
              <w:t>217 739 000</w:t>
            </w:r>
          </w:p>
        </w:tc>
        <w:tc>
          <w:tcPr>
            <w:tcW w:w="1701" w:type="dxa"/>
            <w:tcBorders>
              <w:left w:val="nil"/>
              <w:bottom w:val="single" w:sz="4" w:space="0" w:color="auto"/>
              <w:right w:val="single" w:sz="18" w:space="0" w:color="auto"/>
            </w:tcBorders>
            <w:vAlign w:val="center"/>
          </w:tcPr>
          <w:p w:rsidR="001F14AF" w:rsidRPr="009D719B" w:rsidRDefault="001F14AF">
            <w:pPr>
              <w:pStyle w:val="Tabell"/>
              <w:tabs>
                <w:tab w:val="left" w:pos="355"/>
              </w:tabs>
            </w:pPr>
            <w:r w:rsidRPr="009D719B">
              <w:tab/>
              <w:t>1 935 630 000</w:t>
            </w:r>
          </w:p>
        </w:tc>
      </w:tr>
      <w:tr w:rsidR="00000000" w:rsidRPr="009D719B">
        <w:tblPrEx>
          <w:tblCellMar>
            <w:top w:w="0" w:type="dxa"/>
            <w:bottom w:w="0" w:type="dxa"/>
          </w:tblCellMar>
        </w:tblPrEx>
        <w:trPr>
          <w:trHeight w:val="240"/>
        </w:trPr>
        <w:tc>
          <w:tcPr>
            <w:tcW w:w="779" w:type="dxa"/>
            <w:tcBorders>
              <w:bottom w:val="single" w:sz="18" w:space="0" w:color="auto"/>
            </w:tcBorders>
            <w:shd w:val="pct15" w:color="auto" w:fill="FFFFFF"/>
            <w:vAlign w:val="center"/>
          </w:tcPr>
          <w:p w:rsidR="001F14AF" w:rsidRPr="009D719B" w:rsidRDefault="001F14AF">
            <w:pPr>
              <w:pStyle w:val="Tabell"/>
              <w:jc w:val="center"/>
            </w:pPr>
            <w:r w:rsidRPr="009D719B">
              <w:t>2001</w:t>
            </w:r>
          </w:p>
        </w:tc>
        <w:tc>
          <w:tcPr>
            <w:tcW w:w="1701" w:type="dxa"/>
            <w:tcBorders>
              <w:bottom w:val="single" w:sz="18" w:space="0" w:color="auto"/>
            </w:tcBorders>
            <w:vAlign w:val="center"/>
          </w:tcPr>
          <w:p w:rsidR="001F14AF" w:rsidRPr="009D719B" w:rsidRDefault="001F14AF">
            <w:pPr>
              <w:pStyle w:val="Tabell"/>
              <w:tabs>
                <w:tab w:val="left" w:pos="355"/>
              </w:tabs>
            </w:pPr>
            <w:r w:rsidRPr="009D719B">
              <w:tab/>
              <w:t xml:space="preserve">   812 843 000</w:t>
            </w:r>
          </w:p>
        </w:tc>
        <w:tc>
          <w:tcPr>
            <w:tcW w:w="1701" w:type="dxa"/>
            <w:tcBorders>
              <w:bottom w:val="single" w:sz="18" w:space="0" w:color="auto"/>
              <w:right w:val="single" w:sz="18" w:space="0" w:color="auto"/>
            </w:tcBorders>
            <w:vAlign w:val="center"/>
          </w:tcPr>
          <w:p w:rsidR="001F14AF" w:rsidRPr="009D719B" w:rsidRDefault="001F14AF">
            <w:pPr>
              <w:pStyle w:val="Tabell"/>
              <w:tabs>
                <w:tab w:val="left" w:pos="355"/>
              </w:tabs>
            </w:pPr>
            <w:r w:rsidRPr="009D719B">
              <w:tab/>
              <w:t>152 934 000</w:t>
            </w:r>
          </w:p>
        </w:tc>
        <w:tc>
          <w:tcPr>
            <w:tcW w:w="1701" w:type="dxa"/>
            <w:tcBorders>
              <w:left w:val="nil"/>
              <w:bottom w:val="single" w:sz="18" w:space="0" w:color="auto"/>
              <w:right w:val="single" w:sz="18" w:space="0" w:color="auto"/>
            </w:tcBorders>
            <w:vAlign w:val="center"/>
          </w:tcPr>
          <w:p w:rsidR="001F14AF" w:rsidRPr="009D719B" w:rsidRDefault="001F14AF">
            <w:pPr>
              <w:pStyle w:val="Tabell"/>
              <w:tabs>
                <w:tab w:val="left" w:pos="355"/>
              </w:tabs>
            </w:pPr>
            <w:r w:rsidRPr="009D719B">
              <w:tab/>
              <w:t xml:space="preserve">   965 777 000</w:t>
            </w:r>
          </w:p>
        </w:tc>
      </w:tr>
    </w:tbl>
    <w:p w:rsidR="001F14AF" w:rsidRPr="009D719B" w:rsidRDefault="001F14AF">
      <w:pPr>
        <w:pStyle w:val="Tabell"/>
      </w:pPr>
      <w:r w:rsidRPr="009D719B">
        <w:t>Källa: Försvarsmaktens årsredovisningar 2000 och 2001</w:t>
      </w:r>
    </w:p>
    <w:p w:rsidR="001F14AF" w:rsidRPr="009D719B" w:rsidRDefault="001F14AF">
      <w:r w:rsidRPr="009D719B">
        <w:t>År 2001 utgjorde Försvarsmaktens kostnader för pensionsutbetalningar drygt 8 % av myndighetens totala personalkostnader. Detta är en i sammanhanget mycket hög siffra. Andra stora myndigheter  som Polisen, Riksskatteverket och Arbetsmarknadsverket har en årlig pensionskostnad på omkring 1,5 % av de totala personalkos</w:t>
      </w:r>
      <w:r w:rsidRPr="009D719B">
        <w:t>t</w:t>
      </w:r>
      <w:r w:rsidRPr="009D719B">
        <w:t>naderna.</w:t>
      </w:r>
      <w:r w:rsidRPr="009D719B">
        <w:rPr>
          <w:rStyle w:val="Fotnotsreferens"/>
        </w:rPr>
        <w:footnoteReference w:id="20"/>
      </w:r>
      <w:r w:rsidRPr="009D719B">
        <w:t xml:space="preserve">  </w:t>
      </w:r>
    </w:p>
    <w:p w:rsidR="001F14AF" w:rsidRPr="009D719B" w:rsidRDefault="001F14AF">
      <w:pPr>
        <w:pStyle w:val="Rubrik2"/>
      </w:pPr>
      <w:bookmarkStart w:id="87" w:name="_Toc32301651"/>
      <w:bookmarkStart w:id="88" w:name="_Toc38080803"/>
      <w:bookmarkStart w:id="89" w:name="_Toc38103353"/>
      <w:r w:rsidRPr="009D719B">
        <w:t>Löneutvecklingen</w:t>
      </w:r>
      <w:bookmarkEnd w:id="87"/>
      <w:bookmarkEnd w:id="88"/>
      <w:bookmarkEnd w:id="89"/>
    </w:p>
    <w:p w:rsidR="001F14AF" w:rsidRPr="009D719B" w:rsidRDefault="001F14AF">
      <w:r w:rsidRPr="009D719B">
        <w:t>Den anställdes lön består av en grundlön som kan kompletteras med olika fasta och rörliga tillägg. De fasta tilläggen är av en mer permanent natur och kopplas t.ex. till en viss befattning. Vid beräkning av lönestatistik brukar man behandla grundlön och fasta tillägg som en enhet. De rörliga tilläggen betalas ut beroende på speciella uppgifter som den anställde utför och som bedömts ligga till grund för särskild ersättning. Det kan ha att göra med arbete under ob</w:t>
      </w:r>
      <w:r w:rsidRPr="009D719B">
        <w:t>e</w:t>
      </w:r>
      <w:r w:rsidRPr="009D719B">
        <w:t>kväma förhållanden eller utanför normal arbetstid.</w:t>
      </w:r>
    </w:p>
    <w:p w:rsidR="001F14AF" w:rsidRPr="009D719B" w:rsidRDefault="001F14AF">
      <w:pPr>
        <w:pStyle w:val="Normaltindrag"/>
      </w:pPr>
      <w:r w:rsidRPr="009D719B">
        <w:t>Lönestatistik för Försvarsmakten och statsanställda har tagits fram av St</w:t>
      </w:r>
      <w:r w:rsidRPr="009D719B">
        <w:t>a</w:t>
      </w:r>
      <w:r w:rsidRPr="009D719B">
        <w:t xml:space="preserve">tistiska centralbyrån på uppdrag av Riksdagens revisorer. Statistiken bygger </w:t>
      </w:r>
      <w:r w:rsidRPr="009D719B">
        <w:lastRenderedPageBreak/>
        <w:t>på genomsnittlig månadslön (vid behov uppräknad till heltidslön). I begre</w:t>
      </w:r>
      <w:r w:rsidRPr="009D719B">
        <w:t>p</w:t>
      </w:r>
      <w:r w:rsidRPr="009D719B">
        <w:t>pet månadslön har både fasta och rörliga lönetillägg räknats in. Lönestatist</w:t>
      </w:r>
      <w:r w:rsidRPr="009D719B">
        <w:t>i</w:t>
      </w:r>
      <w:r w:rsidRPr="009D719B">
        <w:t>ken omfattar alltså inte pensionskostnader eller sociala avgifter. Den statistik som presenteras ger således en samlad bild av hur mycket den anställde i genomsnitt får ut i ersättning för sin a</w:t>
      </w:r>
      <w:r w:rsidRPr="009D719B">
        <w:t>r</w:t>
      </w:r>
      <w:r w:rsidRPr="009D719B">
        <w:t xml:space="preserve">betsinsats. </w:t>
      </w:r>
    </w:p>
    <w:p w:rsidR="001F14AF" w:rsidRPr="009D719B" w:rsidRDefault="001F14AF">
      <w:pPr>
        <w:pStyle w:val="Rubrik3-Utannumrering"/>
      </w:pPr>
      <w:bookmarkStart w:id="90" w:name="_Toc38080804"/>
      <w:r w:rsidRPr="009D719B">
        <w:t>Identiska individer eller kollektivet?</w:t>
      </w:r>
      <w:bookmarkEnd w:id="90"/>
    </w:p>
    <w:p w:rsidR="001F14AF" w:rsidRPr="009D719B" w:rsidRDefault="001F14AF">
      <w:r w:rsidRPr="009D719B">
        <w:t>I samband med tidigare studier av lönestatistik inom Försvarsmakten har oenighet rått kring vilken metod som borde användas. Officersförbundet har framfört att lönestatistik beräknad för identiska individer ger en missvisande bild av lönebildningen inom my</w:t>
      </w:r>
      <w:r w:rsidRPr="009D719B">
        <w:t>n</w:t>
      </w:r>
      <w:r w:rsidRPr="009D719B">
        <w:t>digheten.</w:t>
      </w:r>
      <w:r w:rsidRPr="009D719B">
        <w:rPr>
          <w:rStyle w:val="Fotnotsreferens"/>
        </w:rPr>
        <w:footnoteReference w:id="21"/>
      </w:r>
      <w:r w:rsidRPr="009D719B">
        <w:t xml:space="preserve"> </w:t>
      </w:r>
    </w:p>
    <w:p w:rsidR="001F14AF" w:rsidRPr="009D719B" w:rsidRDefault="001F14AF">
      <w:pPr>
        <w:pStyle w:val="Normaltindrag"/>
      </w:pPr>
      <w:r w:rsidRPr="009D719B">
        <w:t>Beräkning av lönestatistik för identiska individer innebär att endast lönen för de individer som finns med genom hela den valda tidsserien ingår i b</w:t>
      </w:r>
      <w:r w:rsidRPr="009D719B">
        <w:t>e</w:t>
      </w:r>
      <w:r w:rsidRPr="009D719B">
        <w:t>räkningen av genomsnittslönen. Av denna anledning kan man förvänta sig att beräkningen kommer att baseras på färre individer ju längre tidsintervall som väljs. Alternativet är att beräkna den genomsnittliga lönen för samtliga ind</w:t>
      </w:r>
      <w:r w:rsidRPr="009D719B">
        <w:t>i</w:t>
      </w:r>
      <w:r w:rsidRPr="009D719B">
        <w:t xml:space="preserve">vider – kollektivet – inom organisationen vid respektive tillfälle. </w:t>
      </w:r>
    </w:p>
    <w:p w:rsidR="001F14AF" w:rsidRPr="009D719B" w:rsidRDefault="001F14AF">
      <w:pPr>
        <w:pStyle w:val="Normaltindrag"/>
      </w:pPr>
      <w:r w:rsidRPr="009D719B">
        <w:t>Genom att använda metoden identiska individer vid beräkning av lönest</w:t>
      </w:r>
      <w:r w:rsidRPr="009D719B">
        <w:t>a</w:t>
      </w:r>
      <w:r w:rsidRPr="009D719B">
        <w:t>tistiken kommer t.ex. förändringar i personalens sammansättning inte att påverka lönestatistiken. Metoden för beräkning av identiska individer ger däremot större genomslag för löneökningar till följd av t.ex. befattningsb</w:t>
      </w:r>
      <w:r w:rsidRPr="009D719B">
        <w:t>y</w:t>
      </w:r>
      <w:r w:rsidRPr="009D719B">
        <w:t>ten. Genom att identiska individer följs under en viss tid kommer deras klät</w:t>
      </w:r>
      <w:r w:rsidRPr="009D719B">
        <w:t>t</w:t>
      </w:r>
      <w:r w:rsidRPr="009D719B">
        <w:t>rande i karriären, med tillhörande löneökning, att få ett relativt större geno</w:t>
      </w:r>
      <w:r w:rsidRPr="009D719B">
        <w:t>m</w:t>
      </w:r>
      <w:r w:rsidRPr="009D719B">
        <w:t>slag på lönestatistiken än om statistiken beräknats för kollektivet vid respe</w:t>
      </w:r>
      <w:r w:rsidRPr="009D719B">
        <w:t>k</w:t>
      </w:r>
      <w:r w:rsidRPr="009D719B">
        <w:t>tive mättillfälle.</w:t>
      </w:r>
    </w:p>
    <w:p w:rsidR="001F14AF" w:rsidRPr="009D719B" w:rsidRDefault="001F14AF">
      <w:pPr>
        <w:pStyle w:val="Normaltindrag"/>
      </w:pPr>
      <w:r w:rsidRPr="009D719B">
        <w:t>Högre chefer inom Försvarsmakten mås</w:t>
      </w:r>
      <w:r w:rsidRPr="009D719B">
        <w:t>te i stor utsträckning utbildas inom myndigheten och kan oftast inte rekryteras externt. Officersförbundet hävd</w:t>
      </w:r>
      <w:r w:rsidRPr="009D719B">
        <w:t>a</w:t>
      </w:r>
      <w:r w:rsidRPr="009D719B">
        <w:t>de att genomslaget för denna sortens löneökningar leder till att en beräkning enligt identiska individer ger en överdriven bild av löneökningarna inom Försvarsma</w:t>
      </w:r>
      <w:r w:rsidRPr="009D719B">
        <w:t>k</w:t>
      </w:r>
      <w:r w:rsidRPr="009D719B">
        <w:t>ten.</w:t>
      </w:r>
    </w:p>
    <w:p w:rsidR="001F14AF" w:rsidRPr="009D719B" w:rsidRDefault="001F14AF">
      <w:pPr>
        <w:pStyle w:val="Normaltindrag"/>
      </w:pPr>
      <w:r w:rsidRPr="009D719B">
        <w:t>I lönestatistiken för Försvarsmakten kan man dock se att skillnaden mellan att beräkna lönenivåerna för kollektivet och för identiska individer är relativt liten. Skillnaden mellan de olika beräkningssätten ökar, som väntat, något ju</w:t>
      </w:r>
      <w:r w:rsidRPr="009D719B">
        <w:t xml:space="preserve"> längre tidsperiod som väljs. Detta visas i figuren nedan.</w:t>
      </w:r>
    </w:p>
    <w:p w:rsidR="001F14AF" w:rsidRPr="009D719B" w:rsidRDefault="001F14AF">
      <w:pPr>
        <w:pStyle w:val="Beskrivning"/>
      </w:pPr>
      <w:r w:rsidRPr="009D719B">
        <w:br w:type="page"/>
      </w:r>
      <w:r w:rsidRPr="009D719B">
        <w:lastRenderedPageBreak/>
        <w:object w:dxaOrig="840" w:dyaOrig="1545">
          <v:shape id="_x0000_s1079" type="#_x0000_t75" style="position:absolute;left:0;text-align:left;margin-left:-3.75pt;margin-top:40pt;width:292.5pt;height:197.25pt;z-index:251661312;mso-position-horizontal:absolute;mso-position-horizontal-relative:text;mso-position-vertical:absolute;mso-position-vertical-relative:text" o:allowincell="f">
            <v:imagedata r:id="rId20" o:title=""/>
            <w10:wrap type="topAndBottom"/>
          </v:shape>
          <o:OLEObject Type="Embed" ProgID="Excel.Sheet.8" ShapeID="_x0000_s1079" DrawAspect="Content" ObjectID="_1827361179" r:id="rId21"/>
        </w:object>
      </w:r>
      <w:r w:rsidRPr="009D719B">
        <w:t xml:space="preserve">Figur </w:t>
      </w:r>
      <w:r w:rsidRPr="009D719B">
        <w:t>4</w:t>
      </w:r>
      <w:r w:rsidRPr="009D719B">
        <w:t>.</w:t>
      </w:r>
      <w:r w:rsidRPr="009D719B">
        <w:t>2</w:t>
      </w:r>
      <w:r w:rsidRPr="009D719B">
        <w:tab/>
        <w:t>Genomsnittliga lönenivåer vid kollektiv beräkning av lönenivåer och beräkning för identiska individer</w:t>
      </w:r>
    </w:p>
    <w:p w:rsidR="001F14AF" w:rsidRPr="009D719B" w:rsidRDefault="001F14AF">
      <w:pPr>
        <w:pStyle w:val="Tabell"/>
      </w:pPr>
      <w:r w:rsidRPr="009D719B">
        <w:t>Källa: SCB</w:t>
      </w:r>
    </w:p>
    <w:p w:rsidR="001F14AF" w:rsidRPr="009D719B" w:rsidRDefault="001F14AF">
      <w:r w:rsidRPr="009D719B">
        <w:t>Denna bild av löneutvecklingen för identiska individer och kollektivet mo</w:t>
      </w:r>
      <w:r w:rsidRPr="009D719B">
        <w:t>t</w:t>
      </w:r>
      <w:r w:rsidRPr="009D719B">
        <w:t>säger delvis påståendet att befattningsbyten skulle spela en stor roll för lön</w:t>
      </w:r>
      <w:r w:rsidRPr="009D719B">
        <w:t>e</w:t>
      </w:r>
      <w:r w:rsidRPr="009D719B">
        <w:t>utvecklingen inom Försvarsmakten. Intervjuer med företrädare för Fö</w:t>
      </w:r>
      <w:r w:rsidRPr="009D719B">
        <w:t>r</w:t>
      </w:r>
      <w:r w:rsidRPr="009D719B">
        <w:t>svarsmakten visar på att befattningsbyten är vanligt förekommande för y</w:t>
      </w:r>
      <w:r w:rsidRPr="009D719B">
        <w:t>r</w:t>
      </w:r>
      <w:r w:rsidRPr="009D719B">
        <w:t>kesofficerare och att lönen därvid ändras. En slutsats man kan dra av di</w:t>
      </w:r>
      <w:r w:rsidRPr="009D719B">
        <w:t>a</w:t>
      </w:r>
      <w:r w:rsidRPr="009D719B">
        <w:t>grammet ovan är då att löneökningar vid befattningsbyten tenderar att höja lönenivån även för kollektivet. Denna slutsats får också stöd av de intervjuer som gjorts för denna granskning. Det finns således inom Försvarsm</w:t>
      </w:r>
      <w:r w:rsidRPr="009D719B">
        <w:t xml:space="preserve">akten en tendens att behandla yrkesofficerare med t.ex. en viss grad som en enhetlig grupp. Om en medlem i gruppen höjer sin lön så resulterar det i att lönen för gruppen som helhet höjs motsvarande.  </w:t>
      </w:r>
    </w:p>
    <w:p w:rsidR="001F14AF" w:rsidRPr="009D719B" w:rsidRDefault="001F14AF">
      <w:pPr>
        <w:pStyle w:val="Normaltindrag"/>
      </w:pPr>
      <w:r w:rsidRPr="009D719B">
        <w:t>Skillnaden mellan de olika beräkningssätten är för Försvarsmakten relativt liten. Vad som i sammanhanget är viktigare är att tendensen i löneutvec</w:t>
      </w:r>
      <w:r w:rsidRPr="009D719B">
        <w:t>k</w:t>
      </w:r>
      <w:r w:rsidRPr="009D719B">
        <w:t xml:space="preserve">lingen inte skiljer sig mellan de olika beräkningssätten. I denna granskning har därför den kollektiva beräkningen genomgående använts i redovisningen av resultaten, eftersom detta tillåter en jämförelse över en längre tidsperiod. </w:t>
      </w:r>
    </w:p>
    <w:p w:rsidR="001F14AF" w:rsidRPr="009D719B" w:rsidRDefault="001F14AF">
      <w:pPr>
        <w:pStyle w:val="Rubrik3-Utannumrering"/>
      </w:pPr>
      <w:bookmarkStart w:id="91" w:name="_Toc38080805"/>
      <w:r w:rsidRPr="009D719B">
        <w:t>Lönenivåer</w:t>
      </w:r>
      <w:bookmarkEnd w:id="91"/>
    </w:p>
    <w:p w:rsidR="001F14AF" w:rsidRPr="009D719B" w:rsidRDefault="001F14AF">
      <w:r w:rsidRPr="009D719B">
        <w:t>Yrkesofficerare inom Försvarsmakten har i genomsnitt en högre lön än sta</w:t>
      </w:r>
      <w:r w:rsidRPr="009D719B">
        <w:t>t</w:t>
      </w:r>
      <w:r w:rsidRPr="009D719B">
        <w:t>ligt anställda i övrigt. I Statskontorets redovisning av utvecklingen inom olika statliga sektorer</w:t>
      </w:r>
      <w:r w:rsidRPr="009D719B">
        <w:rPr>
          <w:rStyle w:val="Fotnotsreferens"/>
        </w:rPr>
        <w:footnoteReference w:id="22"/>
      </w:r>
      <w:r w:rsidRPr="009D719B">
        <w:t xml:space="preserve"> konstateras att försvaret år 2000 hade de högsta l</w:t>
      </w:r>
      <w:r w:rsidRPr="009D719B">
        <w:t>ö</w:t>
      </w:r>
      <w:r w:rsidRPr="009D719B">
        <w:t xml:space="preserve">nerna på i genomsnitt 23 000 kr i månaden (exklusive lönetillägg) inom hela </w:t>
      </w:r>
      <w:r w:rsidRPr="009D719B">
        <w:lastRenderedPageBreak/>
        <w:t xml:space="preserve">statsförvaltningen (Statskontoret 2001:15, </w:t>
      </w:r>
      <w:r w:rsidRPr="009D719B">
        <w:rPr>
          <w:i/>
        </w:rPr>
        <w:t>Staten i omvandling 2001</w:t>
      </w:r>
      <w:r w:rsidRPr="009D719B">
        <w:t>). G</w:t>
      </w:r>
      <w:r w:rsidRPr="009D719B">
        <w:t>e</w:t>
      </w:r>
      <w:r w:rsidRPr="009D719B">
        <w:t>nomsnittet för statsförvaltningen i helhet låg enligt Statskontoret på 21 900 kr.</w:t>
      </w:r>
    </w:p>
    <w:p w:rsidR="001F14AF" w:rsidRPr="009D719B" w:rsidRDefault="001F14AF">
      <w:pPr>
        <w:pStyle w:val="Normaltindrag"/>
      </w:pPr>
      <w:r w:rsidRPr="009D719B">
        <w:t>Samtidigt har civilanställda inom Försvarsmakten i genomsnitt en lönenivå som är lägre än både yrkesofficerare och statsanställda totalt. Denna skillnad har sin förklaring i att de civila yrkeskategorierna inom Försvarsmakten till</w:t>
      </w:r>
      <w:r w:rsidRPr="009D719B">
        <w:t xml:space="preserve"> stor del står att finna inom de relativt lågavlönade stödtjänsterna. Löneu</w:t>
      </w:r>
      <w:r w:rsidRPr="009D719B">
        <w:t>t</w:t>
      </w:r>
      <w:r w:rsidRPr="009D719B">
        <w:t>vecklingen för Försvarsmaktens yrkesofficerare och civilanställda, jämfört med statsanställda i stort, visas i fig</w:t>
      </w:r>
      <w:r w:rsidRPr="009D719B">
        <w:t>u</w:t>
      </w:r>
      <w:r w:rsidRPr="009D719B">
        <w:t>ren nedan.</w:t>
      </w:r>
    </w:p>
    <w:p w:rsidR="001F14AF" w:rsidRPr="009D719B" w:rsidRDefault="001F14AF">
      <w:pPr>
        <w:pStyle w:val="Beskrivning"/>
      </w:pPr>
      <w:r w:rsidRPr="009D719B">
        <w:object w:dxaOrig="840" w:dyaOrig="1545">
          <v:shape id="_x0000_s1031" type="#_x0000_t75" style="position:absolute;left:0;text-align:left;margin-left:2.25pt;margin-top:44.4pt;width:292.5pt;height:171.75pt;z-index:251654144;mso-position-horizontal:absolute;mso-position-horizontal-relative:text;mso-position-vertical:absolute;mso-position-vertical-relative:text" o:allowincell="f">
            <v:imagedata r:id="rId22" o:title=""/>
            <w10:wrap type="topAndBottom"/>
          </v:shape>
          <o:OLEObject Type="Embed" ProgID="Excel.Sheet.8" ShapeID="_x0000_s1031" DrawAspect="Content" ObjectID="_1827361180" r:id="rId23"/>
        </w:object>
      </w:r>
      <w:r w:rsidRPr="009D719B">
        <w:t xml:space="preserve">Figur </w:t>
      </w:r>
      <w:r w:rsidRPr="009D719B">
        <w:t>4</w:t>
      </w:r>
      <w:r w:rsidRPr="009D719B">
        <w:t>.</w:t>
      </w:r>
      <w:r w:rsidRPr="009D719B">
        <w:t>3</w:t>
      </w:r>
      <w:r w:rsidRPr="009D719B">
        <w:tab/>
        <w:t>Lönenivåer för Försvarsmakten och statsanställda totalt 1993–2001</w:t>
      </w:r>
    </w:p>
    <w:p w:rsidR="001F14AF" w:rsidRPr="009D719B" w:rsidRDefault="001F14AF">
      <w:pPr>
        <w:pStyle w:val="Tabell"/>
      </w:pPr>
      <w:r w:rsidRPr="009D719B">
        <w:t>Källa: SCB</w:t>
      </w:r>
    </w:p>
    <w:p w:rsidR="001F14AF" w:rsidRPr="009D719B" w:rsidRDefault="001F14AF">
      <w:r w:rsidRPr="009D719B">
        <w:t>Av lönestatistiken kan man se att löneökningarna för personal inom Fö</w:t>
      </w:r>
      <w:r w:rsidRPr="009D719B">
        <w:t>r</w:t>
      </w:r>
      <w:r w:rsidRPr="009D719B">
        <w:t xml:space="preserve">svarsmakten i stort hållit jämna steg med ökningstakten för statligt anställda, med två slående undantag. </w:t>
      </w:r>
    </w:p>
    <w:p w:rsidR="001F14AF" w:rsidRPr="009D719B" w:rsidRDefault="001F14AF">
      <w:pPr>
        <w:pStyle w:val="Normaltindrag"/>
      </w:pPr>
      <w:r w:rsidRPr="009D719B">
        <w:t xml:space="preserve">År 1998 fick yrkesofficerare i genomsnitt en lönesänkning med 0,12 % medan lönerna för civilanställda inom Försvarsmakten och för statsanställda totalt ökade med drygt 1 %. </w:t>
      </w:r>
    </w:p>
    <w:p w:rsidR="001F14AF" w:rsidRPr="009D719B" w:rsidRDefault="001F14AF">
      <w:pPr>
        <w:pStyle w:val="Normaltindrag"/>
      </w:pPr>
      <w:r w:rsidRPr="009D719B">
        <w:t>År 2000 ökade lönerna för yrkesofficerare med 8,6 % och för civilanstäl</w:t>
      </w:r>
      <w:r w:rsidRPr="009D719B">
        <w:t>l</w:t>
      </w:r>
      <w:r w:rsidRPr="009D719B">
        <w:t>da inom Försvarsmakten med 7,3 %. Motsvarande ökning för hela gruppen statsanställda var endast 4,7 %. Under år 2000 fick anställda inom Försvar</w:t>
      </w:r>
      <w:r w:rsidRPr="009D719B">
        <w:t>s</w:t>
      </w:r>
      <w:r w:rsidRPr="009D719B">
        <w:t>makten i genomsnitt en nästan dubbelt så stor löneökning som statsanställda i genomsnitt. Denna löneökning kom dessutom i ett läge där Försvarsmaktens ekonomi al</w:t>
      </w:r>
      <w:r w:rsidRPr="009D719B">
        <w:t>l</w:t>
      </w:r>
      <w:r w:rsidRPr="009D719B">
        <w:t>mänt sett var mycket ansträngd.</w:t>
      </w:r>
    </w:p>
    <w:p w:rsidR="001F14AF" w:rsidRPr="009D719B" w:rsidRDefault="001F14AF">
      <w:pPr>
        <w:pStyle w:val="Rubrik3-Utannumrering"/>
      </w:pPr>
      <w:bookmarkStart w:id="92" w:name="_Toc38080806"/>
      <w:r w:rsidRPr="009D719B">
        <w:t>Försvarsgrenarna</w:t>
      </w:r>
      <w:bookmarkEnd w:id="92"/>
    </w:p>
    <w:p w:rsidR="001F14AF" w:rsidRPr="009D719B" w:rsidRDefault="001F14AF">
      <w:r w:rsidRPr="009D719B">
        <w:t>När man ser till löneutvecklingen för yrkesofficerare inom de olika grenarna inom Försvarsmakten (armén, flygvapnet och marinen) går det att urskilja tydliga skillnader mellan de olika vape</w:t>
      </w:r>
      <w:r w:rsidRPr="009D719B">
        <w:t>n</w:t>
      </w:r>
      <w:r w:rsidRPr="009D719B">
        <w:t>slagen. Detta visas i figuren nedan.</w:t>
      </w:r>
    </w:p>
    <w:p w:rsidR="001F14AF" w:rsidRPr="009D719B" w:rsidRDefault="001F14AF">
      <w:pPr>
        <w:pStyle w:val="Beskrivning"/>
      </w:pPr>
      <w:r w:rsidRPr="009D719B">
        <w:br w:type="page"/>
      </w:r>
      <w:r w:rsidRPr="009D719B">
        <w:lastRenderedPageBreak/>
        <w:t xml:space="preserve">Figur </w:t>
      </w:r>
      <w:r w:rsidRPr="009D719B">
        <w:t>4</w:t>
      </w:r>
      <w:r w:rsidRPr="009D719B">
        <w:t>.</w:t>
      </w:r>
      <w:r w:rsidRPr="009D719B">
        <w:t>4</w:t>
      </w:r>
      <w:r w:rsidRPr="009D719B">
        <w:tab/>
        <w:t>Löneutvecklingen för yrkesofficerare inom de ol</w:t>
      </w:r>
      <w:r w:rsidRPr="009D719B">
        <w:t>i</w:t>
      </w:r>
      <w:r w:rsidRPr="009D719B">
        <w:t>ka försvarsgrenarna, 1993–2001</w:t>
      </w:r>
    </w:p>
    <w:p w:rsidR="001F14AF" w:rsidRPr="009D719B" w:rsidRDefault="001F14AF">
      <w:pPr>
        <w:pStyle w:val="Tabell"/>
      </w:pPr>
      <w:r w:rsidRPr="009D719B">
        <w:object w:dxaOrig="840" w:dyaOrig="1545">
          <v:shape id="_x0000_s1030" type="#_x0000_t75" style="position:absolute;left:0;text-align:left;margin-left:0;margin-top:2.5pt;width:278.25pt;height:190.5pt;z-index:251653120;mso-position-horizontal:absolute;mso-position-horizontal-relative:text;mso-position-vertical:absolute;mso-position-vertical-relative:text" o:allowincell="f">
            <v:imagedata r:id="rId24" o:title=""/>
            <w10:wrap type="topAndBottom"/>
          </v:shape>
          <o:OLEObject Type="Embed" ProgID="Excel.Sheet.8" ShapeID="_x0000_s1030" DrawAspect="Content" ObjectID="_1827361181" r:id="rId25"/>
        </w:object>
      </w:r>
      <w:r w:rsidRPr="009D719B">
        <w:t>Källa: SCB</w:t>
      </w:r>
    </w:p>
    <w:p w:rsidR="001F14AF" w:rsidRPr="009D719B" w:rsidRDefault="001F14AF">
      <w:r w:rsidRPr="009D719B">
        <w:t>I figuren ovan ser vi att marinen och flygvapnet, jämfört med armén, har en betydligt mer ojämn utveckling av lönerna för yrkesofficerare. Skillnaden i löneutveckling kan delvis förklaras med de särdrag som skiljer de olika försvarsgrenarna åt (jfr kapitel 2 ovan). Armén är den, sett till antalet anstäl</w:t>
      </w:r>
      <w:r w:rsidRPr="009D719B">
        <w:t>l</w:t>
      </w:r>
      <w:r w:rsidRPr="009D719B">
        <w:t>da, största försvarsgrenen. Statistiskt blir löneutvecklingen jämnare för a</w:t>
      </w:r>
      <w:r w:rsidRPr="009D719B">
        <w:t>r</w:t>
      </w:r>
      <w:r w:rsidRPr="009D719B">
        <w:t>mén eftersom populationen är större än för marinen och flygvapnet. Fly</w:t>
      </w:r>
      <w:r w:rsidRPr="009D719B">
        <w:t>g</w:t>
      </w:r>
      <w:r w:rsidRPr="009D719B">
        <w:t>vapnet och marinen har också yrkesgrupper som är mer uppenbart mar</w:t>
      </w:r>
      <w:r w:rsidRPr="009D719B">
        <w:t>k</w:t>
      </w:r>
      <w:r w:rsidRPr="009D719B">
        <w:t>nadskänsliga än vad armén har. Löneökningar för t.ex. flygförare och tekn</w:t>
      </w:r>
      <w:r w:rsidRPr="009D719B">
        <w:t>i</w:t>
      </w:r>
      <w:r w:rsidRPr="009D719B">
        <w:t>ker med speciell inriktning påverkar löneutvecklingen för marinen och fly</w:t>
      </w:r>
      <w:r w:rsidRPr="009D719B">
        <w:t>g</w:t>
      </w:r>
      <w:r w:rsidRPr="009D719B">
        <w:t>vapnet och bidrar till den ryckighet som kan ses i diagrammet ovan.</w:t>
      </w:r>
    </w:p>
    <w:p w:rsidR="001F14AF" w:rsidRPr="009D719B" w:rsidRDefault="001F14AF">
      <w:pPr>
        <w:pStyle w:val="Normaltindrag"/>
      </w:pPr>
      <w:r w:rsidRPr="009D719B">
        <w:t>I diagrammet ser vi också en markant nedgång i den genomsnittliga m</w:t>
      </w:r>
      <w:r w:rsidRPr="009D719B">
        <w:t>å</w:t>
      </w:r>
      <w:r w:rsidRPr="009D719B">
        <w:t>nadslönen för yrkesofficerare inom marinen 1998 samt en kraftig uppgång i genomsnittliga månadslöner för yrkesoffic</w:t>
      </w:r>
      <w:r w:rsidRPr="009D719B">
        <w:t>e</w:t>
      </w:r>
      <w:r w:rsidRPr="009D719B">
        <w:t>rare inom flygvapnet år 2000.</w:t>
      </w:r>
    </w:p>
    <w:p w:rsidR="001F14AF" w:rsidRPr="009D719B" w:rsidRDefault="001F14AF">
      <w:pPr>
        <w:pStyle w:val="Rubrik3-Utannumrering"/>
      </w:pPr>
      <w:bookmarkStart w:id="93" w:name="_Toc38080807"/>
      <w:r w:rsidRPr="009D719B">
        <w:t>Ledning, skolor och centrum</w:t>
      </w:r>
      <w:bookmarkEnd w:id="93"/>
    </w:p>
    <w:p w:rsidR="001F14AF" w:rsidRPr="009D719B" w:rsidRDefault="001F14AF">
      <w:r w:rsidRPr="009D719B">
        <w:t>Förutom förband i de olika försvarsgrenarna består Försvarsmakten av le</w:t>
      </w:r>
      <w:r w:rsidRPr="009D719B">
        <w:t>d</w:t>
      </w:r>
      <w:r w:rsidRPr="009D719B">
        <w:t xml:space="preserve">ningsorgan (Högkvarteret, OPIL samt tre militärdistrikt) samt ett antal skolor och speciella centrum. Dessa organisationsenheter bemannas med personal från förbanden. </w:t>
      </w:r>
    </w:p>
    <w:p w:rsidR="001F14AF" w:rsidRPr="009D719B" w:rsidRDefault="001F14AF">
      <w:pPr>
        <w:pStyle w:val="Normaltindrag"/>
      </w:pPr>
      <w:r w:rsidRPr="009D719B">
        <w:t>Vid ledningsorgan, skolor och centrum är lönenivåerna betydligt högre än vad de är vid förbanden. Enligt Försvarsmaktens egen statistik ligger m</w:t>
      </w:r>
      <w:r w:rsidRPr="009D719B">
        <w:t>å</w:t>
      </w:r>
      <w:r w:rsidRPr="009D719B">
        <w:t>nadslönerna för yrkesofficerare omkring 3 000 kr högre vid skolor och cen</w:t>
      </w:r>
      <w:r w:rsidRPr="009D719B">
        <w:t>t</w:t>
      </w:r>
      <w:r w:rsidRPr="009D719B">
        <w:t>rum än för officerare i allmänhet. Ledningsorganisationerna ligger omkring 4 000 kr högre i geno</w:t>
      </w:r>
      <w:r w:rsidRPr="009D719B">
        <w:t>m</w:t>
      </w:r>
      <w:r w:rsidRPr="009D719B">
        <w:t xml:space="preserve">snittlig månadslön för yrkesofficerare. </w:t>
      </w:r>
    </w:p>
    <w:p w:rsidR="001F14AF" w:rsidRPr="009D719B" w:rsidRDefault="001F14AF">
      <w:pPr>
        <w:pStyle w:val="Rubrik2"/>
      </w:pPr>
      <w:bookmarkStart w:id="94" w:name="_Toc32301652"/>
      <w:bookmarkStart w:id="95" w:name="_Toc38080808"/>
      <w:bookmarkStart w:id="96" w:name="_Toc38103354"/>
      <w:r w:rsidRPr="009D719B">
        <w:lastRenderedPageBreak/>
        <w:t>Lönetillägg</w:t>
      </w:r>
      <w:bookmarkEnd w:id="94"/>
      <w:bookmarkEnd w:id="95"/>
      <w:bookmarkEnd w:id="96"/>
    </w:p>
    <w:p w:rsidR="001F14AF" w:rsidRPr="009D719B" w:rsidRDefault="001F14AF">
      <w:r w:rsidRPr="009D719B">
        <w:t>Riksrevisionsverket kritiserade i rapporter från 1998 och 2000 den stora omfattningen av lönetillägg för yrkesofficerare inom Försvarsmakten (RRV 1998:20 och 2000:10). Detta ledde till att Försvarsmakten år 2000 inledde ett arbete med av förhandla bort merparten av de lönetillägg som yrkesofficerare tidigare kunnat ta del av. Ansträngningarna resulterade i ett nytt avtal på Försvar</w:t>
      </w:r>
      <w:r w:rsidRPr="009D719B">
        <w:t>s</w:t>
      </w:r>
      <w:r w:rsidRPr="009D719B">
        <w:t>maktsnivå som slöts i april 2001.</w:t>
      </w:r>
      <w:r w:rsidRPr="009D719B">
        <w:rPr>
          <w:rStyle w:val="Fotnotsreferens"/>
        </w:rPr>
        <w:footnoteReference w:id="23"/>
      </w:r>
      <w:r w:rsidRPr="009D719B">
        <w:t xml:space="preserve">  </w:t>
      </w:r>
    </w:p>
    <w:p w:rsidR="001F14AF" w:rsidRPr="009D719B" w:rsidRDefault="001F14AF">
      <w:pPr>
        <w:pStyle w:val="Normaltindrag"/>
      </w:pPr>
      <w:r w:rsidRPr="009D719B">
        <w:t>Innebörden av avtalet var att ersättning som tidigare betalats ut genom l</w:t>
      </w:r>
      <w:r w:rsidRPr="009D719B">
        <w:t>ö</w:t>
      </w:r>
      <w:r w:rsidRPr="009D719B">
        <w:t>netillägg nu skulle inkluderas i den anställdes grundlön. Orsaken till detta var enligt Försvarsmakten att göra lönestrukturen inom myndigheten tydligare. De rikliga lönetilläggen hade tidigare förvrängt bilden av lönestrukturen inom Försvarsmakten. Lönetilläggen för yrkesofficerare mellan 1995 och 2001 redovisas i t</w:t>
      </w:r>
      <w:r w:rsidRPr="009D719B">
        <w:t>a</w:t>
      </w:r>
      <w:r w:rsidRPr="009D719B">
        <w:t>bellen nedan.</w:t>
      </w:r>
    </w:p>
    <w:p w:rsidR="001F14AF" w:rsidRPr="009D719B" w:rsidRDefault="001F14AF">
      <w:pPr>
        <w:pStyle w:val="Beskrivning"/>
      </w:pPr>
      <w:r w:rsidRPr="009D719B">
        <w:t xml:space="preserve">Tabell </w:t>
      </w:r>
      <w:r w:rsidRPr="009D719B">
        <w:t>4</w:t>
      </w:r>
      <w:r w:rsidRPr="009D719B">
        <w:t>.</w:t>
      </w:r>
      <w:r w:rsidRPr="009D719B">
        <w:t>2</w:t>
      </w:r>
      <w:r w:rsidRPr="009D719B">
        <w:tab/>
        <w:t>Genomsnittlig lön och lönetillägg för yrkesoffic</w:t>
      </w:r>
      <w:r w:rsidRPr="009D719B">
        <w:t>e</w:t>
      </w:r>
      <w:r w:rsidRPr="009D719B">
        <w:t>rare inom Försvarsma</w:t>
      </w:r>
      <w:r w:rsidRPr="009D719B">
        <w:t>k</w:t>
      </w:r>
      <w:r w:rsidRPr="009D719B">
        <w:t xml:space="preserve">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7"/>
        <w:gridCol w:w="680"/>
        <w:gridCol w:w="680"/>
        <w:gridCol w:w="680"/>
        <w:gridCol w:w="680"/>
        <w:gridCol w:w="680"/>
        <w:gridCol w:w="680"/>
        <w:gridCol w:w="680"/>
      </w:tblGrid>
      <w:tr w:rsidR="00000000" w:rsidRPr="009D719B">
        <w:tblPrEx>
          <w:tblCellMar>
            <w:top w:w="0" w:type="dxa"/>
            <w:bottom w:w="0" w:type="dxa"/>
          </w:tblCellMar>
        </w:tblPrEx>
        <w:tc>
          <w:tcPr>
            <w:tcW w:w="1247" w:type="dxa"/>
            <w:tcBorders>
              <w:bottom w:val="single" w:sz="4" w:space="0" w:color="auto"/>
            </w:tcBorders>
            <w:shd w:val="pct15" w:color="auto" w:fill="FFFFFF"/>
          </w:tcPr>
          <w:p w:rsidR="001F14AF" w:rsidRPr="009D719B" w:rsidRDefault="001F14AF">
            <w:pPr>
              <w:pStyle w:val="Tabell"/>
            </w:pPr>
          </w:p>
        </w:tc>
        <w:tc>
          <w:tcPr>
            <w:tcW w:w="680" w:type="dxa"/>
            <w:shd w:val="pct15" w:color="auto" w:fill="FFFFFF"/>
            <w:vAlign w:val="center"/>
          </w:tcPr>
          <w:p w:rsidR="001F14AF" w:rsidRPr="009D719B" w:rsidRDefault="001F14AF">
            <w:pPr>
              <w:pStyle w:val="Tabell"/>
              <w:ind w:right="-56"/>
              <w:jc w:val="center"/>
              <w:rPr>
                <w:b/>
              </w:rPr>
            </w:pPr>
            <w:r w:rsidRPr="009D719B">
              <w:rPr>
                <w:b/>
              </w:rPr>
              <w:t>1995</w:t>
            </w:r>
          </w:p>
        </w:tc>
        <w:tc>
          <w:tcPr>
            <w:tcW w:w="680" w:type="dxa"/>
            <w:shd w:val="pct15" w:color="auto" w:fill="FFFFFF"/>
            <w:vAlign w:val="center"/>
          </w:tcPr>
          <w:p w:rsidR="001F14AF" w:rsidRPr="009D719B" w:rsidRDefault="001F14AF">
            <w:pPr>
              <w:pStyle w:val="Tabell"/>
              <w:ind w:right="-56"/>
              <w:jc w:val="center"/>
              <w:rPr>
                <w:b/>
              </w:rPr>
            </w:pPr>
            <w:r w:rsidRPr="009D719B">
              <w:rPr>
                <w:b/>
              </w:rPr>
              <w:t>1996</w:t>
            </w:r>
          </w:p>
        </w:tc>
        <w:tc>
          <w:tcPr>
            <w:tcW w:w="680" w:type="dxa"/>
            <w:shd w:val="pct15" w:color="auto" w:fill="FFFFFF"/>
            <w:vAlign w:val="center"/>
          </w:tcPr>
          <w:p w:rsidR="001F14AF" w:rsidRPr="009D719B" w:rsidRDefault="001F14AF">
            <w:pPr>
              <w:pStyle w:val="Tabell"/>
              <w:ind w:right="-56"/>
              <w:jc w:val="center"/>
              <w:rPr>
                <w:b/>
              </w:rPr>
            </w:pPr>
            <w:r w:rsidRPr="009D719B">
              <w:rPr>
                <w:b/>
              </w:rPr>
              <w:t>1997</w:t>
            </w:r>
          </w:p>
        </w:tc>
        <w:tc>
          <w:tcPr>
            <w:tcW w:w="680" w:type="dxa"/>
            <w:shd w:val="pct15" w:color="auto" w:fill="FFFFFF"/>
            <w:vAlign w:val="center"/>
          </w:tcPr>
          <w:p w:rsidR="001F14AF" w:rsidRPr="009D719B" w:rsidRDefault="001F14AF">
            <w:pPr>
              <w:pStyle w:val="Tabell"/>
              <w:ind w:right="-56"/>
              <w:jc w:val="center"/>
              <w:rPr>
                <w:b/>
              </w:rPr>
            </w:pPr>
            <w:r w:rsidRPr="009D719B">
              <w:rPr>
                <w:b/>
              </w:rPr>
              <w:t>1998</w:t>
            </w:r>
          </w:p>
        </w:tc>
        <w:tc>
          <w:tcPr>
            <w:tcW w:w="680" w:type="dxa"/>
            <w:shd w:val="pct15" w:color="auto" w:fill="FFFFFF"/>
            <w:vAlign w:val="center"/>
          </w:tcPr>
          <w:p w:rsidR="001F14AF" w:rsidRPr="009D719B" w:rsidRDefault="001F14AF">
            <w:pPr>
              <w:pStyle w:val="Tabell"/>
              <w:ind w:right="-56"/>
              <w:jc w:val="center"/>
              <w:rPr>
                <w:b/>
              </w:rPr>
            </w:pPr>
            <w:r w:rsidRPr="009D719B">
              <w:rPr>
                <w:b/>
              </w:rPr>
              <w:t>1999</w:t>
            </w:r>
          </w:p>
        </w:tc>
        <w:tc>
          <w:tcPr>
            <w:tcW w:w="680" w:type="dxa"/>
            <w:shd w:val="pct15" w:color="auto" w:fill="FFFFFF"/>
            <w:vAlign w:val="center"/>
          </w:tcPr>
          <w:p w:rsidR="001F14AF" w:rsidRPr="009D719B" w:rsidRDefault="001F14AF">
            <w:pPr>
              <w:pStyle w:val="Tabell"/>
              <w:ind w:right="-56"/>
              <w:jc w:val="center"/>
              <w:rPr>
                <w:b/>
              </w:rPr>
            </w:pPr>
            <w:r w:rsidRPr="009D719B">
              <w:rPr>
                <w:b/>
              </w:rPr>
              <w:t>2000</w:t>
            </w:r>
          </w:p>
        </w:tc>
        <w:tc>
          <w:tcPr>
            <w:tcW w:w="680" w:type="dxa"/>
            <w:tcBorders>
              <w:right w:val="single" w:sz="18" w:space="0" w:color="auto"/>
            </w:tcBorders>
            <w:shd w:val="pct15" w:color="auto" w:fill="FFFFFF"/>
            <w:vAlign w:val="center"/>
          </w:tcPr>
          <w:p w:rsidR="001F14AF" w:rsidRPr="009D719B" w:rsidRDefault="001F14AF">
            <w:pPr>
              <w:pStyle w:val="Tabell"/>
              <w:ind w:right="-56"/>
              <w:jc w:val="center"/>
              <w:rPr>
                <w:b/>
              </w:rPr>
            </w:pPr>
            <w:r w:rsidRPr="009D719B">
              <w:rPr>
                <w:b/>
              </w:rPr>
              <w:t>2001</w:t>
            </w:r>
          </w:p>
        </w:tc>
      </w:tr>
      <w:tr w:rsidR="00000000" w:rsidRPr="009D719B">
        <w:tblPrEx>
          <w:tblCellMar>
            <w:top w:w="0" w:type="dxa"/>
            <w:bottom w:w="0" w:type="dxa"/>
          </w:tblCellMar>
        </w:tblPrEx>
        <w:tc>
          <w:tcPr>
            <w:tcW w:w="1247" w:type="dxa"/>
            <w:shd w:val="pct15" w:color="auto" w:fill="FFFFFF"/>
            <w:vAlign w:val="center"/>
          </w:tcPr>
          <w:p w:rsidR="001F14AF" w:rsidRPr="009D719B" w:rsidRDefault="001F14AF">
            <w:pPr>
              <w:pStyle w:val="Tabell"/>
            </w:pPr>
            <w:r w:rsidRPr="009D719B">
              <w:t>Fast lön + fasta tillägg</w:t>
            </w:r>
          </w:p>
          <w:p w:rsidR="001F14AF" w:rsidRPr="009D719B" w:rsidRDefault="001F14AF">
            <w:pPr>
              <w:pStyle w:val="Tabell"/>
            </w:pPr>
          </w:p>
        </w:tc>
        <w:tc>
          <w:tcPr>
            <w:tcW w:w="680" w:type="dxa"/>
            <w:vAlign w:val="center"/>
          </w:tcPr>
          <w:p w:rsidR="001F14AF" w:rsidRPr="009D719B" w:rsidRDefault="001F14AF">
            <w:pPr>
              <w:pStyle w:val="Tabell"/>
              <w:ind w:right="57"/>
              <w:jc w:val="right"/>
            </w:pPr>
            <w:r w:rsidRPr="009D719B">
              <w:t>18 595</w:t>
            </w:r>
          </w:p>
        </w:tc>
        <w:tc>
          <w:tcPr>
            <w:tcW w:w="680" w:type="dxa"/>
            <w:vAlign w:val="center"/>
          </w:tcPr>
          <w:p w:rsidR="001F14AF" w:rsidRPr="009D719B" w:rsidRDefault="001F14AF">
            <w:pPr>
              <w:pStyle w:val="Tabell"/>
              <w:ind w:right="57"/>
              <w:jc w:val="right"/>
            </w:pPr>
            <w:r w:rsidRPr="009D719B">
              <w:t>19 882</w:t>
            </w:r>
          </w:p>
        </w:tc>
        <w:tc>
          <w:tcPr>
            <w:tcW w:w="680" w:type="dxa"/>
            <w:vAlign w:val="center"/>
          </w:tcPr>
          <w:p w:rsidR="001F14AF" w:rsidRPr="009D719B" w:rsidRDefault="001F14AF">
            <w:pPr>
              <w:pStyle w:val="Tabell"/>
              <w:ind w:right="57"/>
              <w:jc w:val="right"/>
            </w:pPr>
            <w:r w:rsidRPr="009D719B">
              <w:t>20 843</w:t>
            </w:r>
          </w:p>
        </w:tc>
        <w:tc>
          <w:tcPr>
            <w:tcW w:w="680" w:type="dxa"/>
            <w:vAlign w:val="center"/>
          </w:tcPr>
          <w:p w:rsidR="001F14AF" w:rsidRPr="009D719B" w:rsidRDefault="001F14AF">
            <w:pPr>
              <w:pStyle w:val="Tabell"/>
              <w:ind w:right="57"/>
              <w:jc w:val="right"/>
            </w:pPr>
            <w:r w:rsidRPr="009D719B">
              <w:t>21 056</w:t>
            </w:r>
          </w:p>
        </w:tc>
        <w:tc>
          <w:tcPr>
            <w:tcW w:w="680" w:type="dxa"/>
            <w:vAlign w:val="center"/>
          </w:tcPr>
          <w:p w:rsidR="001F14AF" w:rsidRPr="009D719B" w:rsidRDefault="001F14AF">
            <w:pPr>
              <w:pStyle w:val="Tabell"/>
              <w:ind w:right="57"/>
              <w:jc w:val="right"/>
            </w:pPr>
            <w:r w:rsidRPr="009D719B">
              <w:t>22 061</w:t>
            </w:r>
          </w:p>
        </w:tc>
        <w:tc>
          <w:tcPr>
            <w:tcW w:w="680" w:type="dxa"/>
            <w:vAlign w:val="center"/>
          </w:tcPr>
          <w:p w:rsidR="001F14AF" w:rsidRPr="009D719B" w:rsidRDefault="001F14AF">
            <w:pPr>
              <w:pStyle w:val="Tabell"/>
              <w:ind w:right="57"/>
              <w:jc w:val="right"/>
            </w:pPr>
            <w:r w:rsidRPr="009D719B">
              <w:t>23 943</w:t>
            </w:r>
          </w:p>
        </w:tc>
        <w:tc>
          <w:tcPr>
            <w:tcW w:w="680" w:type="dxa"/>
            <w:tcBorders>
              <w:right w:val="single" w:sz="18" w:space="0" w:color="auto"/>
            </w:tcBorders>
            <w:vAlign w:val="center"/>
          </w:tcPr>
          <w:p w:rsidR="001F14AF" w:rsidRPr="009D719B" w:rsidRDefault="001F14AF">
            <w:pPr>
              <w:pStyle w:val="Tabell"/>
              <w:ind w:right="57"/>
              <w:jc w:val="right"/>
            </w:pPr>
            <w:r w:rsidRPr="009D719B">
              <w:t>24 922</w:t>
            </w:r>
          </w:p>
        </w:tc>
      </w:tr>
      <w:tr w:rsidR="00000000" w:rsidRPr="009D719B">
        <w:tblPrEx>
          <w:tblCellMar>
            <w:top w:w="0" w:type="dxa"/>
            <w:bottom w:w="0" w:type="dxa"/>
          </w:tblCellMar>
        </w:tblPrEx>
        <w:tc>
          <w:tcPr>
            <w:tcW w:w="1247" w:type="dxa"/>
            <w:tcBorders>
              <w:bottom w:val="single" w:sz="4" w:space="0" w:color="auto"/>
            </w:tcBorders>
            <w:shd w:val="pct15" w:color="auto" w:fill="FFFFFF"/>
            <w:vAlign w:val="center"/>
          </w:tcPr>
          <w:p w:rsidR="001F14AF" w:rsidRPr="009D719B" w:rsidRDefault="001F14AF">
            <w:pPr>
              <w:pStyle w:val="Tabell"/>
            </w:pPr>
            <w:r w:rsidRPr="009D719B">
              <w:t>Övriga tillägg</w:t>
            </w:r>
          </w:p>
          <w:p w:rsidR="001F14AF" w:rsidRPr="009D719B" w:rsidRDefault="001F14AF">
            <w:pPr>
              <w:pStyle w:val="Tabell"/>
            </w:pPr>
          </w:p>
          <w:p w:rsidR="001F14AF" w:rsidRPr="009D719B" w:rsidRDefault="001F14AF">
            <w:pPr>
              <w:pStyle w:val="Tabell"/>
            </w:pPr>
          </w:p>
        </w:tc>
        <w:tc>
          <w:tcPr>
            <w:tcW w:w="680" w:type="dxa"/>
            <w:tcBorders>
              <w:bottom w:val="single" w:sz="4" w:space="0" w:color="auto"/>
            </w:tcBorders>
            <w:vAlign w:val="center"/>
          </w:tcPr>
          <w:p w:rsidR="001F14AF" w:rsidRPr="009D719B" w:rsidRDefault="001F14AF">
            <w:pPr>
              <w:pStyle w:val="Tabell"/>
              <w:ind w:right="57"/>
              <w:jc w:val="right"/>
            </w:pPr>
            <w:r w:rsidRPr="009D719B">
              <w:t>1 399</w:t>
            </w:r>
          </w:p>
        </w:tc>
        <w:tc>
          <w:tcPr>
            <w:tcW w:w="680" w:type="dxa"/>
            <w:tcBorders>
              <w:bottom w:val="single" w:sz="4" w:space="0" w:color="auto"/>
            </w:tcBorders>
            <w:vAlign w:val="center"/>
          </w:tcPr>
          <w:p w:rsidR="001F14AF" w:rsidRPr="009D719B" w:rsidRDefault="001F14AF">
            <w:pPr>
              <w:pStyle w:val="Tabell"/>
              <w:ind w:right="57"/>
              <w:jc w:val="right"/>
            </w:pPr>
            <w:r w:rsidRPr="009D719B">
              <w:t>1 544</w:t>
            </w:r>
          </w:p>
        </w:tc>
        <w:tc>
          <w:tcPr>
            <w:tcW w:w="680" w:type="dxa"/>
            <w:tcBorders>
              <w:bottom w:val="single" w:sz="4" w:space="0" w:color="auto"/>
            </w:tcBorders>
            <w:vAlign w:val="center"/>
          </w:tcPr>
          <w:p w:rsidR="001F14AF" w:rsidRPr="009D719B" w:rsidRDefault="001F14AF">
            <w:pPr>
              <w:pStyle w:val="Tabell"/>
              <w:ind w:right="57"/>
              <w:jc w:val="right"/>
            </w:pPr>
            <w:r w:rsidRPr="009D719B">
              <w:t>1 578</w:t>
            </w:r>
          </w:p>
        </w:tc>
        <w:tc>
          <w:tcPr>
            <w:tcW w:w="680" w:type="dxa"/>
            <w:tcBorders>
              <w:bottom w:val="single" w:sz="4" w:space="0" w:color="auto"/>
            </w:tcBorders>
            <w:vAlign w:val="center"/>
          </w:tcPr>
          <w:p w:rsidR="001F14AF" w:rsidRPr="009D719B" w:rsidRDefault="001F14AF">
            <w:pPr>
              <w:pStyle w:val="Tabell"/>
              <w:ind w:right="57"/>
              <w:jc w:val="right"/>
            </w:pPr>
            <w:r w:rsidRPr="009D719B">
              <w:t>1 338</w:t>
            </w:r>
          </w:p>
        </w:tc>
        <w:tc>
          <w:tcPr>
            <w:tcW w:w="680" w:type="dxa"/>
            <w:tcBorders>
              <w:bottom w:val="single" w:sz="4" w:space="0" w:color="auto"/>
            </w:tcBorders>
            <w:vAlign w:val="center"/>
          </w:tcPr>
          <w:p w:rsidR="001F14AF" w:rsidRPr="009D719B" w:rsidRDefault="001F14AF">
            <w:pPr>
              <w:pStyle w:val="Tabell"/>
              <w:ind w:right="57"/>
              <w:jc w:val="right"/>
            </w:pPr>
            <w:r w:rsidRPr="009D719B">
              <w:t>1 566</w:t>
            </w:r>
          </w:p>
        </w:tc>
        <w:tc>
          <w:tcPr>
            <w:tcW w:w="680" w:type="dxa"/>
            <w:tcBorders>
              <w:bottom w:val="single" w:sz="4" w:space="0" w:color="auto"/>
            </w:tcBorders>
            <w:vAlign w:val="center"/>
          </w:tcPr>
          <w:p w:rsidR="001F14AF" w:rsidRPr="009D719B" w:rsidRDefault="001F14AF">
            <w:pPr>
              <w:pStyle w:val="Tabell"/>
              <w:ind w:right="57"/>
              <w:jc w:val="right"/>
            </w:pPr>
            <w:r w:rsidRPr="009D719B">
              <w:t>1 712</w:t>
            </w:r>
          </w:p>
        </w:tc>
        <w:tc>
          <w:tcPr>
            <w:tcW w:w="680" w:type="dxa"/>
            <w:tcBorders>
              <w:bottom w:val="single" w:sz="4" w:space="0" w:color="auto"/>
              <w:right w:val="single" w:sz="18" w:space="0" w:color="auto"/>
            </w:tcBorders>
            <w:vAlign w:val="center"/>
          </w:tcPr>
          <w:p w:rsidR="001F14AF" w:rsidRPr="009D719B" w:rsidRDefault="001F14AF">
            <w:pPr>
              <w:pStyle w:val="Tabell"/>
              <w:ind w:right="57"/>
              <w:jc w:val="right"/>
            </w:pPr>
            <w:r w:rsidRPr="009D719B">
              <w:t>1 235</w:t>
            </w:r>
          </w:p>
        </w:tc>
      </w:tr>
      <w:tr w:rsidR="00000000" w:rsidRPr="009D719B">
        <w:tblPrEx>
          <w:tblCellMar>
            <w:top w:w="0" w:type="dxa"/>
            <w:bottom w:w="0" w:type="dxa"/>
          </w:tblCellMar>
        </w:tblPrEx>
        <w:tc>
          <w:tcPr>
            <w:tcW w:w="1247" w:type="dxa"/>
            <w:tcBorders>
              <w:bottom w:val="single" w:sz="18" w:space="0" w:color="auto"/>
            </w:tcBorders>
            <w:shd w:val="pct15" w:color="auto" w:fill="FFFFFF"/>
            <w:vAlign w:val="center"/>
          </w:tcPr>
          <w:p w:rsidR="001F14AF" w:rsidRPr="009D719B" w:rsidRDefault="001F14AF">
            <w:pPr>
              <w:pStyle w:val="Tabell"/>
            </w:pPr>
            <w:r w:rsidRPr="009D719B">
              <w:t>Övriga tillägg som andel av total lön</w:t>
            </w:r>
          </w:p>
        </w:tc>
        <w:tc>
          <w:tcPr>
            <w:tcW w:w="680" w:type="dxa"/>
            <w:tcBorders>
              <w:bottom w:val="single" w:sz="18" w:space="0" w:color="auto"/>
            </w:tcBorders>
            <w:vAlign w:val="center"/>
          </w:tcPr>
          <w:p w:rsidR="001F14AF" w:rsidRPr="009D719B" w:rsidRDefault="001F14AF">
            <w:pPr>
              <w:pStyle w:val="Tabell"/>
              <w:ind w:right="57"/>
              <w:jc w:val="right"/>
            </w:pPr>
            <w:r w:rsidRPr="009D719B">
              <w:t>7,0 %</w:t>
            </w:r>
          </w:p>
        </w:tc>
        <w:tc>
          <w:tcPr>
            <w:tcW w:w="680" w:type="dxa"/>
            <w:tcBorders>
              <w:bottom w:val="single" w:sz="18" w:space="0" w:color="auto"/>
            </w:tcBorders>
            <w:vAlign w:val="center"/>
          </w:tcPr>
          <w:p w:rsidR="001F14AF" w:rsidRPr="009D719B" w:rsidRDefault="001F14AF">
            <w:pPr>
              <w:pStyle w:val="Tabell"/>
              <w:ind w:right="57"/>
              <w:jc w:val="right"/>
            </w:pPr>
            <w:r w:rsidRPr="009D719B">
              <w:t>7,2 %</w:t>
            </w:r>
          </w:p>
        </w:tc>
        <w:tc>
          <w:tcPr>
            <w:tcW w:w="680" w:type="dxa"/>
            <w:tcBorders>
              <w:bottom w:val="single" w:sz="18" w:space="0" w:color="auto"/>
            </w:tcBorders>
            <w:vAlign w:val="center"/>
          </w:tcPr>
          <w:p w:rsidR="001F14AF" w:rsidRPr="009D719B" w:rsidRDefault="001F14AF">
            <w:pPr>
              <w:pStyle w:val="Tabell"/>
              <w:ind w:right="57"/>
              <w:jc w:val="right"/>
            </w:pPr>
            <w:r w:rsidRPr="009D719B">
              <w:t>7,0 %</w:t>
            </w:r>
          </w:p>
        </w:tc>
        <w:tc>
          <w:tcPr>
            <w:tcW w:w="680" w:type="dxa"/>
            <w:tcBorders>
              <w:bottom w:val="single" w:sz="18" w:space="0" w:color="auto"/>
            </w:tcBorders>
            <w:vAlign w:val="center"/>
          </w:tcPr>
          <w:p w:rsidR="001F14AF" w:rsidRPr="009D719B" w:rsidRDefault="001F14AF">
            <w:pPr>
              <w:pStyle w:val="Tabell"/>
              <w:ind w:right="57"/>
              <w:jc w:val="right"/>
            </w:pPr>
            <w:r w:rsidRPr="009D719B">
              <w:t>6,0 %</w:t>
            </w:r>
          </w:p>
        </w:tc>
        <w:tc>
          <w:tcPr>
            <w:tcW w:w="680" w:type="dxa"/>
            <w:tcBorders>
              <w:bottom w:val="single" w:sz="18" w:space="0" w:color="auto"/>
            </w:tcBorders>
            <w:vAlign w:val="center"/>
          </w:tcPr>
          <w:p w:rsidR="001F14AF" w:rsidRPr="009D719B" w:rsidRDefault="001F14AF">
            <w:pPr>
              <w:pStyle w:val="Tabell"/>
              <w:ind w:right="57"/>
              <w:jc w:val="right"/>
            </w:pPr>
            <w:r w:rsidRPr="009D719B">
              <w:t>6,6 %</w:t>
            </w:r>
          </w:p>
        </w:tc>
        <w:tc>
          <w:tcPr>
            <w:tcW w:w="680" w:type="dxa"/>
            <w:tcBorders>
              <w:bottom w:val="single" w:sz="18" w:space="0" w:color="auto"/>
            </w:tcBorders>
            <w:vAlign w:val="center"/>
          </w:tcPr>
          <w:p w:rsidR="001F14AF" w:rsidRPr="009D719B" w:rsidRDefault="001F14AF">
            <w:pPr>
              <w:pStyle w:val="Tabell"/>
              <w:ind w:right="57"/>
              <w:jc w:val="right"/>
            </w:pPr>
            <w:r w:rsidRPr="009D719B">
              <w:t xml:space="preserve">6,7 % </w:t>
            </w:r>
          </w:p>
        </w:tc>
        <w:tc>
          <w:tcPr>
            <w:tcW w:w="680" w:type="dxa"/>
            <w:tcBorders>
              <w:bottom w:val="single" w:sz="18" w:space="0" w:color="auto"/>
              <w:right w:val="single" w:sz="18" w:space="0" w:color="auto"/>
            </w:tcBorders>
            <w:vAlign w:val="center"/>
          </w:tcPr>
          <w:p w:rsidR="001F14AF" w:rsidRPr="009D719B" w:rsidRDefault="001F14AF">
            <w:pPr>
              <w:pStyle w:val="Tabell"/>
              <w:ind w:right="57"/>
              <w:jc w:val="right"/>
            </w:pPr>
            <w:r w:rsidRPr="009D719B">
              <w:t>4,7 %</w:t>
            </w:r>
          </w:p>
        </w:tc>
      </w:tr>
    </w:tbl>
    <w:p w:rsidR="001F14AF" w:rsidRPr="009D719B" w:rsidRDefault="001F14AF">
      <w:pPr>
        <w:pStyle w:val="Tabell"/>
      </w:pPr>
      <w:r w:rsidRPr="009D719B">
        <w:t>Källa: SCB</w:t>
      </w:r>
    </w:p>
    <w:p w:rsidR="001F14AF" w:rsidRPr="009D719B" w:rsidRDefault="001F14AF">
      <w:r w:rsidRPr="009D719B">
        <w:t>Av tabellen ovan framgår att lönetilläggen har utgjort en relativt stor andel av yrkesofficerens lön. Som jämförelse till siffrorna i tabellen ovan kan anges att motsvarande lönetillägg i genomsnitt utgjorde 1,8 % av den totala lönen för statsanställda år 2001.</w:t>
      </w:r>
    </w:p>
    <w:p w:rsidR="001F14AF" w:rsidRPr="009D719B" w:rsidRDefault="001F14AF">
      <w:pPr>
        <w:pStyle w:val="Normaltindrag"/>
      </w:pPr>
      <w:r w:rsidRPr="009D719B">
        <w:t>I det löneavtal som trädde i kraft i april 2001 har Försvarsmakten fö</w:t>
      </w:r>
      <w:r w:rsidRPr="009D719B">
        <w:t>r</w:t>
      </w:r>
      <w:r w:rsidRPr="009D719B">
        <w:t>handlat bort de befattningsberoende lönetilläggen. Kvar är de arbetstidsber</w:t>
      </w:r>
      <w:r w:rsidRPr="009D719B">
        <w:t>o</w:t>
      </w:r>
      <w:r w:rsidRPr="009D719B">
        <w:t>ende tilläggen. Även om en minskning inträffat utgjorde lönetilläggen år 2001 fortfarande en, i jämförelse med staten i övrigt, betydande del av off</w:t>
      </w:r>
      <w:r w:rsidRPr="009D719B">
        <w:t>i</w:t>
      </w:r>
      <w:r w:rsidRPr="009D719B">
        <w:t>cerens lön.</w:t>
      </w:r>
    </w:p>
    <w:p w:rsidR="001F14AF" w:rsidRPr="009D719B" w:rsidRDefault="001F14AF">
      <w:pPr>
        <w:pStyle w:val="Rubrik2"/>
      </w:pPr>
      <w:bookmarkStart w:id="97" w:name="_Toc32301653"/>
      <w:bookmarkStart w:id="98" w:name="_Toc38080809"/>
      <w:bookmarkStart w:id="99" w:name="_Toc38103355"/>
      <w:r w:rsidRPr="009D719B">
        <w:t>Slutsatser</w:t>
      </w:r>
      <w:bookmarkEnd w:id="97"/>
      <w:bookmarkEnd w:id="98"/>
      <w:bookmarkEnd w:id="99"/>
    </w:p>
    <w:p w:rsidR="001F14AF" w:rsidRPr="009D719B" w:rsidRDefault="001F14AF">
      <w:r w:rsidRPr="009D719B">
        <w:t>Trots att antalet anställda inom Försvarsmakten har minskat med en fjärdedel sedan 1996 har myndighetens personalkostnader ökat. Delvis beror detta på Försvarsmaktens beslut att inte säga upp yrkesofficerare till följd av pers</w:t>
      </w:r>
      <w:r w:rsidRPr="009D719B">
        <w:t>o</w:t>
      </w:r>
      <w:r w:rsidRPr="009D719B">
        <w:t>nalavvecklingen, vilket lett till att myndigheten spenderat stora belopp på avvecklingsinsatser.</w:t>
      </w:r>
    </w:p>
    <w:p w:rsidR="001F14AF" w:rsidRPr="009D719B" w:rsidRDefault="001F14AF">
      <w:pPr>
        <w:pStyle w:val="Normaltindrag"/>
      </w:pPr>
      <w:r w:rsidRPr="009D719B">
        <w:t xml:space="preserve">Antalet civilanställda inom Försvarsmakten har också minskat och ska fortsätta minska fram till år 2004. För att uppmuntra civilanställda att gå i </w:t>
      </w:r>
      <w:r w:rsidRPr="009D719B">
        <w:lastRenderedPageBreak/>
        <w:t>tidig pension har Försvarsmakten låtit civilanställda under vissa förhållanden gå i pension från 58 års ålder. Enligt företrädare för både arbetstagarorgan</w:t>
      </w:r>
      <w:r w:rsidRPr="009D719B">
        <w:t>i</w:t>
      </w:r>
      <w:r w:rsidRPr="009D719B">
        <w:t>sationer och förband har detta erbjudande om tidig pension överutnyttjats av förband</w:t>
      </w:r>
      <w:r w:rsidRPr="009D719B">
        <w:t>s</w:t>
      </w:r>
      <w:r w:rsidRPr="009D719B">
        <w:t xml:space="preserve">cheferna, vilket lett till höga kostnader för pensionsersättningar. </w:t>
      </w:r>
    </w:p>
    <w:p w:rsidR="001F14AF" w:rsidRPr="009D719B" w:rsidRDefault="001F14AF">
      <w:pPr>
        <w:pStyle w:val="Normaltindrag"/>
      </w:pPr>
      <w:r w:rsidRPr="009D719B">
        <w:t>Personalkostnaderna påverkas också av lönenivån inom myndigheten. Med den statistik som tagits fram för denna granskning kan man dock inte ent</w:t>
      </w:r>
      <w:r w:rsidRPr="009D719B">
        <w:t>y</w:t>
      </w:r>
      <w:r w:rsidRPr="009D719B">
        <w:t>digt påstå att Försvarsmaktens löner ligger på en alltför hög nivå, eller att löneökningen varit för hög. Yrkesofficerare har en i genomsnitt betydligt högre lönenivå än statsanställda i allmänhet, men en bedömning av lönen</w:t>
      </w:r>
      <w:r w:rsidRPr="009D719B">
        <w:t>i</w:t>
      </w:r>
      <w:r w:rsidRPr="009D719B">
        <w:t>våns berättigande måste även ta hänsyn till verksamhetens och befattninga</w:t>
      </w:r>
      <w:r w:rsidRPr="009D719B">
        <w:t>r</w:t>
      </w:r>
      <w:r w:rsidRPr="009D719B">
        <w:t>nas krav. Den i sammanhanget viktiga frågan är om lönebildningen och lönenivån förmår gynna verksamheten eller inte.</w:t>
      </w:r>
    </w:p>
    <w:p w:rsidR="001F14AF" w:rsidRPr="009D719B" w:rsidRDefault="001F14AF">
      <w:pPr>
        <w:pStyle w:val="Normaltindrag"/>
      </w:pPr>
      <w:r w:rsidRPr="009D719B">
        <w:t>Avtalet om lönefrågor som förhandlades fram 2001 omfattar inte löneti</w:t>
      </w:r>
      <w:r w:rsidRPr="009D719B">
        <w:t>l</w:t>
      </w:r>
      <w:r w:rsidRPr="009D719B">
        <w:t>lägg som beror av arbetstid. Dessa lönetillägg spelar en viktig roll för yrke</w:t>
      </w:r>
      <w:r w:rsidRPr="009D719B">
        <w:t>s</w:t>
      </w:r>
      <w:r w:rsidRPr="009D719B">
        <w:t xml:space="preserve">officerens lönenivå och är en av orsakerna till att lönetilläggens andel av grundlönen inte minskat mer än till 4,7 %. </w:t>
      </w:r>
    </w:p>
    <w:p w:rsidR="001F14AF" w:rsidRPr="009D719B" w:rsidRDefault="001F14AF">
      <w:pPr>
        <w:pStyle w:val="Rubrik3-Utannumrering"/>
      </w:pPr>
      <w:bookmarkStart w:id="100" w:name="_Toc38080810"/>
      <w:r w:rsidRPr="009D719B">
        <w:t>Vad hände 1998 och 2000?</w:t>
      </w:r>
      <w:bookmarkEnd w:id="100"/>
    </w:p>
    <w:p w:rsidR="001F14AF" w:rsidRPr="009D719B" w:rsidRDefault="001F14AF">
      <w:r w:rsidRPr="009D719B">
        <w:t>Lönestatistiken för perioden 1993–2001 uppvisar som nämnts tidigare två anmärkningsvärda avvikelser från utvecklingen för statsanställda totalt: den genomsnittliga lönesänkningen för yrkesofficerare 1998 samt den kraftiga löneökningen år 2000. Dessa två fall diskuteras närmare nedan.</w:t>
      </w:r>
    </w:p>
    <w:p w:rsidR="001F14AF" w:rsidRPr="009D719B" w:rsidRDefault="001F14AF">
      <w:pPr>
        <w:pStyle w:val="Rubrik4-Utannumrering"/>
      </w:pPr>
      <w:bookmarkStart w:id="101" w:name="_Toc38080811"/>
      <w:r w:rsidRPr="009D719B">
        <w:t>Lönesänkning år 1998</w:t>
      </w:r>
      <w:bookmarkEnd w:id="101"/>
      <w:r w:rsidRPr="009D719B">
        <w:t xml:space="preserve"> </w:t>
      </w:r>
    </w:p>
    <w:p w:rsidR="001F14AF" w:rsidRPr="009D719B" w:rsidRDefault="001F14AF">
      <w:r w:rsidRPr="009D719B">
        <w:t>Under 1998 fick yrkesofficerare i genomsnitt en lönesänkning med 0,12 % medan Försvarsmaktens civilanställda fick en löneökning på i genomsnitt 1,1 % och statsanställda totalt en ökning på i genomsnitt 1,41 %. Vi har tidigare kunnat konstatera att den minskning av lönerna för yrkesofficerare som inträffade 1998 främst kan hänföras till en kraftig minskning av lönerna inom marinen. Under 1998 sjönk den genomsnittliga lönenivån för yrkeso</w:t>
      </w:r>
      <w:r w:rsidRPr="009D719B">
        <w:t>f</w:t>
      </w:r>
      <w:r w:rsidRPr="009D719B">
        <w:t>ficerare i marinen med drygt 4 %.</w:t>
      </w:r>
    </w:p>
    <w:p w:rsidR="001F14AF" w:rsidRPr="009D719B" w:rsidRDefault="001F14AF">
      <w:pPr>
        <w:pStyle w:val="Normaltindrag"/>
      </w:pPr>
      <w:r w:rsidRPr="009D719B">
        <w:t>Vi kan också konstatera att den fasta lönen (inklusive de fasta tilläggen) för yrkesofficerare ökade med omkring 1 % för 1998, medan de övriga lön</w:t>
      </w:r>
      <w:r w:rsidRPr="009D719B">
        <w:t>e</w:t>
      </w:r>
      <w:r w:rsidRPr="009D719B">
        <w:t>tilläggen minskade med 15 %. Många av lönetilläggen var kopplade till en viss verksamhet. När förbandsverksamheten drogs ned under 1998 minskade också kostnaderna för lönetilläggen, vilket skulle kunna förklara den geno</w:t>
      </w:r>
      <w:r w:rsidRPr="009D719B">
        <w:t>m</w:t>
      </w:r>
      <w:r w:rsidRPr="009D719B">
        <w:t>snittliga lön</w:t>
      </w:r>
      <w:r w:rsidRPr="009D719B">
        <w:t>e</w:t>
      </w:r>
      <w:r w:rsidRPr="009D719B">
        <w:t xml:space="preserve">sänkningen under året. </w:t>
      </w:r>
    </w:p>
    <w:p w:rsidR="001F14AF" w:rsidRPr="009D719B" w:rsidRDefault="001F14AF">
      <w:pPr>
        <w:pStyle w:val="Rubrik4-Utannumrering"/>
      </w:pPr>
      <w:bookmarkStart w:id="102" w:name="_Toc38080812"/>
      <w:r w:rsidRPr="009D719B">
        <w:t>Löneökning år 2000</w:t>
      </w:r>
      <w:bookmarkEnd w:id="102"/>
    </w:p>
    <w:p w:rsidR="001F14AF" w:rsidRPr="009D719B" w:rsidRDefault="001F14AF">
      <w:r w:rsidRPr="009D719B">
        <w:t>Under år 2000 ökade personalkostnaderna för Försvarsmakten dramatiskt. De höga personalkostnaderna år 2000 ledde till att Försvarsmakten överskred förbandsanslaget med 680 miljoner kr (vilket var 120 miljoner kr över den beviljade anslagskrediten) och att verksamheten inom vissa delar av myndi</w:t>
      </w:r>
      <w:r w:rsidRPr="009D719B">
        <w:t>g</w:t>
      </w:r>
      <w:r w:rsidRPr="009D719B">
        <w:t xml:space="preserve">heten måste minskas. Regeringen kritiserade i budgetpropositionen för 2002 </w:t>
      </w:r>
      <w:r w:rsidRPr="009D719B">
        <w:lastRenderedPageBreak/>
        <w:t>Försvarsmakten för att man inte tillräckligt väl kunnat förutse kostnaderna för de avtal som slutits.</w:t>
      </w:r>
    </w:p>
    <w:p w:rsidR="001F14AF" w:rsidRPr="009D719B" w:rsidRDefault="001F14AF">
      <w:pPr>
        <w:pStyle w:val="Normaltindrag"/>
      </w:pPr>
      <w:r w:rsidRPr="009D719B">
        <w:t>Försvarsmakten menar i sin årsredovisning för 2000 att de höga persona</w:t>
      </w:r>
      <w:r w:rsidRPr="009D719B">
        <w:t>l</w:t>
      </w:r>
      <w:r w:rsidRPr="009D719B">
        <w:t>kostnaderna för året berodde på ovanligt höga utlägg för pensionskostnader och engångsutbetalningar till personal som avgått i förtid. Statistiken över löneutvecklingen visar dock att löneökningen under år 2000 är en viktig förklaringsfaktor för de ökade personalkostnaderna under året. I tabellen nedan kan man utläsa att löneökningarna varit, i jämnförelse med staten som helhet, kraftiga inom alla delar av Försvar</w:t>
      </w:r>
      <w:r w:rsidRPr="009D719B">
        <w:t>s</w:t>
      </w:r>
      <w:r w:rsidRPr="009D719B">
        <w:t>makten.</w:t>
      </w:r>
    </w:p>
    <w:p w:rsidR="001F14AF" w:rsidRPr="009D719B" w:rsidRDefault="001F14AF">
      <w:pPr>
        <w:pStyle w:val="Beskrivning"/>
      </w:pPr>
      <w:r w:rsidRPr="009D719B">
        <w:t xml:space="preserve">Tabell </w:t>
      </w:r>
      <w:r w:rsidRPr="009D719B">
        <w:t>4</w:t>
      </w:r>
      <w:r w:rsidRPr="009D719B">
        <w:t>.</w:t>
      </w:r>
      <w:r w:rsidRPr="009D719B">
        <w:t>3</w:t>
      </w:r>
      <w:r w:rsidRPr="009D719B">
        <w:tab/>
        <w:t>Genomsnittliga löneökningar (månadslön inklusive fasta och rörliga tillägg) år 2000 beräknat som genomsnitt för respektive population som helhet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5"/>
        <w:gridCol w:w="1134"/>
        <w:gridCol w:w="1134"/>
        <w:gridCol w:w="1134"/>
      </w:tblGrid>
      <w:tr w:rsidR="00000000" w:rsidRPr="009D719B">
        <w:tblPrEx>
          <w:tblCellMar>
            <w:top w:w="0" w:type="dxa"/>
            <w:bottom w:w="0" w:type="dxa"/>
          </w:tblCellMar>
        </w:tblPrEx>
        <w:tc>
          <w:tcPr>
            <w:tcW w:w="2665" w:type="dxa"/>
            <w:tcBorders>
              <w:bottom w:val="nil"/>
            </w:tcBorders>
            <w:shd w:val="pct15" w:color="auto" w:fill="FFFFFF"/>
            <w:vAlign w:val="center"/>
          </w:tcPr>
          <w:p w:rsidR="001F14AF" w:rsidRPr="009D719B" w:rsidRDefault="001F14AF">
            <w:pPr>
              <w:pStyle w:val="Tabell"/>
              <w:rPr>
                <w:b/>
              </w:rPr>
            </w:pPr>
          </w:p>
        </w:tc>
        <w:tc>
          <w:tcPr>
            <w:tcW w:w="1134" w:type="dxa"/>
            <w:shd w:val="pct15" w:color="auto" w:fill="FFFFFF"/>
            <w:vAlign w:val="center"/>
          </w:tcPr>
          <w:p w:rsidR="001F14AF" w:rsidRPr="009D719B" w:rsidRDefault="001F14AF">
            <w:pPr>
              <w:pStyle w:val="Tabell"/>
              <w:jc w:val="center"/>
              <w:rPr>
                <w:b/>
              </w:rPr>
            </w:pPr>
            <w:r w:rsidRPr="009D719B">
              <w:rPr>
                <w:b/>
              </w:rPr>
              <w:t>Genomsnit</w:t>
            </w:r>
            <w:r w:rsidRPr="009D719B">
              <w:rPr>
                <w:b/>
              </w:rPr>
              <w:t>t</w:t>
            </w:r>
            <w:r w:rsidRPr="009D719B">
              <w:rPr>
                <w:b/>
              </w:rPr>
              <w:t>lig lön 2000</w:t>
            </w:r>
          </w:p>
        </w:tc>
        <w:tc>
          <w:tcPr>
            <w:tcW w:w="1134" w:type="dxa"/>
            <w:shd w:val="pct15" w:color="auto" w:fill="FFFFFF"/>
            <w:vAlign w:val="center"/>
          </w:tcPr>
          <w:p w:rsidR="001F14AF" w:rsidRPr="009D719B" w:rsidRDefault="001F14AF">
            <w:pPr>
              <w:pStyle w:val="Tabell"/>
              <w:tabs>
                <w:tab w:val="left" w:pos="170"/>
              </w:tabs>
              <w:jc w:val="center"/>
              <w:rPr>
                <w:b/>
              </w:rPr>
            </w:pPr>
            <w:r w:rsidRPr="009D719B">
              <w:rPr>
                <w:b/>
              </w:rPr>
              <w:t>Ökning från 1999 (kr)</w:t>
            </w:r>
          </w:p>
        </w:tc>
        <w:tc>
          <w:tcPr>
            <w:tcW w:w="1134" w:type="dxa"/>
            <w:tcBorders>
              <w:right w:val="single" w:sz="18" w:space="0" w:color="auto"/>
            </w:tcBorders>
            <w:shd w:val="pct15" w:color="auto" w:fill="FFFFFF"/>
            <w:vAlign w:val="center"/>
          </w:tcPr>
          <w:p w:rsidR="001F14AF" w:rsidRPr="009D719B" w:rsidRDefault="001F14AF">
            <w:pPr>
              <w:pStyle w:val="Tabell"/>
              <w:tabs>
                <w:tab w:val="left" w:pos="170"/>
                <w:tab w:val="left" w:pos="676"/>
              </w:tabs>
              <w:jc w:val="center"/>
              <w:rPr>
                <w:b/>
              </w:rPr>
            </w:pPr>
            <w:r w:rsidRPr="009D719B">
              <w:rPr>
                <w:b/>
              </w:rPr>
              <w:t>Ökning i procent</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Statsanställda totalt</w:t>
            </w:r>
          </w:p>
        </w:tc>
        <w:tc>
          <w:tcPr>
            <w:tcW w:w="1134" w:type="dxa"/>
            <w:vAlign w:val="center"/>
          </w:tcPr>
          <w:p w:rsidR="001F14AF" w:rsidRPr="009D719B" w:rsidRDefault="001F14AF">
            <w:pPr>
              <w:pStyle w:val="Tabell"/>
              <w:jc w:val="center"/>
            </w:pPr>
            <w:r w:rsidRPr="009D719B">
              <w:t>21 866</w:t>
            </w:r>
          </w:p>
        </w:tc>
        <w:tc>
          <w:tcPr>
            <w:tcW w:w="1134" w:type="dxa"/>
            <w:vAlign w:val="center"/>
          </w:tcPr>
          <w:p w:rsidR="001F14AF" w:rsidRPr="009D719B" w:rsidRDefault="001F14AF">
            <w:pPr>
              <w:pStyle w:val="Tabell"/>
              <w:tabs>
                <w:tab w:val="left" w:pos="170"/>
              </w:tabs>
              <w:ind w:right="284"/>
              <w:jc w:val="right"/>
            </w:pPr>
            <w:r w:rsidRPr="009D719B">
              <w:t>+ 981</w:t>
            </w:r>
          </w:p>
        </w:tc>
        <w:tc>
          <w:tcPr>
            <w:tcW w:w="1134" w:type="dxa"/>
            <w:tcBorders>
              <w:right w:val="single" w:sz="18" w:space="0" w:color="auto"/>
            </w:tcBorders>
            <w:vAlign w:val="center"/>
          </w:tcPr>
          <w:p w:rsidR="001F14AF" w:rsidRPr="009D719B" w:rsidRDefault="001F14AF">
            <w:pPr>
              <w:pStyle w:val="Tabell"/>
              <w:tabs>
                <w:tab w:val="left" w:pos="170"/>
                <w:tab w:val="left" w:pos="676"/>
              </w:tabs>
              <w:ind w:right="227"/>
              <w:jc w:val="right"/>
            </w:pPr>
            <w:r w:rsidRPr="009D719B">
              <w:t xml:space="preserve">+ 4,7 % </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p>
        </w:tc>
        <w:tc>
          <w:tcPr>
            <w:tcW w:w="1134" w:type="dxa"/>
            <w:vAlign w:val="center"/>
          </w:tcPr>
          <w:p w:rsidR="001F14AF" w:rsidRPr="009D719B" w:rsidRDefault="001F14AF">
            <w:pPr>
              <w:pStyle w:val="Tabell"/>
              <w:jc w:val="center"/>
            </w:pPr>
          </w:p>
        </w:tc>
        <w:tc>
          <w:tcPr>
            <w:tcW w:w="1134" w:type="dxa"/>
            <w:vAlign w:val="center"/>
          </w:tcPr>
          <w:p w:rsidR="001F14AF" w:rsidRPr="009D719B" w:rsidRDefault="001F14AF">
            <w:pPr>
              <w:pStyle w:val="Tabell"/>
              <w:tabs>
                <w:tab w:val="left" w:pos="170"/>
              </w:tabs>
              <w:ind w:right="284"/>
              <w:jc w:val="right"/>
            </w:pPr>
          </w:p>
        </w:tc>
        <w:tc>
          <w:tcPr>
            <w:tcW w:w="1134" w:type="dxa"/>
            <w:tcBorders>
              <w:right w:val="single" w:sz="18" w:space="0" w:color="auto"/>
            </w:tcBorders>
            <w:vAlign w:val="center"/>
          </w:tcPr>
          <w:p w:rsidR="001F14AF" w:rsidRPr="009D719B" w:rsidRDefault="001F14AF">
            <w:pPr>
              <w:pStyle w:val="Tabell"/>
              <w:tabs>
                <w:tab w:val="left" w:pos="29"/>
                <w:tab w:val="left" w:pos="170"/>
              </w:tabs>
              <w:ind w:right="227"/>
              <w:jc w:val="right"/>
            </w:pP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 xml:space="preserve">Yrkesofficerare </w:t>
            </w:r>
          </w:p>
        </w:tc>
        <w:tc>
          <w:tcPr>
            <w:tcW w:w="1134" w:type="dxa"/>
            <w:vAlign w:val="center"/>
          </w:tcPr>
          <w:p w:rsidR="001F14AF" w:rsidRPr="009D719B" w:rsidRDefault="001F14AF">
            <w:pPr>
              <w:pStyle w:val="Tabell"/>
              <w:jc w:val="center"/>
            </w:pPr>
            <w:r w:rsidRPr="009D719B">
              <w:t>25 665</w:t>
            </w:r>
          </w:p>
        </w:tc>
        <w:tc>
          <w:tcPr>
            <w:tcW w:w="1134" w:type="dxa"/>
            <w:vAlign w:val="center"/>
          </w:tcPr>
          <w:p w:rsidR="001F14AF" w:rsidRPr="009D719B" w:rsidRDefault="001F14AF">
            <w:pPr>
              <w:pStyle w:val="Tabell"/>
              <w:tabs>
                <w:tab w:val="left" w:pos="170"/>
              </w:tabs>
              <w:ind w:right="284"/>
              <w:jc w:val="right"/>
            </w:pPr>
            <w:r w:rsidRPr="009D719B">
              <w:t>+ 2 037</w:t>
            </w:r>
          </w:p>
        </w:tc>
        <w:tc>
          <w:tcPr>
            <w:tcW w:w="1134" w:type="dxa"/>
            <w:tcBorders>
              <w:right w:val="single" w:sz="18" w:space="0" w:color="auto"/>
            </w:tcBorders>
            <w:vAlign w:val="center"/>
          </w:tcPr>
          <w:p w:rsidR="001F14AF" w:rsidRPr="009D719B" w:rsidRDefault="001F14AF">
            <w:pPr>
              <w:pStyle w:val="Tabell"/>
              <w:tabs>
                <w:tab w:val="left" w:pos="29"/>
                <w:tab w:val="left" w:pos="170"/>
              </w:tabs>
              <w:ind w:right="227"/>
              <w:jc w:val="right"/>
            </w:pPr>
            <w:r w:rsidRPr="009D719B">
              <w:tab/>
              <w:t xml:space="preserve">+ 8,6 % </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Civilanställda i Försvar</w:t>
            </w:r>
            <w:r w:rsidRPr="009D719B">
              <w:rPr>
                <w:b/>
              </w:rPr>
              <w:t>s</w:t>
            </w:r>
            <w:r w:rsidRPr="009D719B">
              <w:rPr>
                <w:b/>
              </w:rPr>
              <w:t>makten</w:t>
            </w:r>
          </w:p>
        </w:tc>
        <w:tc>
          <w:tcPr>
            <w:tcW w:w="1134" w:type="dxa"/>
            <w:vAlign w:val="center"/>
          </w:tcPr>
          <w:p w:rsidR="001F14AF" w:rsidRPr="009D719B" w:rsidRDefault="001F14AF">
            <w:pPr>
              <w:pStyle w:val="Tabell"/>
              <w:jc w:val="center"/>
            </w:pPr>
            <w:r w:rsidRPr="009D719B">
              <w:t>18 587</w:t>
            </w:r>
          </w:p>
        </w:tc>
        <w:tc>
          <w:tcPr>
            <w:tcW w:w="1134" w:type="dxa"/>
            <w:vAlign w:val="center"/>
          </w:tcPr>
          <w:p w:rsidR="001F14AF" w:rsidRPr="009D719B" w:rsidRDefault="001F14AF">
            <w:pPr>
              <w:pStyle w:val="Tabell"/>
              <w:tabs>
                <w:tab w:val="left" w:pos="170"/>
              </w:tabs>
              <w:ind w:right="284"/>
              <w:jc w:val="right"/>
            </w:pPr>
            <w:r w:rsidRPr="009D719B">
              <w:t>+ 1 271</w:t>
            </w:r>
          </w:p>
        </w:tc>
        <w:tc>
          <w:tcPr>
            <w:tcW w:w="1134" w:type="dxa"/>
            <w:tcBorders>
              <w:right w:val="single" w:sz="18" w:space="0" w:color="auto"/>
            </w:tcBorders>
            <w:vAlign w:val="center"/>
          </w:tcPr>
          <w:p w:rsidR="001F14AF" w:rsidRPr="009D719B" w:rsidRDefault="001F14AF">
            <w:pPr>
              <w:pStyle w:val="Tabell"/>
              <w:tabs>
                <w:tab w:val="left" w:pos="170"/>
                <w:tab w:val="left" w:pos="676"/>
              </w:tabs>
              <w:ind w:right="227"/>
              <w:jc w:val="right"/>
            </w:pPr>
            <w:r w:rsidRPr="009D719B">
              <w:t xml:space="preserve">+ 7,3 % </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p>
        </w:tc>
        <w:tc>
          <w:tcPr>
            <w:tcW w:w="1134" w:type="dxa"/>
            <w:vAlign w:val="center"/>
          </w:tcPr>
          <w:p w:rsidR="001F14AF" w:rsidRPr="009D719B" w:rsidRDefault="001F14AF">
            <w:pPr>
              <w:pStyle w:val="Tabell"/>
              <w:jc w:val="center"/>
            </w:pPr>
          </w:p>
        </w:tc>
        <w:tc>
          <w:tcPr>
            <w:tcW w:w="1134" w:type="dxa"/>
            <w:vAlign w:val="center"/>
          </w:tcPr>
          <w:p w:rsidR="001F14AF" w:rsidRPr="009D719B" w:rsidRDefault="001F14AF">
            <w:pPr>
              <w:pStyle w:val="Tabell"/>
              <w:tabs>
                <w:tab w:val="left" w:pos="170"/>
              </w:tabs>
              <w:ind w:right="284"/>
              <w:jc w:val="right"/>
            </w:pPr>
          </w:p>
        </w:tc>
        <w:tc>
          <w:tcPr>
            <w:tcW w:w="1134" w:type="dxa"/>
            <w:tcBorders>
              <w:right w:val="single" w:sz="18" w:space="0" w:color="auto"/>
            </w:tcBorders>
            <w:vAlign w:val="center"/>
          </w:tcPr>
          <w:p w:rsidR="001F14AF" w:rsidRPr="009D719B" w:rsidRDefault="001F14AF">
            <w:pPr>
              <w:pStyle w:val="Tabell"/>
              <w:tabs>
                <w:tab w:val="left" w:pos="170"/>
                <w:tab w:val="left" w:pos="676"/>
              </w:tabs>
              <w:ind w:right="227"/>
              <w:jc w:val="right"/>
            </w:pP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Armén</w:t>
            </w:r>
          </w:p>
        </w:tc>
        <w:tc>
          <w:tcPr>
            <w:tcW w:w="1134" w:type="dxa"/>
            <w:vAlign w:val="center"/>
          </w:tcPr>
          <w:p w:rsidR="001F14AF" w:rsidRPr="009D719B" w:rsidRDefault="001F14AF">
            <w:pPr>
              <w:pStyle w:val="Tabell"/>
              <w:jc w:val="center"/>
            </w:pPr>
            <w:r w:rsidRPr="009D719B">
              <w:t>22 705</w:t>
            </w:r>
          </w:p>
        </w:tc>
        <w:tc>
          <w:tcPr>
            <w:tcW w:w="1134" w:type="dxa"/>
            <w:vAlign w:val="center"/>
          </w:tcPr>
          <w:p w:rsidR="001F14AF" w:rsidRPr="009D719B" w:rsidRDefault="001F14AF">
            <w:pPr>
              <w:pStyle w:val="Tabell"/>
              <w:tabs>
                <w:tab w:val="left" w:pos="170"/>
              </w:tabs>
              <w:ind w:right="284"/>
              <w:jc w:val="right"/>
            </w:pPr>
            <w:r w:rsidRPr="009D719B">
              <w:t>+ 1 522</w:t>
            </w:r>
          </w:p>
        </w:tc>
        <w:tc>
          <w:tcPr>
            <w:tcW w:w="1134" w:type="dxa"/>
            <w:tcBorders>
              <w:right w:val="single" w:sz="18" w:space="0" w:color="auto"/>
            </w:tcBorders>
            <w:vAlign w:val="center"/>
          </w:tcPr>
          <w:p w:rsidR="001F14AF" w:rsidRPr="009D719B" w:rsidRDefault="001F14AF">
            <w:pPr>
              <w:pStyle w:val="Tabell"/>
              <w:tabs>
                <w:tab w:val="left" w:pos="170"/>
                <w:tab w:val="left" w:pos="676"/>
              </w:tabs>
              <w:ind w:right="227"/>
              <w:jc w:val="right"/>
            </w:pPr>
            <w:r w:rsidRPr="009D719B">
              <w:t xml:space="preserve">+ 7,2 % </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Flygvapnet</w:t>
            </w:r>
          </w:p>
        </w:tc>
        <w:tc>
          <w:tcPr>
            <w:tcW w:w="1134" w:type="dxa"/>
            <w:vAlign w:val="center"/>
          </w:tcPr>
          <w:p w:rsidR="001F14AF" w:rsidRPr="009D719B" w:rsidRDefault="001F14AF">
            <w:pPr>
              <w:pStyle w:val="Tabell"/>
              <w:jc w:val="center"/>
            </w:pPr>
            <w:r w:rsidRPr="009D719B">
              <w:t>27 419</w:t>
            </w:r>
          </w:p>
        </w:tc>
        <w:tc>
          <w:tcPr>
            <w:tcW w:w="1134" w:type="dxa"/>
            <w:vAlign w:val="center"/>
          </w:tcPr>
          <w:p w:rsidR="001F14AF" w:rsidRPr="009D719B" w:rsidRDefault="001F14AF">
            <w:pPr>
              <w:pStyle w:val="Tabell"/>
              <w:tabs>
                <w:tab w:val="left" w:pos="170"/>
              </w:tabs>
              <w:ind w:right="284"/>
              <w:jc w:val="right"/>
            </w:pPr>
            <w:r w:rsidRPr="009D719B">
              <w:t>+ 2 635</w:t>
            </w:r>
          </w:p>
        </w:tc>
        <w:tc>
          <w:tcPr>
            <w:tcW w:w="1134" w:type="dxa"/>
            <w:tcBorders>
              <w:right w:val="single" w:sz="18" w:space="0" w:color="auto"/>
            </w:tcBorders>
            <w:vAlign w:val="center"/>
          </w:tcPr>
          <w:p w:rsidR="001F14AF" w:rsidRPr="009D719B" w:rsidRDefault="001F14AF">
            <w:pPr>
              <w:pStyle w:val="Tabell"/>
              <w:tabs>
                <w:tab w:val="left" w:pos="170"/>
                <w:tab w:val="left" w:pos="676"/>
              </w:tabs>
              <w:ind w:right="227"/>
              <w:jc w:val="right"/>
            </w:pPr>
            <w:r w:rsidRPr="009D719B">
              <w:t>+ 10,6 %</w:t>
            </w:r>
          </w:p>
        </w:tc>
      </w:tr>
      <w:tr w:rsidR="00000000" w:rsidRPr="009D719B">
        <w:tblPrEx>
          <w:tblCellMar>
            <w:top w:w="0" w:type="dxa"/>
            <w:bottom w:w="0" w:type="dxa"/>
          </w:tblCellMar>
        </w:tblPrEx>
        <w:trPr>
          <w:trHeight w:val="240"/>
        </w:trPr>
        <w:tc>
          <w:tcPr>
            <w:tcW w:w="2665" w:type="dxa"/>
            <w:tcBorders>
              <w:top w:val="nil"/>
              <w:bottom w:val="nil"/>
            </w:tcBorders>
            <w:shd w:val="pct15" w:color="auto" w:fill="FFFFFF"/>
            <w:vAlign w:val="center"/>
          </w:tcPr>
          <w:p w:rsidR="001F14AF" w:rsidRPr="009D719B" w:rsidRDefault="001F14AF">
            <w:pPr>
              <w:pStyle w:val="Tabell"/>
              <w:rPr>
                <w:b/>
              </w:rPr>
            </w:pPr>
            <w:r w:rsidRPr="009D719B">
              <w:rPr>
                <w:b/>
              </w:rPr>
              <w:t>Marinen</w:t>
            </w:r>
          </w:p>
        </w:tc>
        <w:tc>
          <w:tcPr>
            <w:tcW w:w="1134" w:type="dxa"/>
            <w:tcBorders>
              <w:bottom w:val="single" w:sz="4" w:space="0" w:color="auto"/>
            </w:tcBorders>
            <w:vAlign w:val="center"/>
          </w:tcPr>
          <w:p w:rsidR="001F14AF" w:rsidRPr="009D719B" w:rsidRDefault="001F14AF">
            <w:pPr>
              <w:pStyle w:val="Tabell"/>
              <w:jc w:val="center"/>
            </w:pPr>
            <w:r w:rsidRPr="009D719B">
              <w:t>26 507</w:t>
            </w:r>
          </w:p>
        </w:tc>
        <w:tc>
          <w:tcPr>
            <w:tcW w:w="1134" w:type="dxa"/>
            <w:tcBorders>
              <w:bottom w:val="single" w:sz="4" w:space="0" w:color="auto"/>
            </w:tcBorders>
            <w:vAlign w:val="center"/>
          </w:tcPr>
          <w:p w:rsidR="001F14AF" w:rsidRPr="009D719B" w:rsidRDefault="001F14AF">
            <w:pPr>
              <w:pStyle w:val="Tabell"/>
              <w:tabs>
                <w:tab w:val="left" w:pos="170"/>
              </w:tabs>
              <w:ind w:right="284"/>
              <w:jc w:val="right"/>
            </w:pPr>
            <w:r w:rsidRPr="009D719B">
              <w:t>+ 1 681</w:t>
            </w:r>
          </w:p>
        </w:tc>
        <w:tc>
          <w:tcPr>
            <w:tcW w:w="1134" w:type="dxa"/>
            <w:tcBorders>
              <w:bottom w:val="single" w:sz="4" w:space="0" w:color="auto"/>
              <w:right w:val="single" w:sz="18" w:space="0" w:color="auto"/>
            </w:tcBorders>
            <w:vAlign w:val="center"/>
          </w:tcPr>
          <w:p w:rsidR="001F14AF" w:rsidRPr="009D719B" w:rsidRDefault="001F14AF">
            <w:pPr>
              <w:pStyle w:val="Tabell"/>
              <w:tabs>
                <w:tab w:val="left" w:pos="170"/>
                <w:tab w:val="left" w:pos="676"/>
              </w:tabs>
              <w:ind w:right="227"/>
              <w:jc w:val="right"/>
            </w:pPr>
            <w:r w:rsidRPr="009D719B">
              <w:t>+ 6,8 %</w:t>
            </w:r>
          </w:p>
        </w:tc>
      </w:tr>
      <w:tr w:rsidR="00000000" w:rsidRPr="009D719B">
        <w:tblPrEx>
          <w:tblCellMar>
            <w:top w:w="0" w:type="dxa"/>
            <w:bottom w:w="0" w:type="dxa"/>
          </w:tblCellMar>
        </w:tblPrEx>
        <w:trPr>
          <w:trHeight w:val="240"/>
        </w:trPr>
        <w:tc>
          <w:tcPr>
            <w:tcW w:w="2665" w:type="dxa"/>
            <w:tcBorders>
              <w:top w:val="nil"/>
              <w:bottom w:val="single" w:sz="18" w:space="0" w:color="auto"/>
            </w:tcBorders>
            <w:shd w:val="pct15" w:color="auto" w:fill="FFFFFF"/>
            <w:vAlign w:val="center"/>
          </w:tcPr>
          <w:p w:rsidR="001F14AF" w:rsidRPr="009D719B" w:rsidRDefault="001F14AF">
            <w:pPr>
              <w:pStyle w:val="Tabell"/>
              <w:rPr>
                <w:b/>
              </w:rPr>
            </w:pPr>
            <w:r w:rsidRPr="009D719B">
              <w:rPr>
                <w:b/>
              </w:rPr>
              <w:t>Ledning</w:t>
            </w:r>
          </w:p>
        </w:tc>
        <w:tc>
          <w:tcPr>
            <w:tcW w:w="1134" w:type="dxa"/>
            <w:tcBorders>
              <w:bottom w:val="single" w:sz="18" w:space="0" w:color="auto"/>
            </w:tcBorders>
            <w:vAlign w:val="center"/>
          </w:tcPr>
          <w:p w:rsidR="001F14AF" w:rsidRPr="009D719B" w:rsidRDefault="001F14AF">
            <w:pPr>
              <w:pStyle w:val="Tabell"/>
              <w:jc w:val="center"/>
            </w:pPr>
            <w:r w:rsidRPr="009D719B">
              <w:t>30 738</w:t>
            </w:r>
          </w:p>
        </w:tc>
        <w:tc>
          <w:tcPr>
            <w:tcW w:w="1134" w:type="dxa"/>
            <w:tcBorders>
              <w:bottom w:val="single" w:sz="18" w:space="0" w:color="auto"/>
            </w:tcBorders>
            <w:vAlign w:val="center"/>
          </w:tcPr>
          <w:p w:rsidR="001F14AF" w:rsidRPr="009D719B" w:rsidRDefault="001F14AF">
            <w:pPr>
              <w:pStyle w:val="Tabell"/>
              <w:tabs>
                <w:tab w:val="left" w:pos="170"/>
              </w:tabs>
              <w:ind w:right="284"/>
              <w:jc w:val="right"/>
            </w:pPr>
            <w:r w:rsidRPr="009D719B">
              <w:t>+ 1 590</w:t>
            </w:r>
          </w:p>
        </w:tc>
        <w:tc>
          <w:tcPr>
            <w:tcW w:w="1134" w:type="dxa"/>
            <w:tcBorders>
              <w:bottom w:val="single" w:sz="18" w:space="0" w:color="auto"/>
              <w:right w:val="single" w:sz="18" w:space="0" w:color="auto"/>
            </w:tcBorders>
            <w:vAlign w:val="center"/>
          </w:tcPr>
          <w:p w:rsidR="001F14AF" w:rsidRPr="009D719B" w:rsidRDefault="001F14AF">
            <w:pPr>
              <w:pStyle w:val="Tabell"/>
              <w:tabs>
                <w:tab w:val="left" w:pos="170"/>
                <w:tab w:val="left" w:pos="676"/>
              </w:tabs>
              <w:ind w:right="227"/>
              <w:jc w:val="right"/>
            </w:pPr>
            <w:r w:rsidRPr="009D719B">
              <w:t>+ 5,5 %</w:t>
            </w:r>
          </w:p>
        </w:tc>
      </w:tr>
    </w:tbl>
    <w:p w:rsidR="001F14AF" w:rsidRPr="009D719B" w:rsidRDefault="001F14AF">
      <w:pPr>
        <w:pStyle w:val="Tabell"/>
      </w:pPr>
      <w:r w:rsidRPr="009D719B">
        <w:t>Källa: SCB</w:t>
      </w:r>
    </w:p>
    <w:p w:rsidR="001F14AF" w:rsidRPr="009D719B" w:rsidRDefault="001F14AF">
      <w:r w:rsidRPr="009D719B">
        <w:t>Även lönetilläggen för yrkesofficerare ökade under perioden med i geno</w:t>
      </w:r>
      <w:r w:rsidRPr="009D719B">
        <w:t>m</w:t>
      </w:r>
      <w:r w:rsidRPr="009D719B">
        <w:t>snitt 156 kr (en ökning med 9 %). Sett till den långsiktiga trenden för lön</w:t>
      </w:r>
      <w:r w:rsidRPr="009D719B">
        <w:t>e</w:t>
      </w:r>
      <w:r w:rsidRPr="009D719B">
        <w:t xml:space="preserve">tilläggen var denna ökning dock inte extrem. </w:t>
      </w:r>
    </w:p>
    <w:p w:rsidR="001F14AF" w:rsidRPr="009D719B" w:rsidRDefault="001F14AF">
      <w:pPr>
        <w:pStyle w:val="Normaltindrag"/>
      </w:pPr>
      <w:r w:rsidRPr="009D719B">
        <w:t>Om löneökningen beräknas med metoden för identiska individer uppstår samma trend i materialet. Ökningarna är dock några tiondels procentenheter högre om lönenivåerna beräknas med metoden för identiska indiv</w:t>
      </w:r>
      <w:r w:rsidRPr="009D719B">
        <w:t>i</w:t>
      </w:r>
      <w:r w:rsidRPr="009D719B">
        <w:t>der.</w:t>
      </w:r>
    </w:p>
    <w:p w:rsidR="001F14AF" w:rsidRPr="009D719B" w:rsidRDefault="001F14AF">
      <w:pPr>
        <w:pStyle w:val="Normaltindrag"/>
      </w:pPr>
      <w:r w:rsidRPr="009D719B">
        <w:t>De kraftiga ökningarna inom flygvapnet kan delvis förklaras med det nya löneavtalet för flygförare (ALFF) som började tillä</w:t>
      </w:r>
      <w:r w:rsidRPr="009D719B">
        <w:t>m</w:t>
      </w:r>
      <w:r w:rsidRPr="009D719B">
        <w:t xml:space="preserve">pas år 2000. </w:t>
      </w:r>
    </w:p>
    <w:p w:rsidR="001F14AF" w:rsidRPr="009D719B" w:rsidRDefault="001F14AF">
      <w:pPr>
        <w:pStyle w:val="Rubrik4-Utannumrering"/>
      </w:pPr>
      <w:bookmarkStart w:id="103" w:name="_Toc38080813"/>
      <w:r w:rsidRPr="009D719B">
        <w:t>Samband med omorganisationerna inom försvaret</w:t>
      </w:r>
      <w:bookmarkEnd w:id="103"/>
    </w:p>
    <w:p w:rsidR="001F14AF" w:rsidRPr="009D719B" w:rsidRDefault="001F14AF">
      <w:r w:rsidRPr="009D719B">
        <w:t>De två avvikelserna i lönestatistiken som inträffar under 1998 och 2000 är principiellt intressanta. Dessa två avvikelser sammanfaller med de två stora omstruktureringsperioderna inom Försvarsmakten (se kapitel 2 ovan). Rik</w:t>
      </w:r>
      <w:r w:rsidRPr="009D719B">
        <w:t>s</w:t>
      </w:r>
      <w:r w:rsidRPr="009D719B">
        <w:t>dagen beslutade 1996 och 1999 om omfattande nedläggningar av förband vilka genomfördes under 1997/98 respektive 2000/01. Den intressanta frågan är varför omstruktureringen 1997/98 resulterade i oförändrade respektive sänkta löner, medan omstruktureringen 2000/01 resulterade i kraftigt ökade löner inom alla delar av Försvarsmakten. Vad skilde de olika perioderna åt och vad inom Försvarsmakten skiljer sig me</w:t>
      </w:r>
      <w:r w:rsidRPr="009D719B">
        <w:t>l</w:t>
      </w:r>
      <w:r w:rsidRPr="009D719B">
        <w:t xml:space="preserve">lan de två tidpunkterna? </w:t>
      </w:r>
    </w:p>
    <w:p w:rsidR="001F14AF" w:rsidRPr="009D719B" w:rsidRDefault="001F14AF">
      <w:pPr>
        <w:pStyle w:val="Normaltindrag"/>
      </w:pPr>
      <w:r w:rsidRPr="009D719B">
        <w:t>Sett utifrån de stora omstruktureringarna inom Försvarsmakten är löneö</w:t>
      </w:r>
      <w:r w:rsidRPr="009D719B">
        <w:t>k</w:t>
      </w:r>
      <w:r w:rsidRPr="009D719B">
        <w:t xml:space="preserve">ningen under år 2000 lättast att förklara. Nedläggningarna under år 2000 var </w:t>
      </w:r>
      <w:r w:rsidRPr="009D719B">
        <w:lastRenderedPageBreak/>
        <w:t>omfattande. Detta visar sig inte minst i utvecklingen av antalet anställda. Neddragningarna upplevdes som mycket smärtsamma inom Försvarsmakten. Chefer för nedläggningshotade förband frestades att dela ut generella lön</w:t>
      </w:r>
      <w:r w:rsidRPr="009D719B">
        <w:t>e</w:t>
      </w:r>
      <w:r w:rsidRPr="009D719B">
        <w:t>ökningar till sin personal och omstruktureringarna innebar många tillfällen till befattningsbyten för de anställda, med den där tillhörande lönerevisionen. Mot denna bakgrund blir frågan inte så mycket varför de gen</w:t>
      </w:r>
      <w:r w:rsidRPr="009D719B">
        <w:t xml:space="preserve">omsnittliga månadslönerna ökade under år 2000, utan varför de inte ökade under 1998. </w:t>
      </w:r>
    </w:p>
    <w:p w:rsidR="001F14AF" w:rsidRPr="009D719B" w:rsidRDefault="001F14AF">
      <w:pPr>
        <w:pStyle w:val="Rubrik1"/>
      </w:pPr>
      <w:r w:rsidRPr="009D719B">
        <w:br w:type="page"/>
      </w:r>
      <w:bookmarkStart w:id="104" w:name="_Toc32301654"/>
      <w:bookmarkStart w:id="105" w:name="_Toc38080814"/>
      <w:bookmarkStart w:id="106" w:name="_Toc38103356"/>
      <w:r w:rsidRPr="009D719B">
        <w:lastRenderedPageBreak/>
        <w:t>Försvarsmaktens styrning</w:t>
      </w:r>
      <w:bookmarkEnd w:id="104"/>
      <w:bookmarkEnd w:id="105"/>
      <w:bookmarkEnd w:id="106"/>
    </w:p>
    <w:p w:rsidR="001F14AF" w:rsidRPr="009D719B" w:rsidRDefault="001F14AF">
      <w:bookmarkStart w:id="107" w:name="_Toc20118222"/>
      <w:r w:rsidRPr="009D719B">
        <w:t>Försvarsmakten styr lönebildningen vid organisationsenheterna på olika sätt. För det första utövar Högkvarteret en direkt styrning genom dimensionerin</w:t>
      </w:r>
      <w:r w:rsidRPr="009D719B">
        <w:t>g</w:t>
      </w:r>
      <w:r w:rsidRPr="009D719B">
        <w:t xml:space="preserve">en av förbandens ekonomi samt genom de olika reglerna för lönebildningen (uttryckta i Försvarsmaktens lönepolicy). </w:t>
      </w:r>
      <w:bookmarkEnd w:id="107"/>
      <w:r w:rsidRPr="009D719B">
        <w:t>Den ekonomiska styrningen av förbanden hanteras av grundorganisationsledningen (GRO) inom Högkvart</w:t>
      </w:r>
      <w:r w:rsidRPr="009D719B">
        <w:t>e</w:t>
      </w:r>
      <w:r w:rsidRPr="009D719B">
        <w:t>ret medan regler för lönebildningen uta</w:t>
      </w:r>
      <w:r w:rsidRPr="009D719B">
        <w:t>r</w:t>
      </w:r>
      <w:r w:rsidRPr="009D719B">
        <w:t xml:space="preserve">betas av personalstaben. </w:t>
      </w:r>
    </w:p>
    <w:p w:rsidR="001F14AF" w:rsidRPr="009D719B" w:rsidRDefault="001F14AF">
      <w:pPr>
        <w:pStyle w:val="Normaltindrag"/>
      </w:pPr>
      <w:r w:rsidRPr="009D719B">
        <w:t xml:space="preserve">För det andra utövar Högkvarteret också styrning via de avtal som sluts med de fackliga organisationerna på försvarsmaktsnivå. Denna styrning behandlas i nästa kapitel. </w:t>
      </w:r>
    </w:p>
    <w:p w:rsidR="001F14AF" w:rsidRPr="009D719B" w:rsidRDefault="001F14AF">
      <w:pPr>
        <w:pStyle w:val="Rubrik2"/>
      </w:pPr>
      <w:bookmarkStart w:id="108" w:name="_Toc32301655"/>
      <w:bookmarkStart w:id="109" w:name="_Toc38080815"/>
      <w:bookmarkStart w:id="110" w:name="_Toc38103357"/>
      <w:r w:rsidRPr="009D719B">
        <w:t>Styrningen av förbandens ekonomi</w:t>
      </w:r>
      <w:bookmarkEnd w:id="108"/>
      <w:bookmarkEnd w:id="109"/>
      <w:bookmarkEnd w:id="110"/>
    </w:p>
    <w:p w:rsidR="001F14AF" w:rsidRPr="009D719B" w:rsidRDefault="001F14AF">
      <w:r w:rsidRPr="009D719B">
        <w:t>Verksamheten vid Försvarsmaktens 65 olika förband, skolor och centrum styrs genom Högkvarterets verksamhetsuppdrag. Dessa uppdrag definierar på så sätt den ekonomiska ramen för organisationsenheten. Verksamhetsup</w:t>
      </w:r>
      <w:r w:rsidRPr="009D719B">
        <w:t>p</w:t>
      </w:r>
      <w:r w:rsidRPr="009D719B">
        <w:t>dragen består av uppgifter som ska utföras, mål som ska uppfyllas, resurser som disponeras, krav på resultatredovisning och i vissa fall handlingsregler som styr g</w:t>
      </w:r>
      <w:r w:rsidRPr="009D719B">
        <w:t>e</w:t>
      </w:r>
      <w:r w:rsidRPr="009D719B">
        <w:t xml:space="preserve">nomförandet. </w:t>
      </w:r>
    </w:p>
    <w:p w:rsidR="001F14AF" w:rsidRPr="009D719B" w:rsidRDefault="001F14AF">
      <w:pPr>
        <w:pStyle w:val="Normaltindrag"/>
      </w:pPr>
      <w:r w:rsidRPr="009D719B">
        <w:t>Verksamheten och resurserna vid ett förband är således knutna till olika uppdrag, men förbandschefen har möjlighet att föra över resurser från ett uppdrag till ett annat, så länge inte målen för uppdragen ändras. En omfö</w:t>
      </w:r>
      <w:r w:rsidRPr="009D719B">
        <w:t>r</w:t>
      </w:r>
      <w:r w:rsidRPr="009D719B">
        <w:t>delning av resurser mellan olika uppdrag ska anmälas till Högkvarteret. Alla uppdrag ska genomföras och en ambitionssänkning eller ändring av målen kan endast beslutas av Högkvarteret, men förbandschefen kan i praktiken själv avgöra hur mycket resurser som ska läggas på respektive uppdrag. Det är inte tillåtet att föra över medel mellan olika uppdrag för att täcka lön</w:t>
      </w:r>
      <w:r w:rsidRPr="009D719B">
        <w:t>e</w:t>
      </w:r>
      <w:r w:rsidRPr="009D719B">
        <w:t>kostnader.</w:t>
      </w:r>
    </w:p>
    <w:p w:rsidR="001F14AF" w:rsidRPr="009D719B" w:rsidRDefault="001F14AF">
      <w:pPr>
        <w:pStyle w:val="Normaltindrag"/>
      </w:pPr>
      <w:r w:rsidRPr="009D719B">
        <w:t>Genom verksamhetsuppdragen till förbanden har chefen för grundorgan</w:t>
      </w:r>
      <w:r w:rsidRPr="009D719B">
        <w:t>i</w:t>
      </w:r>
      <w:r w:rsidRPr="009D719B">
        <w:t>sationsledningen (GRO) beslutat att löneförändringarna vid förbanden utöver RALS under året inte får överstiga 0,8 % av förbandens totala lönekostnad (beräknad i januari varje år). Vid Högkvarterets personalstab menar man att utrymmet bör beräknas så att de genomsnittliga lönerna i december under ett år inte ska överstiga de genomsnittliga lönerna i januari samma år med mer än 0,8 % utöver RALS. Detta är det råd man ger förbanden. Det finns enligt personalstaben inget exakt beräkningssätt för utrymmet. Grä</w:t>
      </w:r>
      <w:r w:rsidRPr="009D719B">
        <w:t>nsen på 0,8 % är en nyhet fr.o.m. år 2002 och ska enligt personalstaben snarast ses som en vägledning till förbanden. Det viktiga är att förbanden har en lönebildning som gynnar verksa</w:t>
      </w:r>
      <w:r w:rsidRPr="009D719B">
        <w:t>m</w:t>
      </w:r>
      <w:r w:rsidRPr="009D719B">
        <w:t>heten.</w:t>
      </w:r>
    </w:p>
    <w:p w:rsidR="001F14AF" w:rsidRPr="009D719B" w:rsidRDefault="001F14AF">
      <w:pPr>
        <w:pStyle w:val="Normaltindrag"/>
      </w:pPr>
      <w:r w:rsidRPr="009D719B">
        <w:t xml:space="preserve">Vid kontakterna med förbanden har det framkommit olika bilder av hur gränsen på 0,8 % tolkas i praktiken. Från vissa förband ses gränsen som ett utrymme, dvs. en möjlighet att höja lönerna, utöver nivåerna i RALS, för att påverka lönestrukturen vid förbandet i önskvärd riktning. Vissa förband tolkar gränsen enbart som </w:t>
      </w:r>
      <w:r w:rsidRPr="009D719B">
        <w:t xml:space="preserve">en rekommendation från Högkvarteret, medan andra ser gränsen som en begränsning av löneökningsutrymmet. </w:t>
      </w:r>
    </w:p>
    <w:p w:rsidR="001F14AF" w:rsidRPr="009D719B" w:rsidRDefault="001F14AF">
      <w:pPr>
        <w:pStyle w:val="Rubrik2"/>
      </w:pPr>
      <w:bookmarkStart w:id="111" w:name="_Toc32301656"/>
      <w:bookmarkStart w:id="112" w:name="_Toc38080816"/>
      <w:bookmarkStart w:id="113" w:name="_Toc38103358"/>
      <w:r w:rsidRPr="009D719B">
        <w:lastRenderedPageBreak/>
        <w:t>Försvarsmaktens lönepolicy</w:t>
      </w:r>
      <w:bookmarkEnd w:id="111"/>
      <w:bookmarkEnd w:id="112"/>
      <w:bookmarkEnd w:id="113"/>
    </w:p>
    <w:p w:rsidR="001F14AF" w:rsidRPr="009D719B" w:rsidRDefault="001F14AF">
      <w:r w:rsidRPr="009D719B">
        <w:t>Vid Högkvarterets personalstab tar man fram bestämmelser för lönebildnin</w:t>
      </w:r>
      <w:r w:rsidRPr="009D719B">
        <w:t>g</w:t>
      </w:r>
      <w:r w:rsidRPr="009D719B">
        <w:t>en inom Försvarsmakten. Detta görs om möjligt i samverkan med de olika arbetstagarorganisationerna. Försvarsmakten har centralt tagit fram en lön</w:t>
      </w:r>
      <w:r w:rsidRPr="009D719B">
        <w:t>e</w:t>
      </w:r>
      <w:r w:rsidRPr="009D719B">
        <w:t>policy som ska vara styrande för lönebildningen vid de olika organisation</w:t>
      </w:r>
      <w:r w:rsidRPr="009D719B">
        <w:t>s</w:t>
      </w:r>
      <w:r w:rsidRPr="009D719B">
        <w:t>enheterna. Lönesättning ska enligt Försvarsmaktens lönepolicy endast för</w:t>
      </w:r>
      <w:r w:rsidRPr="009D719B">
        <w:t>e</w:t>
      </w:r>
      <w:r w:rsidRPr="009D719B">
        <w:t>komma vid tre tillfällen: vid lönerevision enligt RALS, vid byte av befat</w:t>
      </w:r>
      <w:r w:rsidRPr="009D719B">
        <w:t>t</w:t>
      </w:r>
      <w:r w:rsidRPr="009D719B">
        <w:t>ning och vid</w:t>
      </w:r>
      <w:bookmarkStart w:id="114" w:name="_Toc17602003"/>
      <w:r w:rsidRPr="009D719B">
        <w:t xml:space="preserve"> nyanställning. Lönen ska sedan grundas på befattningens sv</w:t>
      </w:r>
      <w:r w:rsidRPr="009D719B">
        <w:t>å</w:t>
      </w:r>
      <w:r w:rsidRPr="009D719B">
        <w:t>righet, individens prestationer och marknadens påverkan. Detta innebär a</w:t>
      </w:r>
      <w:r w:rsidRPr="009D719B">
        <w:t>tt lönen således inte ska påverkas av t.ex. en yrkesofficers grad eller en a</w:t>
      </w:r>
      <w:r w:rsidRPr="009D719B">
        <w:t>n</w:t>
      </w:r>
      <w:r w:rsidRPr="009D719B">
        <w:t>ställds ålder.</w:t>
      </w:r>
    </w:p>
    <w:p w:rsidR="001F14AF" w:rsidRPr="009D719B" w:rsidRDefault="001F14AF">
      <w:pPr>
        <w:pStyle w:val="Rubrik3-Utannumrering"/>
      </w:pPr>
      <w:bookmarkStart w:id="115" w:name="_Toc38080817"/>
      <w:r w:rsidRPr="009D719B">
        <w:t>Lönerevision enligt RALS</w:t>
      </w:r>
      <w:bookmarkEnd w:id="114"/>
      <w:bookmarkEnd w:id="115"/>
    </w:p>
    <w:p w:rsidR="001F14AF" w:rsidRPr="009D719B" w:rsidRDefault="001F14AF">
      <w:r w:rsidRPr="009D719B">
        <w:t>Lönerevisionen enligt RALS (ramavtal om löner m.m. för arbetstagare hos staten m.fl.) styrs av de centrala avtalen och det försvarsmaktsavtal som Försvarsmakten och arbetstagarorganisationerna förhandlar fram. Lönerev</w:t>
      </w:r>
      <w:r w:rsidRPr="009D719B">
        <w:t>i</w:t>
      </w:r>
      <w:r w:rsidRPr="009D719B">
        <w:t>sion enligt RALS beskrivs utförligare i nästa kapitel som handlar om avtal</w:t>
      </w:r>
      <w:r w:rsidRPr="009D719B">
        <w:t>s</w:t>
      </w:r>
      <w:r w:rsidRPr="009D719B">
        <w:t>förhandlingar inom Försvarsmakten. Från Högkvarteret har man som arbet</w:t>
      </w:r>
      <w:r w:rsidRPr="009D719B">
        <w:t>s</w:t>
      </w:r>
      <w:r w:rsidRPr="009D719B">
        <w:t>givare reglerat att lönen ska grundas på de kriterier som förs fram i lönepol</w:t>
      </w:r>
      <w:r w:rsidRPr="009D719B">
        <w:t>i</w:t>
      </w:r>
      <w:r w:rsidRPr="009D719B">
        <w:t>cyn.</w:t>
      </w:r>
    </w:p>
    <w:p w:rsidR="001F14AF" w:rsidRPr="009D719B" w:rsidRDefault="001F14AF">
      <w:pPr>
        <w:pStyle w:val="Rubrik3-Utannumrering"/>
      </w:pPr>
      <w:bookmarkStart w:id="116" w:name="_Toc17602004"/>
      <w:bookmarkStart w:id="117" w:name="_Toc38080818"/>
      <w:r w:rsidRPr="009D719B">
        <w:t>Lönesättning vid ny befattning</w:t>
      </w:r>
      <w:bookmarkEnd w:id="116"/>
      <w:bookmarkEnd w:id="117"/>
    </w:p>
    <w:p w:rsidR="001F14AF" w:rsidRPr="009D719B" w:rsidRDefault="001F14AF">
      <w:r w:rsidRPr="009D719B">
        <w:t>Enligt Försvarsmaktens lönepolicy får en ny, högre, lön sättas när individen byter till en befattning ”som innebär större ansvar eller ställer klart större krav på beslutsfattande eller kunnande”. Ett byte till en ny befattning ska i sig inte leda till omprövning av individens lön om inte arbetsuppgifterna också förändras enligt vad som uttrycks i lönepolicyn. Enligt bestämmelse</w:t>
      </w:r>
      <w:r w:rsidRPr="009D719B">
        <w:t>r</w:t>
      </w:r>
      <w:r w:rsidRPr="009D719B">
        <w:t>na får inga beslut om ny lön i samband med befattningsbyte fattas förrän samråd ägt rum med personalstaben vid Högkvarteret. När en individ byter befattning mellan enheter inom Försvarsmakten ska både den avlämnande och den mottagande chefen vara överens om den nya lönen.</w:t>
      </w:r>
    </w:p>
    <w:p w:rsidR="001F14AF" w:rsidRPr="009D719B" w:rsidRDefault="001F14AF">
      <w:pPr>
        <w:pStyle w:val="Rubrik4-Utannumrering"/>
      </w:pPr>
      <w:bookmarkStart w:id="118" w:name="_Toc38080819"/>
      <w:r w:rsidRPr="009D719B">
        <w:t>Befattningsvärdering</w:t>
      </w:r>
      <w:bookmarkEnd w:id="118"/>
    </w:p>
    <w:p w:rsidR="001F14AF" w:rsidRPr="009D719B" w:rsidRDefault="001F14AF">
      <w:r w:rsidRPr="009D719B">
        <w:t>Försvarsmakten har under 2002 börjat tillämpa det nya befattningsvärd</w:t>
      </w:r>
      <w:r w:rsidRPr="009D719B">
        <w:t>e</w:t>
      </w:r>
      <w:r w:rsidRPr="009D719B">
        <w:t>ringssystem som tagits fram i samverkan med arbetstagarorganisationerna. Officersförbundet, som organiserar majoriteten av landets yrkesofficerare, motsätter sig dock användningen av detta befattningsvärderingssystem. S</w:t>
      </w:r>
      <w:r w:rsidRPr="009D719B">
        <w:t>y</w:t>
      </w:r>
      <w:r w:rsidRPr="009D719B">
        <w:t xml:space="preserve">stemet ska när det tagits i bruk kunna användas som hjälp vid lönesättningen genom att det möjliggör jämförelser av befattningar inom förbandet. </w:t>
      </w:r>
    </w:p>
    <w:p w:rsidR="001F14AF" w:rsidRPr="009D719B" w:rsidRDefault="001F14AF">
      <w:pPr>
        <w:pStyle w:val="Normaltindrag"/>
      </w:pPr>
      <w:r w:rsidRPr="009D719B">
        <w:t>Systemet ska också kunna användas för att översätta olika befattningar till Arbetsgivarverkets TNS-koder för att på så sätt kunna få mer tillförl</w:t>
      </w:r>
      <w:r w:rsidRPr="009D719B">
        <w:t>itlig lönestatistik från Försvarsmakten. TNS-koder (tjänstenomenklatur inom staten) är Arbetsgivarverkets klassificering av befattningar baserad på yrke</w:t>
      </w:r>
      <w:r w:rsidRPr="009D719B">
        <w:t>s</w:t>
      </w:r>
      <w:r w:rsidRPr="009D719B">
        <w:t>område och svårighet/ansvar i befattningen. Klassificeringen används vid jämförelser av lönestatistik t.ex. mellan olika myndigheter. Systemet tillä</w:t>
      </w:r>
      <w:r w:rsidRPr="009D719B">
        <w:t>m</w:t>
      </w:r>
      <w:r w:rsidRPr="009D719B">
        <w:lastRenderedPageBreak/>
        <w:t>pas inte fullt ut för Försvarsmakten på grund av att myndigheten hittills inte kunnat värdera sina befattningar.</w:t>
      </w:r>
    </w:p>
    <w:p w:rsidR="001F14AF" w:rsidRPr="009D719B" w:rsidRDefault="001F14AF">
      <w:pPr>
        <w:pStyle w:val="Normaltindrag"/>
      </w:pPr>
      <w:r w:rsidRPr="009D719B">
        <w:t>Innan befattningsvärderingssystemet tagits i bruk finns inget objektivt sätt att värdera befattni</w:t>
      </w:r>
      <w:r w:rsidRPr="009D719B">
        <w:t>ngars svårighet eller att jämföra befattningar inom olika delar av Försvarsmakten. Befattningsvärderingssystemet kommer inte på kort sikt att erbjuda någon hjälp vid byte av befattningar mellan olika organ</w:t>
      </w:r>
      <w:r w:rsidRPr="009D719B">
        <w:t>i</w:t>
      </w:r>
      <w:r w:rsidRPr="009D719B">
        <w:t>sationsenheter inom Försvarsmakten. Systemet bygger på befattningsvärd</w:t>
      </w:r>
      <w:r w:rsidRPr="009D719B">
        <w:t>e</w:t>
      </w:r>
      <w:r w:rsidRPr="009D719B">
        <w:t>ringar som genomförts separat vid olika förband, skolor och centrum, dock enligt en gemensam metod. På sikt ska systemet kunna fungera för att jämf</w:t>
      </w:r>
      <w:r w:rsidRPr="009D719B">
        <w:t>ö</w:t>
      </w:r>
      <w:r w:rsidRPr="009D719B">
        <w:t>ra befattningar mellan olika organisationsenheter.</w:t>
      </w:r>
    </w:p>
    <w:p w:rsidR="001F14AF" w:rsidRPr="009D719B" w:rsidRDefault="001F14AF">
      <w:pPr>
        <w:pStyle w:val="Rubrik3-Utannumrering"/>
      </w:pPr>
      <w:bookmarkStart w:id="119" w:name="_Toc17602005"/>
      <w:bookmarkStart w:id="120" w:name="_Toc38080820"/>
      <w:r w:rsidRPr="009D719B">
        <w:t>Lönesättning vid nyanställning</w:t>
      </w:r>
      <w:bookmarkEnd w:id="119"/>
      <w:bookmarkEnd w:id="120"/>
    </w:p>
    <w:p w:rsidR="001F14AF" w:rsidRPr="009D719B" w:rsidRDefault="001F14AF">
      <w:r w:rsidRPr="009D719B">
        <w:t>Nyanställning av yrkesofficerare inom Försvarsmakten omfattar överväga</w:t>
      </w:r>
      <w:r w:rsidRPr="009D719B">
        <w:t>n</w:t>
      </w:r>
      <w:r w:rsidRPr="009D719B">
        <w:t>de nyutexaminerade fänrikar som har en fastslagen in</w:t>
      </w:r>
      <w:r w:rsidRPr="009D719B">
        <w:softHyphen/>
        <w:t>gångslön på 16 900 kr (sedan april 2002). Förbandscheferna har däremot möjlighet att sätta en högre lön för den nyanställde fänr</w:t>
      </w:r>
      <w:r w:rsidRPr="009D719B">
        <w:t>i</w:t>
      </w:r>
      <w:r w:rsidRPr="009D719B">
        <w:t xml:space="preserve">ken om detta anses motiverat. </w:t>
      </w:r>
    </w:p>
    <w:p w:rsidR="001F14AF" w:rsidRPr="009D719B" w:rsidRDefault="001F14AF">
      <w:pPr>
        <w:pStyle w:val="Normaltindrag"/>
      </w:pPr>
      <w:r w:rsidRPr="009D719B">
        <w:t>Nyanställning av civila beslutas av respektive förbandschef. På grund av osäkerheten i samband med införandet av Försvarsmaktens nya underhålls- och logistikenhet, FMLOG, har anställningsstopp av civil personal rått under vissa perioder.</w:t>
      </w:r>
    </w:p>
    <w:p w:rsidR="001F14AF" w:rsidRPr="009D719B" w:rsidRDefault="001F14AF">
      <w:pPr>
        <w:pStyle w:val="Rubrik2"/>
      </w:pPr>
      <w:bookmarkStart w:id="121" w:name="_Toc32301657"/>
      <w:bookmarkStart w:id="122" w:name="_Toc38080821"/>
      <w:bookmarkStart w:id="123" w:name="_Toc38103359"/>
      <w:r w:rsidRPr="009D719B">
        <w:t>Centralisering av lönebildningen</w:t>
      </w:r>
      <w:bookmarkEnd w:id="121"/>
      <w:bookmarkEnd w:id="122"/>
      <w:bookmarkEnd w:id="123"/>
    </w:p>
    <w:p w:rsidR="001F14AF" w:rsidRPr="009D719B" w:rsidRDefault="001F14AF">
      <w:r w:rsidRPr="009D719B">
        <w:t>Yrkesofficerarna i Försvarsmakten är indelade i olika nivåer från nivå G (som i general) ned till nivå 6. Lönesättningen för officerare hanteras av olika instanser inom Försvarsmakten beroende på vilken nivå officeren b</w:t>
      </w:r>
      <w:r w:rsidRPr="009D719B">
        <w:t>e</w:t>
      </w:r>
      <w:r w:rsidRPr="009D719B">
        <w:t>finner sig på.</w:t>
      </w:r>
    </w:p>
    <w:p w:rsidR="001F14AF" w:rsidRPr="009D719B" w:rsidRDefault="009D719B">
      <w:pPr>
        <w:pStyle w:val="Beskrivning"/>
      </w:pPr>
      <w:r w:rsidRPr="009D719B">
        <w:rPr>
          <w:noProof/>
        </w:rPr>
        <mc:AlternateContent>
          <mc:Choice Requires="wpg">
            <w:drawing>
              <wp:anchor distT="0" distB="0" distL="114300" distR="114300" simplePos="0" relativeHeight="251657216" behindDoc="0" locked="0" layoutInCell="0" allowOverlap="1">
                <wp:simplePos x="0" y="0"/>
                <wp:positionH relativeFrom="column">
                  <wp:posOffset>27940</wp:posOffset>
                </wp:positionH>
                <wp:positionV relativeFrom="paragraph">
                  <wp:posOffset>336550</wp:posOffset>
                </wp:positionV>
                <wp:extent cx="3164840" cy="1581150"/>
                <wp:effectExtent l="0" t="0" r="0" b="0"/>
                <wp:wrapTopAndBottom/>
                <wp:docPr id="19999294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840" cy="1581150"/>
                          <a:chOff x="1628" y="2086"/>
                          <a:chExt cx="4984" cy="2490"/>
                        </a:xfrm>
                      </wpg:grpSpPr>
                      <wps:wsp>
                        <wps:cNvPr id="1846749998" name="AutoShape 26"/>
                        <wps:cNvSpPr>
                          <a:spLocks noChangeArrowheads="1"/>
                        </wps:cNvSpPr>
                        <wps:spPr bwMode="auto">
                          <a:xfrm>
                            <a:off x="3577" y="2126"/>
                            <a:ext cx="630" cy="517"/>
                          </a:xfrm>
                          <a:prstGeom prst="triangle">
                            <a:avLst>
                              <a:gd name="adj" fmla="val 50000"/>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wps:wsp>
                        <wps:cNvPr id="1743300578" name="Text Box 27"/>
                        <wps:cNvSpPr txBox="1">
                          <a:spLocks noChangeArrowheads="1"/>
                        </wps:cNvSpPr>
                        <wps:spPr bwMode="auto">
                          <a:xfrm>
                            <a:off x="4200" y="2086"/>
                            <a:ext cx="141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AF" w:rsidRPr="009D719B" w:rsidRDefault="001F14AF">
                              <w:pPr>
                                <w:pStyle w:val="Tabellrubrik"/>
                              </w:pPr>
                              <w:r w:rsidRPr="009D719B">
                                <w:t>Nivå G–1</w:t>
                              </w:r>
                            </w:p>
                            <w:p w:rsidR="001F14AF" w:rsidRPr="009D719B" w:rsidRDefault="001F14AF">
                              <w:pPr>
                                <w:pStyle w:val="Tabell"/>
                              </w:pPr>
                              <w:r w:rsidRPr="009D719B">
                                <w:t>ca 220 officerare</w:t>
                              </w:r>
                            </w:p>
                          </w:txbxContent>
                        </wps:txbx>
                        <wps:bodyPr rot="0" vert="horz" wrap="square" lIns="0" tIns="0" rIns="0" bIns="0" anchor="t" anchorCtr="0" upright="1">
                          <a:noAutofit/>
                        </wps:bodyPr>
                      </wps:wsp>
                      <wps:wsp>
                        <wps:cNvPr id="463582792" name="AutoShape 28"/>
                        <wps:cNvSpPr>
                          <a:spLocks noChangeArrowheads="1"/>
                        </wps:cNvSpPr>
                        <wps:spPr bwMode="auto">
                          <a:xfrm rot="10800000">
                            <a:off x="3217" y="2722"/>
                            <a:ext cx="1365" cy="57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808080"/>
                          </a:solidFill>
                          <a:ln w="9525">
                            <a:solidFill>
                              <a:srgbClr val="808080"/>
                            </a:solidFill>
                            <a:miter lim="800000"/>
                            <a:headEnd/>
                            <a:tailEnd/>
                          </a:ln>
                        </wps:spPr>
                        <wps:bodyPr rot="0" vert="horz" wrap="square" lIns="91440" tIns="45720" rIns="91440" bIns="45720" anchor="t" anchorCtr="0" upright="1">
                          <a:noAutofit/>
                        </wps:bodyPr>
                      </wps:wsp>
                      <wps:wsp>
                        <wps:cNvPr id="1383432423" name="Text Box 29"/>
                        <wps:cNvSpPr txBox="1">
                          <a:spLocks noChangeArrowheads="1"/>
                        </wps:cNvSpPr>
                        <wps:spPr bwMode="auto">
                          <a:xfrm>
                            <a:off x="4635" y="2686"/>
                            <a:ext cx="141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AF" w:rsidRPr="009D719B" w:rsidRDefault="001F14AF">
                              <w:pPr>
                                <w:pStyle w:val="Tabellrubrik"/>
                              </w:pPr>
                              <w:r w:rsidRPr="009D719B">
                                <w:t>Nivå 2/3</w:t>
                              </w:r>
                            </w:p>
                            <w:p w:rsidR="001F14AF" w:rsidRPr="009D719B" w:rsidRDefault="001F14AF">
                              <w:pPr>
                                <w:pStyle w:val="Tabell"/>
                              </w:pPr>
                              <w:r w:rsidRPr="009D719B">
                                <w:t>ca 1 100 officerare</w:t>
                              </w:r>
                            </w:p>
                          </w:txbxContent>
                        </wps:txbx>
                        <wps:bodyPr rot="0" vert="horz" wrap="square" lIns="0" tIns="0" rIns="0" bIns="0" anchor="t" anchorCtr="0" upright="1">
                          <a:noAutofit/>
                        </wps:bodyPr>
                      </wps:wsp>
                      <wps:wsp>
                        <wps:cNvPr id="1262853424" name="AutoShape 30"/>
                        <wps:cNvSpPr>
                          <a:spLocks noChangeArrowheads="1"/>
                        </wps:cNvSpPr>
                        <wps:spPr bwMode="auto">
                          <a:xfrm rot="10800000">
                            <a:off x="2453" y="3383"/>
                            <a:ext cx="2873" cy="119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55050022" name="Text Box 31"/>
                        <wps:cNvSpPr txBox="1">
                          <a:spLocks noChangeArrowheads="1"/>
                        </wps:cNvSpPr>
                        <wps:spPr bwMode="auto">
                          <a:xfrm>
                            <a:off x="5022" y="3361"/>
                            <a:ext cx="15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AF" w:rsidRPr="009D719B" w:rsidRDefault="001F14AF">
                              <w:pPr>
                                <w:pStyle w:val="Tabellrubrik"/>
                                <w:jc w:val="left"/>
                              </w:pPr>
                              <w:r w:rsidRPr="009D719B">
                                <w:t>Nivå 4–6</w:t>
                              </w:r>
                            </w:p>
                            <w:p w:rsidR="001F14AF" w:rsidRPr="009D719B" w:rsidRDefault="001F14AF">
                              <w:pPr>
                                <w:pStyle w:val="Tabell"/>
                              </w:pPr>
                              <w:r w:rsidRPr="009D719B">
                                <w:t>ca 10 000 officerare</w:t>
                              </w:r>
                            </w:p>
                          </w:txbxContent>
                        </wps:txbx>
                        <wps:bodyPr rot="0" vert="horz" wrap="square" lIns="0" tIns="0" rIns="0" bIns="0" anchor="t" anchorCtr="0" upright="1">
                          <a:noAutofit/>
                        </wps:bodyPr>
                      </wps:wsp>
                      <wps:wsp>
                        <wps:cNvPr id="1599907901" name="Text Box 32"/>
                        <wps:cNvSpPr txBox="1">
                          <a:spLocks noChangeArrowheads="1"/>
                        </wps:cNvSpPr>
                        <wps:spPr bwMode="auto">
                          <a:xfrm>
                            <a:off x="2453" y="3623"/>
                            <a:ext cx="2873" cy="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4AF" w:rsidRPr="009D719B" w:rsidRDefault="001F14AF">
                              <w:pPr>
                                <w:pStyle w:val="Tabell"/>
                                <w:jc w:val="center"/>
                                <w:rPr>
                                  <w:color w:val="FFFFFF"/>
                                </w:rPr>
                              </w:pPr>
                              <w:r w:rsidRPr="009D719B">
                                <w:rPr>
                                  <w:color w:val="FFFFFF"/>
                                </w:rPr>
                                <w:t>- major/örlogska</w:t>
                              </w:r>
                              <w:r w:rsidRPr="009D719B">
                                <w:rPr>
                                  <w:color w:val="FFFFFF"/>
                                </w:rPr>
                                <w:t>p</w:t>
                              </w:r>
                              <w:r w:rsidRPr="009D719B">
                                <w:rPr>
                                  <w:color w:val="FFFFFF"/>
                                </w:rPr>
                                <w:t>ten</w:t>
                              </w:r>
                            </w:p>
                            <w:p w:rsidR="001F14AF" w:rsidRPr="009D719B" w:rsidRDefault="001F14AF">
                              <w:pPr>
                                <w:pStyle w:val="Tabell"/>
                                <w:tabs>
                                  <w:tab w:val="left" w:pos="1134"/>
                                </w:tabs>
                                <w:jc w:val="left"/>
                                <w:rPr>
                                  <w:color w:val="FFFFFF"/>
                                </w:rPr>
                              </w:pPr>
                              <w:r w:rsidRPr="009D719B">
                                <w:rPr>
                                  <w:color w:val="FFFFFF"/>
                                </w:rPr>
                                <w:tab/>
                                <w:t>- kapten</w:t>
                              </w:r>
                            </w:p>
                            <w:p w:rsidR="001F14AF" w:rsidRPr="009D719B" w:rsidRDefault="001F14AF">
                              <w:pPr>
                                <w:pStyle w:val="Tabell"/>
                                <w:tabs>
                                  <w:tab w:val="left" w:pos="1134"/>
                                </w:tabs>
                                <w:jc w:val="left"/>
                                <w:rPr>
                                  <w:color w:val="FFFFFF"/>
                                </w:rPr>
                              </w:pPr>
                              <w:r w:rsidRPr="009D719B">
                                <w:rPr>
                                  <w:color w:val="FFFFFF"/>
                                </w:rPr>
                                <w:tab/>
                                <w:t>- löj</w:t>
                              </w:r>
                              <w:r w:rsidRPr="009D719B">
                                <w:rPr>
                                  <w:color w:val="FFFFFF"/>
                                </w:rPr>
                                <w:t>t</w:t>
                              </w:r>
                              <w:r w:rsidRPr="009D719B">
                                <w:rPr>
                                  <w:color w:val="FFFFFF"/>
                                </w:rPr>
                                <w:t>nant</w:t>
                              </w:r>
                            </w:p>
                            <w:p w:rsidR="001F14AF" w:rsidRPr="009D719B" w:rsidRDefault="001F14AF">
                              <w:pPr>
                                <w:pStyle w:val="Tabell"/>
                                <w:tabs>
                                  <w:tab w:val="left" w:pos="1134"/>
                                </w:tabs>
                                <w:jc w:val="left"/>
                              </w:pPr>
                              <w:r w:rsidRPr="009D719B">
                                <w:rPr>
                                  <w:color w:val="FFFFFF"/>
                                </w:rPr>
                                <w:tab/>
                                <w:t>- fänrik</w:t>
                              </w:r>
                            </w:p>
                          </w:txbxContent>
                        </wps:txbx>
                        <wps:bodyPr rot="0" vert="horz" wrap="square" lIns="0" tIns="0" rIns="0" bIns="0" anchor="t" anchorCtr="0" upright="1">
                          <a:noAutofit/>
                        </wps:bodyPr>
                      </wps:wsp>
                      <wps:wsp>
                        <wps:cNvPr id="726165430" name="Text Box 33"/>
                        <wps:cNvSpPr txBox="1">
                          <a:spLocks noChangeArrowheads="1"/>
                        </wps:cNvSpPr>
                        <wps:spPr bwMode="auto">
                          <a:xfrm>
                            <a:off x="1628" y="2643"/>
                            <a:ext cx="1545" cy="7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14AF" w:rsidRPr="009D719B" w:rsidRDefault="001F14AF">
                              <w:pPr>
                                <w:pStyle w:val="Tabell"/>
                                <w:tabs>
                                  <w:tab w:val="left" w:pos="142"/>
                                </w:tabs>
                              </w:pPr>
                              <w:r w:rsidRPr="009D719B">
                                <w:t>-</w:t>
                              </w:r>
                              <w:r w:rsidRPr="009D719B">
                                <w:tab/>
                                <w:t xml:space="preserve">överstelöjtnant/ </w:t>
                              </w:r>
                            </w:p>
                            <w:p w:rsidR="001F14AF" w:rsidRPr="009D719B" w:rsidRDefault="001F14AF">
                              <w:pPr>
                                <w:pStyle w:val="Tabell"/>
                                <w:tabs>
                                  <w:tab w:val="left" w:pos="142"/>
                                </w:tabs>
                              </w:pPr>
                              <w:r w:rsidRPr="009D719B">
                                <w:tab/>
                                <w:t>ko</w:t>
                              </w:r>
                              <w:r w:rsidRPr="009D719B">
                                <w:t>m</w:t>
                              </w:r>
                              <w:r w:rsidRPr="009D719B">
                                <w:t>mendörkapten</w:t>
                              </w:r>
                            </w:p>
                            <w:p w:rsidR="001F14AF" w:rsidRPr="009D719B" w:rsidRDefault="001F14AF">
                              <w:pPr>
                                <w:pStyle w:val="HuvudRubrik"/>
                                <w:jc w:val="center"/>
                              </w:pPr>
                              <w:r w:rsidRPr="009D719B">
                                <w:t xml:space="preserve">- </w:t>
                              </w:r>
                              <w:r w:rsidRPr="009D719B">
                                <w:tab/>
                                <w:t>major/örl</w:t>
                              </w:r>
                            </w:p>
                            <w:p w:rsidR="001F14AF" w:rsidRPr="009D719B" w:rsidRDefault="001F14AF">
                              <w:pPr>
                                <w:pStyle w:val="Normaltindrag"/>
                                <w:jc w:val="center"/>
                              </w:pPr>
                              <w:r w:rsidRPr="009D719B">
                                <w:t>Grundorganis</w:t>
                              </w:r>
                              <w:r w:rsidRPr="009D719B">
                                <w:t>a</w:t>
                              </w:r>
                              <w:r w:rsidRPr="009D719B">
                                <w:t>tionslednin</w:t>
                              </w:r>
                              <w:r w:rsidRPr="009D719B">
                                <w:t>g</w:t>
                              </w:r>
                              <w:r w:rsidRPr="009D719B">
                                <w:t>en</w:t>
                              </w:r>
                            </w:p>
                            <w:p w:rsidR="001F14AF" w:rsidRPr="009D719B" w:rsidRDefault="001F14AF">
                              <w:pPr>
                                <w:pStyle w:val="Tabell"/>
                                <w:tabs>
                                  <w:tab w:val="left" w:pos="142"/>
                                </w:tabs>
                                <w:jc w:val="left"/>
                              </w:pPr>
                              <w:r w:rsidRPr="009D719B">
                                <w:t>ogs-</w:t>
                              </w:r>
                              <w:r w:rsidRPr="009D719B">
                                <w:tab/>
                                <w:t>kapten</w:t>
                              </w:r>
                            </w:p>
                          </w:txbxContent>
                        </wps:txbx>
                        <wps:bodyPr rot="0" vert="horz" wrap="square" lIns="0" tIns="0" rIns="0" bIns="0" anchor="t" anchorCtr="0" upright="1">
                          <a:noAutofit/>
                        </wps:bodyPr>
                      </wps:wsp>
                      <wps:wsp>
                        <wps:cNvPr id="1455689353" name="Text Box 34"/>
                        <wps:cNvSpPr txBox="1">
                          <a:spLocks noChangeArrowheads="1"/>
                        </wps:cNvSpPr>
                        <wps:spPr bwMode="auto">
                          <a:xfrm>
                            <a:off x="1628" y="2123"/>
                            <a:ext cx="1545" cy="3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14AF" w:rsidRPr="009D719B" w:rsidRDefault="001F14AF">
                              <w:pPr>
                                <w:pStyle w:val="Tabell"/>
                                <w:tabs>
                                  <w:tab w:val="left" w:pos="142"/>
                                </w:tabs>
                              </w:pPr>
                              <w:r w:rsidRPr="009D719B">
                                <w:t>-</w:t>
                              </w:r>
                              <w:r w:rsidRPr="009D719B">
                                <w:tab/>
                                <w:t>general/amiral</w:t>
                              </w:r>
                            </w:p>
                            <w:p w:rsidR="001F14AF" w:rsidRPr="009D719B" w:rsidRDefault="001F14AF">
                              <w:pPr>
                                <w:pStyle w:val="Tabell"/>
                                <w:tabs>
                                  <w:tab w:val="left" w:pos="142"/>
                                </w:tabs>
                              </w:pPr>
                              <w:r w:rsidRPr="009D719B">
                                <w:t>-</w:t>
                              </w:r>
                              <w:r w:rsidRPr="009D719B">
                                <w:tab/>
                                <w:t>överste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4" style="position:absolute;left:0;text-align:left;margin-left:2.2pt;margin-top:26.5pt;width:249.2pt;height:124.5pt;z-index:251657216" coordorigin="1628,2086" coordsize="4984,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"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 o:spid="_x0000_s1045" type="#_x0000_t5" style="position:absolute;left:3577;top:2126;width:630;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" fillcolor="silver" strokecolor="silver"/>
                <v:shape id="Text Box 27" o:spid="_x0000_s1046" type="#_x0000_t202" style="position:absolute;left:4200;top:2086;width:14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" filled="f" stroked="f">
                  <v:textbox inset="0,0,0,0">
                    <w:txbxContent>
                      <w:p w:rsidR="001F14AF" w:rsidRPr="009D719B" w:rsidRDefault="001F14AF">
                        <w:pPr>
                          <w:pStyle w:val="Tabellrubrik"/>
                        </w:pPr>
                        <w:r w:rsidRPr="009D719B">
                          <w:t>Nivå G–1</w:t>
                        </w:r>
                      </w:p>
                      <w:p w:rsidR="001F14AF" w:rsidRPr="009D719B" w:rsidRDefault="001F14AF">
                        <w:pPr>
                          <w:pStyle w:val="Tabell"/>
                        </w:pPr>
                        <w:r w:rsidRPr="009D719B">
                          <w:t>ca 220 officerare</w:t>
                        </w:r>
                      </w:p>
                    </w:txbxContent>
                  </v:textbox>
                </v:shape>
                <v:shape id="AutoShape 28" o:spid="_x0000_s1047" style="position:absolute;left:3217;top:2722;width:1365;height:578;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" path="m,l5400,21600r10800,l21600,,,xe" fillcolor="gray" strokecolor="gray">
                  <v:stroke joinstyle="miter"/>
                  <v:path o:connecttype="custom" o:connectlocs="1194,289;683,578;171,289;683,0" o:connectangles="0,0,0,0" textboxrect="4494,4484,17106,17116"/>
                </v:shape>
                <v:shape id="Text Box 29" o:spid="_x0000_s1048" type="#_x0000_t202" style="position:absolute;left:4635;top:2686;width:141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" filled="f" stroked="f">
                  <v:textbox inset="0,0,0,0">
                    <w:txbxContent>
                      <w:p w:rsidR="001F14AF" w:rsidRPr="009D719B" w:rsidRDefault="001F14AF">
                        <w:pPr>
                          <w:pStyle w:val="Tabellrubrik"/>
                        </w:pPr>
                        <w:r w:rsidRPr="009D719B">
                          <w:t>Nivå 2/3</w:t>
                        </w:r>
                      </w:p>
                      <w:p w:rsidR="001F14AF" w:rsidRPr="009D719B" w:rsidRDefault="001F14AF">
                        <w:pPr>
                          <w:pStyle w:val="Tabell"/>
                        </w:pPr>
                        <w:r w:rsidRPr="009D719B">
                          <w:t>ca 1 100 officerare</w:t>
                        </w:r>
                      </w:p>
                    </w:txbxContent>
                  </v:textbox>
                </v:shape>
                <v:shape id="AutoShape 30" o:spid="_x0000_s1049" style="position:absolute;left:2453;top:3383;width:2873;height:1193;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" path="m,l5400,21600r10800,l21600,,,xe" fillcolor="black">
                  <v:stroke joinstyle="miter"/>
                  <v:path o:connecttype="custom" o:connectlocs="2514,597;1437,1193;359,597;1437,0" o:connectangles="0,0,0,0" textboxrect="4503,4508,17097,17092"/>
                </v:shape>
                <v:shape id="Text Box 31" o:spid="_x0000_s1050" type="#_x0000_t202" style="position:absolute;left:5022;top:3361;width:15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" filled="f" stroked="f">
                  <v:textbox inset="0,0,0,0">
                    <w:txbxContent>
                      <w:p w:rsidR="001F14AF" w:rsidRPr="009D719B" w:rsidRDefault="001F14AF">
                        <w:pPr>
                          <w:pStyle w:val="Tabellrubrik"/>
                          <w:jc w:val="left"/>
                        </w:pPr>
                        <w:r w:rsidRPr="009D719B">
                          <w:t>Nivå 4–6</w:t>
                        </w:r>
                      </w:p>
                      <w:p w:rsidR="001F14AF" w:rsidRPr="009D719B" w:rsidRDefault="001F14AF">
                        <w:pPr>
                          <w:pStyle w:val="Tabell"/>
                        </w:pPr>
                        <w:r w:rsidRPr="009D719B">
                          <w:t>ca 10 000 officerare</w:t>
                        </w:r>
                      </w:p>
                    </w:txbxContent>
                  </v:textbox>
                </v:shape>
                <v:shape id="Text Box 32" o:spid="_x0000_s1051" type="#_x0000_t202" style="position:absolute;left:2453;top:3623;width:2873;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" filled="f" stroked="f">
                  <v:textbox inset="0,0,0,0">
                    <w:txbxContent>
                      <w:p w:rsidR="001F14AF" w:rsidRPr="009D719B" w:rsidRDefault="001F14AF">
                        <w:pPr>
                          <w:pStyle w:val="Tabell"/>
                          <w:jc w:val="center"/>
                          <w:rPr>
                            <w:color w:val="FFFFFF"/>
                          </w:rPr>
                        </w:pPr>
                        <w:r w:rsidRPr="009D719B">
                          <w:rPr>
                            <w:color w:val="FFFFFF"/>
                          </w:rPr>
                          <w:t>- major/örlogska</w:t>
                        </w:r>
                        <w:r w:rsidRPr="009D719B">
                          <w:rPr>
                            <w:color w:val="FFFFFF"/>
                          </w:rPr>
                          <w:t>p</w:t>
                        </w:r>
                        <w:r w:rsidRPr="009D719B">
                          <w:rPr>
                            <w:color w:val="FFFFFF"/>
                          </w:rPr>
                          <w:t>ten</w:t>
                        </w:r>
                      </w:p>
                      <w:p w:rsidR="001F14AF" w:rsidRPr="009D719B" w:rsidRDefault="001F14AF">
                        <w:pPr>
                          <w:pStyle w:val="Tabell"/>
                          <w:tabs>
                            <w:tab w:val="left" w:pos="1134"/>
                          </w:tabs>
                          <w:jc w:val="left"/>
                          <w:rPr>
                            <w:color w:val="FFFFFF"/>
                          </w:rPr>
                        </w:pPr>
                        <w:r w:rsidRPr="009D719B">
                          <w:rPr>
                            <w:color w:val="FFFFFF"/>
                          </w:rPr>
                          <w:tab/>
                          <w:t>- kapten</w:t>
                        </w:r>
                      </w:p>
                      <w:p w:rsidR="001F14AF" w:rsidRPr="009D719B" w:rsidRDefault="001F14AF">
                        <w:pPr>
                          <w:pStyle w:val="Tabell"/>
                          <w:tabs>
                            <w:tab w:val="left" w:pos="1134"/>
                          </w:tabs>
                          <w:jc w:val="left"/>
                          <w:rPr>
                            <w:color w:val="FFFFFF"/>
                          </w:rPr>
                        </w:pPr>
                        <w:r w:rsidRPr="009D719B">
                          <w:rPr>
                            <w:color w:val="FFFFFF"/>
                          </w:rPr>
                          <w:tab/>
                          <w:t>- löj</w:t>
                        </w:r>
                        <w:r w:rsidRPr="009D719B">
                          <w:rPr>
                            <w:color w:val="FFFFFF"/>
                          </w:rPr>
                          <w:t>t</w:t>
                        </w:r>
                        <w:r w:rsidRPr="009D719B">
                          <w:rPr>
                            <w:color w:val="FFFFFF"/>
                          </w:rPr>
                          <w:t>nant</w:t>
                        </w:r>
                      </w:p>
                      <w:p w:rsidR="001F14AF" w:rsidRPr="009D719B" w:rsidRDefault="001F14AF">
                        <w:pPr>
                          <w:pStyle w:val="Tabell"/>
                          <w:tabs>
                            <w:tab w:val="left" w:pos="1134"/>
                          </w:tabs>
                          <w:jc w:val="left"/>
                        </w:pPr>
                        <w:r w:rsidRPr="009D719B">
                          <w:rPr>
                            <w:color w:val="FFFFFF"/>
                          </w:rPr>
                          <w:tab/>
                          <w:t>- fänrik</w:t>
                        </w:r>
                      </w:p>
                    </w:txbxContent>
                  </v:textbox>
                </v:shape>
                <v:shape id="Text Box 33" o:spid="_x0000_s1052" type="#_x0000_t202" style="position:absolute;left:1628;top:2643;width:1545;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" filled="f" stroked="f">
                  <v:textbox inset="0,0,0,0">
                    <w:txbxContent>
                      <w:p w:rsidR="001F14AF" w:rsidRPr="009D719B" w:rsidRDefault="001F14AF">
                        <w:pPr>
                          <w:pStyle w:val="Tabell"/>
                          <w:tabs>
                            <w:tab w:val="left" w:pos="142"/>
                          </w:tabs>
                        </w:pPr>
                        <w:r w:rsidRPr="009D719B">
                          <w:t>-</w:t>
                        </w:r>
                        <w:r w:rsidRPr="009D719B">
                          <w:tab/>
                          <w:t xml:space="preserve">överstelöjtnant/ </w:t>
                        </w:r>
                      </w:p>
                      <w:p w:rsidR="001F14AF" w:rsidRPr="009D719B" w:rsidRDefault="001F14AF">
                        <w:pPr>
                          <w:pStyle w:val="Tabell"/>
                          <w:tabs>
                            <w:tab w:val="left" w:pos="142"/>
                          </w:tabs>
                        </w:pPr>
                        <w:r w:rsidRPr="009D719B">
                          <w:tab/>
                          <w:t>ko</w:t>
                        </w:r>
                        <w:r w:rsidRPr="009D719B">
                          <w:t>m</w:t>
                        </w:r>
                        <w:r w:rsidRPr="009D719B">
                          <w:t>mendörkapten</w:t>
                        </w:r>
                      </w:p>
                      <w:p w:rsidR="001F14AF" w:rsidRPr="009D719B" w:rsidRDefault="001F14AF">
                        <w:pPr>
                          <w:pStyle w:val="HuvudRubrik"/>
                          <w:jc w:val="center"/>
                        </w:pPr>
                        <w:r w:rsidRPr="009D719B">
                          <w:t xml:space="preserve">- </w:t>
                        </w:r>
                        <w:r w:rsidRPr="009D719B">
                          <w:tab/>
                          <w:t>major/örl</w:t>
                        </w:r>
                      </w:p>
                      <w:p w:rsidR="001F14AF" w:rsidRPr="009D719B" w:rsidRDefault="001F14AF">
                        <w:pPr>
                          <w:pStyle w:val="Normaltindrag"/>
                          <w:jc w:val="center"/>
                        </w:pPr>
                        <w:r w:rsidRPr="009D719B">
                          <w:t>Grundorganis</w:t>
                        </w:r>
                        <w:r w:rsidRPr="009D719B">
                          <w:t>a</w:t>
                        </w:r>
                        <w:r w:rsidRPr="009D719B">
                          <w:t>tionslednin</w:t>
                        </w:r>
                        <w:r w:rsidRPr="009D719B">
                          <w:t>g</w:t>
                        </w:r>
                        <w:r w:rsidRPr="009D719B">
                          <w:t>en</w:t>
                        </w:r>
                      </w:p>
                      <w:p w:rsidR="001F14AF" w:rsidRPr="009D719B" w:rsidRDefault="001F14AF">
                        <w:pPr>
                          <w:pStyle w:val="Tabell"/>
                          <w:tabs>
                            <w:tab w:val="left" w:pos="142"/>
                          </w:tabs>
                          <w:jc w:val="left"/>
                        </w:pPr>
                        <w:r w:rsidRPr="009D719B">
                          <w:t>ogs-</w:t>
                        </w:r>
                        <w:r w:rsidRPr="009D719B">
                          <w:tab/>
                          <w:t>kapten</w:t>
                        </w:r>
                      </w:p>
                    </w:txbxContent>
                  </v:textbox>
                </v:shape>
                <v:shape id="Text Box 34" o:spid="_x0000_s1053" type="#_x0000_t202" style="position:absolute;left:1628;top:2123;width:154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" filled="f" stroked="f">
                  <v:textbox inset="0,0,0,0">
                    <w:txbxContent>
                      <w:p w:rsidR="001F14AF" w:rsidRPr="009D719B" w:rsidRDefault="001F14AF">
                        <w:pPr>
                          <w:pStyle w:val="Tabell"/>
                          <w:tabs>
                            <w:tab w:val="left" w:pos="142"/>
                          </w:tabs>
                        </w:pPr>
                        <w:r w:rsidRPr="009D719B">
                          <w:t>-</w:t>
                        </w:r>
                        <w:r w:rsidRPr="009D719B">
                          <w:tab/>
                          <w:t>general/amiral</w:t>
                        </w:r>
                      </w:p>
                      <w:p w:rsidR="001F14AF" w:rsidRPr="009D719B" w:rsidRDefault="001F14AF">
                        <w:pPr>
                          <w:pStyle w:val="Tabell"/>
                          <w:tabs>
                            <w:tab w:val="left" w:pos="142"/>
                          </w:tabs>
                        </w:pPr>
                        <w:r w:rsidRPr="009D719B">
                          <w:t>-</w:t>
                        </w:r>
                        <w:r w:rsidRPr="009D719B">
                          <w:tab/>
                          <w:t>överste</w:t>
                        </w:r>
                      </w:p>
                    </w:txbxContent>
                  </v:textbox>
                </v:shape>
                <w10:wrap type="topAndBottom"/>
              </v:group>
            </w:pict>
          </mc:Fallback>
        </mc:AlternateContent>
      </w:r>
      <w:r w:rsidR="001F14AF" w:rsidRPr="009D719B">
        <w:t xml:space="preserve">Figur </w:t>
      </w:r>
      <w:r w:rsidR="001F14AF" w:rsidRPr="009D719B">
        <w:t>5</w:t>
      </w:r>
      <w:r w:rsidR="001F14AF" w:rsidRPr="009D719B">
        <w:t>.</w:t>
      </w:r>
      <w:r w:rsidR="001F14AF" w:rsidRPr="009D719B">
        <w:t>1</w:t>
      </w:r>
      <w:r w:rsidR="001F14AF" w:rsidRPr="009D719B">
        <w:tab/>
        <w:t>Officerare indelade i olika nivåer</w:t>
      </w:r>
    </w:p>
    <w:p w:rsidR="001F14AF" w:rsidRPr="009D719B" w:rsidRDefault="001F14AF">
      <w:r w:rsidRPr="009D719B">
        <w:t>Den översta nivån (Försvarsmaktens chefskrets) omfattar officerare med överstes eller kommendörs grad och högre. Inom denna grupp finns exe</w:t>
      </w:r>
      <w:r w:rsidRPr="009D719B">
        <w:t>m</w:t>
      </w:r>
      <w:r w:rsidRPr="009D719B">
        <w:t>pelvis förbandschefer och högre chefer inom Högkvarteret. Lönesättning och årlig lönerevision av officerare i Försvarsmaktens chefskrets hanteras cen</w:t>
      </w:r>
      <w:r w:rsidRPr="009D719B">
        <w:t>t</w:t>
      </w:r>
      <w:r w:rsidRPr="009D719B">
        <w:t xml:space="preserve">ralt vid Högkvarteret. </w:t>
      </w:r>
    </w:p>
    <w:p w:rsidR="001F14AF" w:rsidRPr="009D719B" w:rsidRDefault="001F14AF">
      <w:pPr>
        <w:pStyle w:val="Normaltindrag"/>
      </w:pPr>
      <w:r w:rsidRPr="009D719B">
        <w:lastRenderedPageBreak/>
        <w:t>Den mellersta nivån omfattar officerare som genomgått chefsprogrammet på Försvarshögskolan. Dessa officerare har majors eller överstelöjtnants grad (respektive örlogskaptens eller kommendörkaptens grad inom marinen). För dessa officerare är bemanningsavdelningen inom Högkvarterets grundorg</w:t>
      </w:r>
      <w:r w:rsidRPr="009D719B">
        <w:t>a</w:t>
      </w:r>
      <w:r w:rsidRPr="009D719B">
        <w:t>nisationsledning ansvarig för kompetensutveckling, placering på befattning och lönesättning i samband med befattningsbyte. Arbetsgivaransvaret i dessa frågor för officerare i nivå 2/3 överfördes från förbandscheferna till Hö</w:t>
      </w:r>
      <w:r w:rsidRPr="009D719B">
        <w:t>g</w:t>
      </w:r>
      <w:r w:rsidRPr="009D719B">
        <w:t>kvarteret fr.o.m. år 2001. Däremot är förbandschefen, efter samråd med grundorganisationsledningen, fortfarande ansvarig för den årliga lönerevisi</w:t>
      </w:r>
      <w:r w:rsidRPr="009D719B">
        <w:t>o</w:t>
      </w:r>
      <w:r w:rsidRPr="009D719B">
        <w:t>nen enligt RALS för de officerare i nivå 2/3 som finns på hans fö</w:t>
      </w:r>
      <w:r w:rsidRPr="009D719B">
        <w:t>r</w:t>
      </w:r>
      <w:r w:rsidRPr="009D719B">
        <w:t>band.</w:t>
      </w:r>
    </w:p>
    <w:p w:rsidR="001F14AF" w:rsidRPr="009D719B" w:rsidRDefault="001F14AF">
      <w:pPr>
        <w:pStyle w:val="Normaltindrag"/>
      </w:pPr>
      <w:r w:rsidRPr="009D719B">
        <w:t>Den största delen av yrkesofficerarna inom Försvarsmakten utgörs av</w:t>
      </w:r>
      <w:r w:rsidRPr="009D719B">
        <w:t xml:space="preserve"> off</w:t>
      </w:r>
      <w:r w:rsidRPr="009D719B">
        <w:t>i</w:t>
      </w:r>
      <w:r w:rsidRPr="009D719B">
        <w:t>cerare i nivå 4–6, som omfattar yrkesofficerare med majors grad eller lägre. (En major kan också räknas till nivå 2/3 om denne genomgått Försvarshö</w:t>
      </w:r>
      <w:r w:rsidRPr="009D719B">
        <w:t>g</w:t>
      </w:r>
      <w:r w:rsidRPr="009D719B">
        <w:t>skolans chefsprogram.) Arbetsgivaransvaret för dessa officerare, liksom för samtliga civilanställda (knappt 9 000 i hela Försvarsmakten), utövas av r</w:t>
      </w:r>
      <w:r w:rsidRPr="009D719B">
        <w:t>e</w:t>
      </w:r>
      <w:r w:rsidRPr="009D719B">
        <w:t>spektive förbandschef.</w:t>
      </w:r>
    </w:p>
    <w:p w:rsidR="001F14AF" w:rsidRPr="009D719B" w:rsidRDefault="001F14AF">
      <w:pPr>
        <w:pStyle w:val="Rubrik1"/>
      </w:pPr>
      <w:r w:rsidRPr="009D719B">
        <w:br w:type="page"/>
      </w:r>
      <w:bookmarkStart w:id="124" w:name="_Toc32301658"/>
      <w:bookmarkStart w:id="125" w:name="_Toc38080822"/>
      <w:bookmarkStart w:id="126" w:name="_Toc38103360"/>
      <w:r w:rsidRPr="009D719B">
        <w:lastRenderedPageBreak/>
        <w:t>Avtal och förhandling</w:t>
      </w:r>
      <w:bookmarkEnd w:id="124"/>
      <w:bookmarkEnd w:id="125"/>
      <w:bookmarkEnd w:id="126"/>
    </w:p>
    <w:p w:rsidR="001F14AF" w:rsidRPr="009D719B" w:rsidRDefault="001F14AF">
      <w:r w:rsidRPr="009D719B">
        <w:t>I detta kapitel behandlas den styrning som Försvarsmakten centralt utövar på lönebildningen vid förbanden via avtal och avtalsförhandlingar. Kollekti</w:t>
      </w:r>
      <w:r w:rsidRPr="009D719B">
        <w:t>v</w:t>
      </w:r>
      <w:r w:rsidRPr="009D719B">
        <w:t>avtal kan slutas på tre olika nivåer. Arbetsgivarverket sluter centrala kolle</w:t>
      </w:r>
      <w:r w:rsidRPr="009D719B">
        <w:t>k</w:t>
      </w:r>
      <w:r w:rsidRPr="009D719B">
        <w:t>tivavtal med de fackliga organisationerna på det statliga området. De enski</w:t>
      </w:r>
      <w:r w:rsidRPr="009D719B">
        <w:t>l</w:t>
      </w:r>
      <w:r w:rsidRPr="009D719B">
        <w:t>da myndigheterna kan sedan sluta lokala avtal med de lokala arbetstagaro</w:t>
      </w:r>
      <w:r w:rsidRPr="009D719B">
        <w:t>r</w:t>
      </w:r>
      <w:r w:rsidRPr="009D719B">
        <w:t>ganisationerna. Inom större myndigheter som Försvarsmakten kan också s.k. lokal-lokala kollektivavtal slutas. Förhållandet med avseende på lönefö</w:t>
      </w:r>
      <w:r w:rsidRPr="009D719B">
        <w:t>r</w:t>
      </w:r>
      <w:r w:rsidRPr="009D719B">
        <w:t>handlingar inom Försvarsmakten illustreras i figuren ne</w:t>
      </w:r>
      <w:r w:rsidRPr="009D719B">
        <w:t>d</w:t>
      </w:r>
      <w:r w:rsidRPr="009D719B">
        <w:t>an.</w:t>
      </w:r>
    </w:p>
    <w:p w:rsidR="001F14AF" w:rsidRPr="009D719B" w:rsidRDefault="009D719B">
      <w:pPr>
        <w:pStyle w:val="Beskrivning"/>
      </w:pPr>
      <w:r w:rsidRPr="009D719B">
        <w:rPr>
          <w:noProof/>
        </w:rPr>
        <mc:AlternateContent>
          <mc:Choice Requires="wpg">
            <w:drawing>
              <wp:anchor distT="0" distB="0" distL="114300" distR="114300" simplePos="0" relativeHeight="251656192" behindDoc="0" locked="0" layoutInCell="0" allowOverlap="1">
                <wp:simplePos x="0" y="0"/>
                <wp:positionH relativeFrom="column">
                  <wp:posOffset>108585</wp:posOffset>
                </wp:positionH>
                <wp:positionV relativeFrom="paragraph">
                  <wp:posOffset>392430</wp:posOffset>
                </wp:positionV>
                <wp:extent cx="3346450" cy="1381125"/>
                <wp:effectExtent l="0" t="0" r="0" b="0"/>
                <wp:wrapTopAndBottom/>
                <wp:docPr id="104062340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0" cy="1381125"/>
                          <a:chOff x="1125" y="1038"/>
                          <a:chExt cx="5270" cy="2175"/>
                        </a:xfrm>
                      </wpg:grpSpPr>
                      <wps:wsp>
                        <wps:cNvPr id="1068917157" name="Text Box 10"/>
                        <wps:cNvSpPr txBox="1">
                          <a:spLocks noChangeArrowheads="1"/>
                        </wps:cNvSpPr>
                        <wps:spPr bwMode="auto">
                          <a:xfrm>
                            <a:off x="2775" y="1038"/>
                            <a:ext cx="1575" cy="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
                                <w:jc w:val="center"/>
                              </w:pPr>
                              <w:r w:rsidRPr="009D719B">
                                <w:t>RALS</w:t>
                              </w:r>
                            </w:p>
                          </w:txbxContent>
                        </wps:txbx>
                        <wps:bodyPr rot="0" vert="horz" wrap="square" lIns="0" tIns="28800" rIns="0" bIns="0" anchor="t" anchorCtr="0" upright="1">
                          <a:noAutofit/>
                        </wps:bodyPr>
                      </wps:wsp>
                      <wps:wsp>
                        <wps:cNvPr id="783544390" name="Text Box 11"/>
                        <wps:cNvSpPr txBox="1">
                          <a:spLocks noChangeArrowheads="1"/>
                        </wps:cNvSpPr>
                        <wps:spPr bwMode="auto">
                          <a:xfrm>
                            <a:off x="2775" y="1662"/>
                            <a:ext cx="1575" cy="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
                                <w:jc w:val="center"/>
                              </w:pPr>
                              <w:r w:rsidRPr="009D719B">
                                <w:t>Försvarsmakt</w:t>
                              </w:r>
                              <w:r w:rsidRPr="009D719B">
                                <w:t>s</w:t>
                              </w:r>
                              <w:r w:rsidRPr="009D719B">
                                <w:t>avtal</w:t>
                              </w:r>
                            </w:p>
                          </w:txbxContent>
                        </wps:txbx>
                        <wps:bodyPr rot="0" vert="horz" wrap="square" lIns="0" tIns="28800" rIns="0" bIns="0" anchor="t" anchorCtr="0" upright="1">
                          <a:noAutofit/>
                        </wps:bodyPr>
                      </wps:wsp>
                      <wps:wsp>
                        <wps:cNvPr id="1836743711" name="Line 12"/>
                        <wps:cNvCnPr>
                          <a:cxnSpLocks noChangeShapeType="1"/>
                        </wps:cNvCnPr>
                        <wps:spPr bwMode="auto">
                          <a:xfrm>
                            <a:off x="3555" y="1335"/>
                            <a:ext cx="0" cy="2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88688258" name="Text Box 13"/>
                        <wps:cNvSpPr txBox="1">
                          <a:spLocks noChangeArrowheads="1"/>
                        </wps:cNvSpPr>
                        <wps:spPr bwMode="auto">
                          <a:xfrm>
                            <a:off x="1125" y="1038"/>
                            <a:ext cx="1575"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Arbetsgivarve</w:t>
                              </w:r>
                              <w:r w:rsidRPr="009D719B">
                                <w:t>r</w:t>
                              </w:r>
                              <w:r w:rsidRPr="009D719B">
                                <w:t>ket</w:t>
                              </w:r>
                            </w:p>
                          </w:txbxContent>
                        </wps:txbx>
                        <wps:bodyPr rot="0" vert="horz" wrap="square" lIns="0" tIns="28800" rIns="0" bIns="0" anchor="t" anchorCtr="0" upright="1">
                          <a:noAutofit/>
                        </wps:bodyPr>
                      </wps:wsp>
                      <wps:wsp>
                        <wps:cNvPr id="2083959238" name="Text Box 14"/>
                        <wps:cNvSpPr txBox="1">
                          <a:spLocks noChangeArrowheads="1"/>
                        </wps:cNvSpPr>
                        <wps:spPr bwMode="auto">
                          <a:xfrm>
                            <a:off x="4565" y="1038"/>
                            <a:ext cx="1830" cy="297"/>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rPr>
                                  <w:u w:val="double"/>
                                </w:rPr>
                              </w:pPr>
                              <w:r w:rsidRPr="009D719B">
                                <w:t>Centrala fackförbu</w:t>
                              </w:r>
                              <w:r w:rsidRPr="009D719B">
                                <w:t>n</w:t>
                              </w:r>
                              <w:r w:rsidRPr="009D719B">
                                <w:t>den</w:t>
                              </w:r>
                            </w:p>
                          </w:txbxContent>
                        </wps:txbx>
                        <wps:bodyPr rot="0" vert="horz" wrap="square" lIns="0" tIns="28800" rIns="0" bIns="0" anchor="t" anchorCtr="0" upright="1">
                          <a:noAutofit/>
                        </wps:bodyPr>
                      </wps:wsp>
                      <wps:wsp>
                        <wps:cNvPr id="75594374" name="Text Box 15"/>
                        <wps:cNvSpPr txBox="1">
                          <a:spLocks noChangeArrowheads="1"/>
                        </wps:cNvSpPr>
                        <wps:spPr bwMode="auto">
                          <a:xfrm>
                            <a:off x="1125" y="1665"/>
                            <a:ext cx="1575"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Försvarsmakten</w:t>
                              </w:r>
                            </w:p>
                          </w:txbxContent>
                        </wps:txbx>
                        <wps:bodyPr rot="0" vert="horz" wrap="square" lIns="0" tIns="28800" rIns="0" bIns="0" anchor="t" anchorCtr="0" upright="1">
                          <a:noAutofit/>
                        </wps:bodyPr>
                      </wps:wsp>
                      <wps:wsp>
                        <wps:cNvPr id="1529535922" name="Text Box 16"/>
                        <wps:cNvSpPr txBox="1">
                          <a:spLocks noChangeArrowheads="1"/>
                        </wps:cNvSpPr>
                        <wps:spPr bwMode="auto">
                          <a:xfrm>
                            <a:off x="4565" y="1662"/>
                            <a:ext cx="1830"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Lokala fackfö</w:t>
                              </w:r>
                              <w:r w:rsidRPr="009D719B">
                                <w:t>r</w:t>
                              </w:r>
                              <w:r w:rsidRPr="009D719B">
                                <w:t>bunden</w:t>
                              </w:r>
                            </w:p>
                          </w:txbxContent>
                        </wps:txbx>
                        <wps:bodyPr rot="0" vert="horz" wrap="square" lIns="0" tIns="28800" rIns="0" bIns="0" anchor="t" anchorCtr="0" upright="1">
                          <a:noAutofit/>
                        </wps:bodyPr>
                      </wps:wsp>
                      <wps:wsp>
                        <wps:cNvPr id="1255785828" name="Text Box 17"/>
                        <wps:cNvSpPr txBox="1">
                          <a:spLocks noChangeArrowheads="1"/>
                        </wps:cNvSpPr>
                        <wps:spPr bwMode="auto">
                          <a:xfrm>
                            <a:off x="1125" y="2292"/>
                            <a:ext cx="1575"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Förbandet</w:t>
                              </w:r>
                            </w:p>
                          </w:txbxContent>
                        </wps:txbx>
                        <wps:bodyPr rot="0" vert="horz" wrap="square" lIns="0" tIns="28800" rIns="0" bIns="0" anchor="t" anchorCtr="0" upright="1">
                          <a:noAutofit/>
                        </wps:bodyPr>
                      </wps:wsp>
                      <wps:wsp>
                        <wps:cNvPr id="89693435" name="Text Box 18"/>
                        <wps:cNvSpPr txBox="1">
                          <a:spLocks noChangeArrowheads="1"/>
                        </wps:cNvSpPr>
                        <wps:spPr bwMode="auto">
                          <a:xfrm>
                            <a:off x="4565" y="2292"/>
                            <a:ext cx="1830"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Lokala fac</w:t>
                              </w:r>
                              <w:r w:rsidRPr="009D719B">
                                <w:t>k</w:t>
                              </w:r>
                              <w:r w:rsidRPr="009D719B">
                                <w:t>klubbar</w:t>
                              </w:r>
                            </w:p>
                          </w:txbxContent>
                        </wps:txbx>
                        <wps:bodyPr rot="0" vert="horz" wrap="square" lIns="0" tIns="28800" rIns="0" bIns="0" anchor="t" anchorCtr="0" upright="1">
                          <a:noAutofit/>
                        </wps:bodyPr>
                      </wps:wsp>
                      <wps:wsp>
                        <wps:cNvPr id="860711484" name="Text Box 19"/>
                        <wps:cNvSpPr txBox="1">
                          <a:spLocks noChangeArrowheads="1"/>
                        </wps:cNvSpPr>
                        <wps:spPr bwMode="auto">
                          <a:xfrm>
                            <a:off x="1125" y="2913"/>
                            <a:ext cx="1575"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Lönesättande chef</w:t>
                              </w:r>
                            </w:p>
                          </w:txbxContent>
                        </wps:txbx>
                        <wps:bodyPr rot="0" vert="horz" wrap="square" lIns="0" tIns="28800" rIns="0" bIns="0" anchor="t" anchorCtr="0" upright="1">
                          <a:noAutofit/>
                        </wps:bodyPr>
                      </wps:wsp>
                      <wps:wsp>
                        <wps:cNvPr id="881420697" name="Text Box 20"/>
                        <wps:cNvSpPr txBox="1">
                          <a:spLocks noChangeArrowheads="1"/>
                        </wps:cNvSpPr>
                        <wps:spPr bwMode="auto">
                          <a:xfrm>
                            <a:off x="4565" y="2913"/>
                            <a:ext cx="1830" cy="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F14AF" w:rsidRPr="009D719B" w:rsidRDefault="001F14AF">
                              <w:pPr>
                                <w:pStyle w:val="Tabell"/>
                                <w:jc w:val="center"/>
                              </w:pPr>
                              <w:r w:rsidRPr="009D719B">
                                <w:t>Arbetstagare</w:t>
                              </w:r>
                            </w:p>
                          </w:txbxContent>
                        </wps:txbx>
                        <wps:bodyPr rot="0" vert="horz" wrap="square" lIns="0" tIns="28800" rIns="0" bIns="0" anchor="t" anchorCtr="0" upright="1">
                          <a:noAutofit/>
                        </wps:bodyPr>
                      </wps:wsp>
                      <wps:wsp>
                        <wps:cNvPr id="1054224235" name="Line 21"/>
                        <wps:cNvCnPr>
                          <a:cxnSpLocks noChangeShapeType="1"/>
                        </wps:cNvCnPr>
                        <wps:spPr bwMode="auto">
                          <a:xfrm>
                            <a:off x="3555" y="1965"/>
                            <a:ext cx="0" cy="2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53138421" name="Text Box 22"/>
                        <wps:cNvSpPr txBox="1">
                          <a:spLocks noChangeArrowheads="1"/>
                        </wps:cNvSpPr>
                        <wps:spPr bwMode="auto">
                          <a:xfrm>
                            <a:off x="2775" y="2289"/>
                            <a:ext cx="1575" cy="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
                                <w:jc w:val="center"/>
                              </w:pPr>
                              <w:r w:rsidRPr="009D719B">
                                <w:t>Förbandsavtal</w:t>
                              </w:r>
                            </w:p>
                          </w:txbxContent>
                        </wps:txbx>
                        <wps:bodyPr rot="0" vert="horz" wrap="square" lIns="0" tIns="28800" rIns="0" bIns="0" anchor="t" anchorCtr="0" upright="1">
                          <a:noAutofit/>
                        </wps:bodyPr>
                      </wps:wsp>
                      <wps:wsp>
                        <wps:cNvPr id="896054324" name="Line 23"/>
                        <wps:cNvCnPr>
                          <a:cxnSpLocks noChangeShapeType="1"/>
                        </wps:cNvCnPr>
                        <wps:spPr bwMode="auto">
                          <a:xfrm>
                            <a:off x="3555" y="2592"/>
                            <a:ext cx="0" cy="2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3511192" name="Text Box 24"/>
                        <wps:cNvSpPr txBox="1">
                          <a:spLocks noChangeArrowheads="1"/>
                        </wps:cNvSpPr>
                        <wps:spPr bwMode="auto">
                          <a:xfrm>
                            <a:off x="2775" y="2913"/>
                            <a:ext cx="1575" cy="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1F14AF" w:rsidRPr="009D719B" w:rsidRDefault="001F14AF">
                              <w:pPr>
                                <w:pStyle w:val="Tabell"/>
                                <w:jc w:val="center"/>
                              </w:pPr>
                              <w:r w:rsidRPr="009D719B">
                                <w:t>Lönesamtal</w:t>
                              </w:r>
                            </w:p>
                          </w:txbxContent>
                        </wps:txbx>
                        <wps:bodyPr rot="0" vert="horz" wrap="square" lIns="0" tIns="288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54" style="position:absolute;left:0;text-align:left;margin-left:8.55pt;margin-top:30.9pt;width:263.5pt;height:108.75pt;z-index:251656192" coordorigin="1125,1038" coordsize="527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" o:allowincell="f">
                <v:shape id="Text Box 10" o:spid="_x0000_s1055" type="#_x0000_t202" style="position:absolute;left:2775;top:1038;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">
                  <v:shadow on="t"/>
                  <v:textbox inset="0,.8mm,0,0">
                    <w:txbxContent>
                      <w:p w:rsidR="001F14AF" w:rsidRPr="009D719B" w:rsidRDefault="001F14AF">
                        <w:pPr>
                          <w:pStyle w:val="Tabell"/>
                          <w:jc w:val="center"/>
                        </w:pPr>
                        <w:r w:rsidRPr="009D719B">
                          <w:t>RALS</w:t>
                        </w:r>
                      </w:p>
                    </w:txbxContent>
                  </v:textbox>
                </v:shape>
                <v:shape id="Text Box 11" o:spid="_x0000_s1056" type="#_x0000_t202" style="position:absolute;left:2775;top:1662;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">
                  <v:shadow on="t"/>
                  <v:textbox inset="0,.8mm,0,0">
                    <w:txbxContent>
                      <w:p w:rsidR="001F14AF" w:rsidRPr="009D719B" w:rsidRDefault="001F14AF">
                        <w:pPr>
                          <w:pStyle w:val="Tabell"/>
                          <w:jc w:val="center"/>
                        </w:pPr>
                        <w:r w:rsidRPr="009D719B">
                          <w:t>Försvarsmakt</w:t>
                        </w:r>
                        <w:r w:rsidRPr="009D719B">
                          <w:t>s</w:t>
                        </w:r>
                        <w:r w:rsidRPr="009D719B">
                          <w:t>avtal</w:t>
                        </w:r>
                      </w:p>
                    </w:txbxContent>
                  </v:textbox>
                </v:shape>
                <v:line id="Line 12" o:spid="_x0000_s1057" style="position:absolute;visibility:visible;mso-wrap-style:square" from="3555,1335" to="3555,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">
                  <v:stroke endarrow="block" endarrowwidth="narrow" endarrowlength="short"/>
                </v:line>
                <v:shape id="Text Box 13" o:spid="_x0000_s1058" type="#_x0000_t202" style="position:absolute;left:1125;top:1038;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" stroked="f">
                  <v:textbox inset="0,.8mm,0,0">
                    <w:txbxContent>
                      <w:p w:rsidR="001F14AF" w:rsidRPr="009D719B" w:rsidRDefault="001F14AF">
                        <w:pPr>
                          <w:pStyle w:val="Tabell"/>
                          <w:jc w:val="center"/>
                        </w:pPr>
                        <w:r w:rsidRPr="009D719B">
                          <w:t>Arbetsgivarve</w:t>
                        </w:r>
                        <w:r w:rsidRPr="009D719B">
                          <w:t>r</w:t>
                        </w:r>
                        <w:r w:rsidRPr="009D719B">
                          <w:t>ket</w:t>
                        </w:r>
                      </w:p>
                    </w:txbxContent>
                  </v:textbox>
                </v:shape>
                <v:shape id="Text Box 14" o:spid="_x0000_s1059" type="#_x0000_t202" style="position:absolute;left:4565;top:1038;width:1830;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" stroked="f">
                  <v:textbox inset="0,.8mm,0,0">
                    <w:txbxContent>
                      <w:p w:rsidR="001F14AF" w:rsidRPr="009D719B" w:rsidRDefault="001F14AF">
                        <w:pPr>
                          <w:pStyle w:val="Tabell"/>
                          <w:jc w:val="center"/>
                          <w:rPr>
                            <w:u w:val="double"/>
                          </w:rPr>
                        </w:pPr>
                        <w:r w:rsidRPr="009D719B">
                          <w:t>Centrala fackförbu</w:t>
                        </w:r>
                        <w:r w:rsidRPr="009D719B">
                          <w:t>n</w:t>
                        </w:r>
                        <w:r w:rsidRPr="009D719B">
                          <w:t>den</w:t>
                        </w:r>
                      </w:p>
                    </w:txbxContent>
                  </v:textbox>
                </v:shape>
                <v:shape id="Text Box 15" o:spid="_x0000_s1060" type="#_x0000_t202" style="position:absolute;left:1125;top:1665;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" stroked="f">
                  <v:textbox inset="0,.8mm,0,0">
                    <w:txbxContent>
                      <w:p w:rsidR="001F14AF" w:rsidRPr="009D719B" w:rsidRDefault="001F14AF">
                        <w:pPr>
                          <w:pStyle w:val="Tabell"/>
                          <w:jc w:val="center"/>
                        </w:pPr>
                        <w:r w:rsidRPr="009D719B">
                          <w:t>Försvarsmakten</w:t>
                        </w:r>
                      </w:p>
                    </w:txbxContent>
                  </v:textbox>
                </v:shape>
                <v:shape id="Text Box 16" o:spid="_x0000_s1061" type="#_x0000_t202" style="position:absolute;left:4565;top:1662;width:18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" stroked="f">
                  <v:textbox inset="0,.8mm,0,0">
                    <w:txbxContent>
                      <w:p w:rsidR="001F14AF" w:rsidRPr="009D719B" w:rsidRDefault="001F14AF">
                        <w:pPr>
                          <w:pStyle w:val="Tabell"/>
                          <w:jc w:val="center"/>
                        </w:pPr>
                        <w:r w:rsidRPr="009D719B">
                          <w:t>Lokala fackfö</w:t>
                        </w:r>
                        <w:r w:rsidRPr="009D719B">
                          <w:t>r</w:t>
                        </w:r>
                        <w:r w:rsidRPr="009D719B">
                          <w:t>bunden</w:t>
                        </w:r>
                      </w:p>
                    </w:txbxContent>
                  </v:textbox>
                </v:shape>
                <v:shape id="Text Box 17" o:spid="_x0000_s1062" type="#_x0000_t202" style="position:absolute;left:1125;top:2292;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" stroked="f">
                  <v:textbox inset="0,.8mm,0,0">
                    <w:txbxContent>
                      <w:p w:rsidR="001F14AF" w:rsidRPr="009D719B" w:rsidRDefault="001F14AF">
                        <w:pPr>
                          <w:pStyle w:val="Tabell"/>
                          <w:jc w:val="center"/>
                        </w:pPr>
                        <w:r w:rsidRPr="009D719B">
                          <w:t>Förbandet</w:t>
                        </w:r>
                      </w:p>
                    </w:txbxContent>
                  </v:textbox>
                </v:shape>
                <v:shape id="Text Box 18" o:spid="_x0000_s1063" type="#_x0000_t202" style="position:absolute;left:4565;top:2292;width:18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" stroked="f">
                  <v:textbox inset="0,.8mm,0,0">
                    <w:txbxContent>
                      <w:p w:rsidR="001F14AF" w:rsidRPr="009D719B" w:rsidRDefault="001F14AF">
                        <w:pPr>
                          <w:pStyle w:val="Tabell"/>
                          <w:jc w:val="center"/>
                        </w:pPr>
                        <w:r w:rsidRPr="009D719B">
                          <w:t>Lokala fac</w:t>
                        </w:r>
                        <w:r w:rsidRPr="009D719B">
                          <w:t>k</w:t>
                        </w:r>
                        <w:r w:rsidRPr="009D719B">
                          <w:t>klubbar</w:t>
                        </w:r>
                      </w:p>
                    </w:txbxContent>
                  </v:textbox>
                </v:shape>
                <v:shape id="Text Box 19" o:spid="_x0000_s1064" type="#_x0000_t202" style="position:absolute;left:1125;top:2913;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" stroked="f">
                  <v:textbox inset="0,.8mm,0,0">
                    <w:txbxContent>
                      <w:p w:rsidR="001F14AF" w:rsidRPr="009D719B" w:rsidRDefault="001F14AF">
                        <w:pPr>
                          <w:pStyle w:val="Tabell"/>
                          <w:jc w:val="center"/>
                        </w:pPr>
                        <w:r w:rsidRPr="009D719B">
                          <w:t>Lönesättande chef</w:t>
                        </w:r>
                      </w:p>
                    </w:txbxContent>
                  </v:textbox>
                </v:shape>
                <v:shape id="Text Box 20" o:spid="_x0000_s1065" type="#_x0000_t202" style="position:absolute;left:4565;top:2913;width:18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" stroked="f">
                  <v:textbox inset="0,.8mm,0,0">
                    <w:txbxContent>
                      <w:p w:rsidR="001F14AF" w:rsidRPr="009D719B" w:rsidRDefault="001F14AF">
                        <w:pPr>
                          <w:pStyle w:val="Tabell"/>
                          <w:jc w:val="center"/>
                        </w:pPr>
                        <w:r w:rsidRPr="009D719B">
                          <w:t>Arbetstagare</w:t>
                        </w:r>
                      </w:p>
                    </w:txbxContent>
                  </v:textbox>
                </v:shape>
                <v:line id="Line 21" o:spid="_x0000_s1066" style="position:absolute;visibility:visible;mso-wrap-style:square" from="3555,1965" to="3555,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">
                  <v:stroke endarrow="block" endarrowwidth="narrow" endarrowlength="short"/>
                </v:line>
                <v:shape id="Text Box 22" o:spid="_x0000_s1067" type="#_x0000_t202" style="position:absolute;left:2775;top:2289;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">
                  <v:shadow on="t"/>
                  <v:textbox inset="0,.8mm,0,0">
                    <w:txbxContent>
                      <w:p w:rsidR="001F14AF" w:rsidRPr="009D719B" w:rsidRDefault="001F14AF">
                        <w:pPr>
                          <w:pStyle w:val="Tabell"/>
                          <w:jc w:val="center"/>
                        </w:pPr>
                        <w:r w:rsidRPr="009D719B">
                          <w:t>Förbandsavtal</w:t>
                        </w:r>
                      </w:p>
                    </w:txbxContent>
                  </v:textbox>
                </v:shape>
                <v:line id="Line 23" o:spid="_x0000_s1068" style="position:absolute;visibility:visible;mso-wrap-style:square" from="3555,2592" to="3555,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">
                  <v:stroke endarrow="block" endarrowwidth="narrow" endarrowlength="short"/>
                </v:line>
                <v:shape id="Text Box 24" o:spid="_x0000_s1069" type="#_x0000_t202" style="position:absolute;left:2775;top:2913;width:157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">
                  <v:shadow on="t"/>
                  <v:textbox inset="0,.8mm,0,0">
                    <w:txbxContent>
                      <w:p w:rsidR="001F14AF" w:rsidRPr="009D719B" w:rsidRDefault="001F14AF">
                        <w:pPr>
                          <w:pStyle w:val="Tabell"/>
                          <w:jc w:val="center"/>
                        </w:pPr>
                        <w:r w:rsidRPr="009D719B">
                          <w:t>Lönesamtal</w:t>
                        </w:r>
                      </w:p>
                    </w:txbxContent>
                  </v:textbox>
                </v:shape>
                <w10:wrap type="topAndBottom"/>
              </v:group>
            </w:pict>
          </mc:Fallback>
        </mc:AlternateContent>
      </w:r>
      <w:r w:rsidR="001F14AF" w:rsidRPr="009D719B">
        <w:t xml:space="preserve">Figur </w:t>
      </w:r>
      <w:r w:rsidR="001F14AF" w:rsidRPr="009D719B">
        <w:t>6</w:t>
      </w:r>
      <w:r w:rsidR="001F14AF" w:rsidRPr="009D719B">
        <w:t>.</w:t>
      </w:r>
      <w:r w:rsidR="001F14AF" w:rsidRPr="009D719B">
        <w:t>1</w:t>
      </w:r>
      <w:r w:rsidR="001F14AF" w:rsidRPr="009D719B">
        <w:tab/>
        <w:t>Löneförhandlingar inom Försvarsmakten</w:t>
      </w:r>
    </w:p>
    <w:p w:rsidR="001F14AF" w:rsidRPr="009D719B" w:rsidRDefault="001F14AF">
      <w:pPr>
        <w:pStyle w:val="Tabell"/>
      </w:pPr>
    </w:p>
    <w:p w:rsidR="001F14AF" w:rsidRPr="009D719B" w:rsidRDefault="001F14AF">
      <w:r w:rsidRPr="009D719B">
        <w:t>Den i figuren beskrivna lönebildningskedjan är en bild av hur lönebildningen är tänkt att fungera vid förbanden. I denna granskning används uttrycket försvarsmaktsnivå för att beteckna förhandling och avtal på lokal nivå (me</w:t>
      </w:r>
      <w:r w:rsidRPr="009D719B">
        <w:t>l</w:t>
      </w:r>
      <w:r w:rsidRPr="009D719B">
        <w:t>lan Högkvarteret och de fackliga organisationerna) samt uttrycket förband</w:t>
      </w:r>
      <w:r w:rsidRPr="009D719B">
        <w:t>s</w:t>
      </w:r>
      <w:r w:rsidRPr="009D719B">
        <w:t>nivå (förbandsavtal) för att beteckna förhandling och avtal på lokal-lokal nivå, dvs. på förband, skolor och centrum.</w:t>
      </w:r>
    </w:p>
    <w:p w:rsidR="001F14AF" w:rsidRPr="009D719B" w:rsidRDefault="001F14AF">
      <w:pPr>
        <w:pStyle w:val="Rubrik2"/>
      </w:pPr>
      <w:bookmarkStart w:id="127" w:name="_Toc32301659"/>
      <w:bookmarkStart w:id="128" w:name="_Toc38080823"/>
      <w:bookmarkStart w:id="129" w:name="_Toc38103361"/>
      <w:r w:rsidRPr="009D719B">
        <w:t>Förhandling på central nivå</w:t>
      </w:r>
      <w:bookmarkEnd w:id="127"/>
      <w:bookmarkEnd w:id="128"/>
      <w:bookmarkEnd w:id="129"/>
    </w:p>
    <w:p w:rsidR="001F14AF" w:rsidRPr="009D719B" w:rsidRDefault="001F14AF">
      <w:r w:rsidRPr="009D719B">
        <w:t>Arbetsgivarverket ombildades 1994 och är sedan dess en utpräglad arbetsg</w:t>
      </w:r>
      <w:r w:rsidRPr="009D719B">
        <w:t>i</w:t>
      </w:r>
      <w:r w:rsidRPr="009D719B">
        <w:t>varorganisation. För samtliga statliga myndigheter är medlemskap i Arbet</w:t>
      </w:r>
      <w:r w:rsidRPr="009D719B">
        <w:t>s</w:t>
      </w:r>
      <w:r w:rsidRPr="009D719B">
        <w:t>givarverket obligatoriskt och Arbetsgivarverket finansieras helt med me</w:t>
      </w:r>
      <w:r w:rsidRPr="009D719B">
        <w:t>d</w:t>
      </w:r>
      <w:r w:rsidRPr="009D719B">
        <w:t xml:space="preserve">lemsavgifter. Arbetsgivarverket är trots det en myndighet under regeringen. </w:t>
      </w:r>
    </w:p>
    <w:p w:rsidR="001F14AF" w:rsidRPr="009D719B" w:rsidRDefault="001F14AF">
      <w:pPr>
        <w:pStyle w:val="Normaltindrag"/>
      </w:pPr>
      <w:r w:rsidRPr="009D719B">
        <w:br w:type="page"/>
      </w:r>
      <w:r w:rsidRPr="009D719B">
        <w:lastRenderedPageBreak/>
        <w:t>Enligt regeringens instruktion till Arbetsgivarverket (1994:272) har verket fyra funktioner. Arbetsgivarverket ska:</w:t>
      </w:r>
    </w:p>
    <w:p w:rsidR="001F14AF" w:rsidRPr="009D719B" w:rsidRDefault="001F14AF">
      <w:pPr>
        <w:pStyle w:val="Normaltindrag"/>
        <w:numPr>
          <w:ilvl w:val="0"/>
          <w:numId w:val="53"/>
        </w:numPr>
        <w:ind w:left="530"/>
      </w:pPr>
      <w:r w:rsidRPr="009D719B">
        <w:t>utveckla och samordna den statliga arbetsgivarpolitiken,</w:t>
      </w:r>
    </w:p>
    <w:p w:rsidR="001F14AF" w:rsidRPr="009D719B" w:rsidRDefault="001F14AF">
      <w:pPr>
        <w:pStyle w:val="Normaltindrag"/>
        <w:numPr>
          <w:ilvl w:val="0"/>
          <w:numId w:val="53"/>
        </w:numPr>
        <w:ind w:left="530"/>
      </w:pPr>
      <w:r w:rsidRPr="009D719B">
        <w:t>vara central förhandlingspart för de statliga arbetsgivarna och företräda dessa i arbetstvister,</w:t>
      </w:r>
    </w:p>
    <w:p w:rsidR="001F14AF" w:rsidRPr="009D719B" w:rsidRDefault="001F14AF">
      <w:pPr>
        <w:pStyle w:val="Normaltindrag"/>
        <w:numPr>
          <w:ilvl w:val="0"/>
          <w:numId w:val="53"/>
        </w:numPr>
        <w:ind w:left="530"/>
      </w:pPr>
      <w:r w:rsidRPr="009D719B">
        <w:t>svara för den information, rådgivning och utbildning som statliga a</w:t>
      </w:r>
      <w:r w:rsidRPr="009D719B">
        <w:t>r</w:t>
      </w:r>
      <w:r w:rsidRPr="009D719B">
        <w:t>betsg</w:t>
      </w:r>
      <w:r w:rsidRPr="009D719B">
        <w:t>i</w:t>
      </w:r>
      <w:r w:rsidRPr="009D719B">
        <w:t>vare behöver samt</w:t>
      </w:r>
    </w:p>
    <w:p w:rsidR="001F14AF" w:rsidRPr="009D719B" w:rsidRDefault="001F14AF">
      <w:pPr>
        <w:pStyle w:val="Normaltindrag"/>
        <w:numPr>
          <w:ilvl w:val="0"/>
          <w:numId w:val="53"/>
        </w:numPr>
        <w:ind w:left="530"/>
      </w:pPr>
      <w:r w:rsidRPr="009D719B">
        <w:t>utföra sådana stabsuppgifter som regeringen kan komma att efterfr</w:t>
      </w:r>
      <w:r w:rsidRPr="009D719B">
        <w:t>å</w:t>
      </w:r>
      <w:r w:rsidRPr="009D719B">
        <w:t>ga.</w:t>
      </w:r>
    </w:p>
    <w:p w:rsidR="001F14AF" w:rsidRPr="009D719B" w:rsidRDefault="001F14AF">
      <w:r w:rsidRPr="009D719B">
        <w:t>Arbetsgivarverkets stabsuppgifter till regeringen utgör i sammanhanget en mycket liten del. Under 2001 utgjorde stabsuppgifterna 2 % av Arbetsgiva</w:t>
      </w:r>
      <w:r w:rsidRPr="009D719B">
        <w:t>r</w:t>
      </w:r>
      <w:r w:rsidRPr="009D719B">
        <w:t xml:space="preserve">verkets totala kostnader. </w:t>
      </w:r>
    </w:p>
    <w:p w:rsidR="001F14AF" w:rsidRPr="009D719B" w:rsidRDefault="001F14AF">
      <w:pPr>
        <w:pStyle w:val="Normaltindrag"/>
      </w:pPr>
      <w:r w:rsidRPr="009D719B">
        <w:t>Arbetsgivarverket är central förhandlingspart för de statliga arbetsgivarna. Däremot deltar Arbetsgivarverket inte i lokala förhandlingar vid medlem</w:t>
      </w:r>
      <w:r w:rsidRPr="009D719B">
        <w:t>s</w:t>
      </w:r>
      <w:r w:rsidRPr="009D719B">
        <w:t>myndigheterna om inte myndigheten bjuder in verket. Regeringen kan heller inte uppmana verket att lägga sig i arbetsgivarfrågor vid myndigheterna.</w:t>
      </w:r>
    </w:p>
    <w:p w:rsidR="001F14AF" w:rsidRPr="009D719B" w:rsidRDefault="001F14AF">
      <w:pPr>
        <w:pStyle w:val="Normaltindrag"/>
      </w:pPr>
      <w:r w:rsidRPr="009D719B">
        <w:t>Arbetsgivarverkets samordning av den statliga arbetsgivarpolitiken har på senare tid fått kritik i flera utredningar. Riksdagens revisorer konstaterade i en informationsrapport att samordningen brustit vid lönebildningen inom Domstolsverket  (informationsrapport 2001/02:1). Enligt revisorerna hade Arbetsgivarverket i det aktuella fallet i praktiken avsagt sig sa</w:t>
      </w:r>
      <w:r w:rsidRPr="009D719B">
        <w:t>mordningsa</w:t>
      </w:r>
      <w:r w:rsidRPr="009D719B">
        <w:t>n</w:t>
      </w:r>
      <w:r w:rsidRPr="009D719B">
        <w:t xml:space="preserve">svaret. Även i utredningen om den arbetsgivarpolitiska delegeringen i staten (SOU 2002:32) konstaterades att samordningen av arbetsgivarpolitiken i staten behövde förbättras. </w:t>
      </w:r>
    </w:p>
    <w:p w:rsidR="001F14AF" w:rsidRPr="009D719B" w:rsidRDefault="001F14AF">
      <w:pPr>
        <w:pStyle w:val="Rubrik3-Utannumrering"/>
      </w:pPr>
      <w:bookmarkStart w:id="130" w:name="_Toc38080824"/>
      <w:r w:rsidRPr="009D719B">
        <w:t>Försvarsmaktens samarbete med Arbetsgivarverket</w:t>
      </w:r>
      <w:bookmarkEnd w:id="130"/>
    </w:p>
    <w:p w:rsidR="001F14AF" w:rsidRPr="009D719B" w:rsidRDefault="001F14AF">
      <w:r w:rsidRPr="009D719B">
        <w:t>Försvarsmakten är en av de största statliga myndigheterna och en viktig medlem av Arbetsgivarverket. Arbetsgivarpolitiken inom Försvarsmakten har också varit ett problematiskt kapitel, vilket avspeglas i en relativt tät samverkan mellan Försvarsmakten och Arbetsgiva</w:t>
      </w:r>
      <w:r w:rsidRPr="009D719B">
        <w:t>r</w:t>
      </w:r>
      <w:r w:rsidRPr="009D719B">
        <w:t>verket.</w:t>
      </w:r>
    </w:p>
    <w:p w:rsidR="001F14AF" w:rsidRPr="009D719B" w:rsidRDefault="001F14AF">
      <w:pPr>
        <w:pStyle w:val="Normaltindrag"/>
      </w:pPr>
      <w:r w:rsidRPr="009D719B">
        <w:t>Försvarsmakten samarbetar med andra större statliga arbetsgivare i den s.k. centro-gruppen inom Arbetsgivarverket. Försvarsmakten har också rege</w:t>
      </w:r>
      <w:r w:rsidRPr="009D719B">
        <w:t>l</w:t>
      </w:r>
      <w:r w:rsidRPr="009D719B">
        <w:t>bundna möten med Försvarsdepartementet och Arbetsgivarverket i en info</w:t>
      </w:r>
      <w:r w:rsidRPr="009D719B">
        <w:t>r</w:t>
      </w:r>
      <w:r w:rsidRPr="009D719B">
        <w:t>mell kontaktgrupp inom Arbetsg</w:t>
      </w:r>
      <w:r w:rsidRPr="009D719B">
        <w:t>i</w:t>
      </w:r>
      <w:r w:rsidRPr="009D719B">
        <w:t xml:space="preserve">varverket. </w:t>
      </w:r>
    </w:p>
    <w:p w:rsidR="001F14AF" w:rsidRPr="009D719B" w:rsidRDefault="001F14AF">
      <w:pPr>
        <w:pStyle w:val="Normaltindrag"/>
      </w:pPr>
      <w:r w:rsidRPr="009D719B">
        <w:t>Inför omförhandlingarna av Försvarsmaktens nya arbetstidsavtal 2001 hade Försvarsmakten också stort stöd av Arbetsgivarverket. I RALS 2001 fanns tidsramar inom vilka parterna skulle komma överens om ett nytt a</w:t>
      </w:r>
      <w:r w:rsidRPr="009D719B">
        <w:t>r</w:t>
      </w:r>
      <w:r w:rsidRPr="009D719B">
        <w:t>betstidsavtal. Enligt Försvarsmakten var denna påtryckning från de centrala parterna en förutsättning för att man skulle lyckas komma överens inom myndi</w:t>
      </w:r>
      <w:r w:rsidRPr="009D719B">
        <w:t>g</w:t>
      </w:r>
      <w:r w:rsidRPr="009D719B">
        <w:t>heten.</w:t>
      </w:r>
    </w:p>
    <w:p w:rsidR="001F14AF" w:rsidRPr="009D719B" w:rsidRDefault="001F14AF">
      <w:pPr>
        <w:pStyle w:val="Rubrik2"/>
      </w:pPr>
      <w:bookmarkStart w:id="131" w:name="_Toc32301660"/>
      <w:bookmarkStart w:id="132" w:name="_Toc38080825"/>
      <w:bookmarkStart w:id="133" w:name="_Toc38103362"/>
      <w:r w:rsidRPr="009D719B">
        <w:t>Förhandling på försvarsmaktsnivå</w:t>
      </w:r>
      <w:bookmarkEnd w:id="131"/>
      <w:bookmarkEnd w:id="132"/>
      <w:bookmarkEnd w:id="133"/>
    </w:p>
    <w:p w:rsidR="001F14AF" w:rsidRPr="009D719B" w:rsidRDefault="001F14AF">
      <w:r w:rsidRPr="009D719B">
        <w:t>På försvarsmaktsnivå förhandlar Försvarsmakten huvudsakligen med fyra olika arbetstagarorganisationer: Officersförbundet, Försvarsförbundet, SEKO och SACO försvar.</w:t>
      </w:r>
    </w:p>
    <w:p w:rsidR="001F14AF" w:rsidRPr="009D719B" w:rsidRDefault="001F14AF">
      <w:pPr>
        <w:pStyle w:val="Normaltindrag"/>
      </w:pPr>
      <w:r w:rsidRPr="009D719B">
        <w:rPr>
          <w:i/>
        </w:rPr>
        <w:t>Officersförbundet</w:t>
      </w:r>
      <w:r w:rsidRPr="009D719B">
        <w:t xml:space="preserve"> organiserar yrkesofficerare och blivande officerare. Fö</w:t>
      </w:r>
      <w:r w:rsidRPr="009D719B">
        <w:t>r</w:t>
      </w:r>
      <w:r w:rsidRPr="009D719B">
        <w:t xml:space="preserve">bundet driver förhandlingar inom en sektion av </w:t>
      </w:r>
      <w:r w:rsidRPr="009D719B">
        <w:rPr>
          <w:i/>
        </w:rPr>
        <w:t>Offentliganställdas förhan</w:t>
      </w:r>
      <w:r w:rsidRPr="009D719B">
        <w:rPr>
          <w:i/>
        </w:rPr>
        <w:t>d</w:t>
      </w:r>
      <w:r w:rsidRPr="009D719B">
        <w:rPr>
          <w:i/>
        </w:rPr>
        <w:t>lingsråd</w:t>
      </w:r>
      <w:r w:rsidRPr="009D719B">
        <w:t xml:space="preserve"> (OFR). OFR består av tre sektioner: poliser, officerare och statsa</w:t>
      </w:r>
      <w:r w:rsidRPr="009D719B">
        <w:t>n</w:t>
      </w:r>
      <w:r w:rsidRPr="009D719B">
        <w:t xml:space="preserve">ställda. Officersförbundet förhandlar således genom OFR/O medan t.ex. Försvarsförbundet sköter sina förhandlingar med Försvarsmakten genom OFR/S. Officersförbundet har 11 000 medlemmar, vilket innebär att 95 % av landets yrkesofficerare är medlemmar. </w:t>
      </w:r>
    </w:p>
    <w:p w:rsidR="001F14AF" w:rsidRPr="009D719B" w:rsidRDefault="001F14AF">
      <w:pPr>
        <w:pStyle w:val="Normaltindrag"/>
      </w:pPr>
      <w:r w:rsidRPr="009D719B">
        <w:rPr>
          <w:i/>
        </w:rPr>
        <w:t>Försvarsförbundet</w:t>
      </w:r>
      <w:r w:rsidRPr="009D719B">
        <w:t xml:space="preserve"> är ett förbund inom TCO men driver förhandlingar g</w:t>
      </w:r>
      <w:r w:rsidRPr="009D719B">
        <w:t>e</w:t>
      </w:r>
      <w:r w:rsidRPr="009D719B">
        <w:t>nom OFR/S. Förbundet har drygt 5 000 medlemmar och organiserar civila</w:t>
      </w:r>
      <w:r w:rsidRPr="009D719B">
        <w:t>n</w:t>
      </w:r>
      <w:r w:rsidRPr="009D719B">
        <w:t>ställda inom Försvarsmakten och stödmyndigheterna. Man har dock inget formellt hinder för att även organ</w:t>
      </w:r>
      <w:r w:rsidRPr="009D719B">
        <w:t>i</w:t>
      </w:r>
      <w:r w:rsidRPr="009D719B">
        <w:t>sera officerare.</w:t>
      </w:r>
    </w:p>
    <w:p w:rsidR="001F14AF" w:rsidRPr="009D719B" w:rsidRDefault="001F14AF">
      <w:pPr>
        <w:pStyle w:val="Normaltindrag"/>
      </w:pPr>
      <w:r w:rsidRPr="009D719B">
        <w:rPr>
          <w:i/>
        </w:rPr>
        <w:t>Facket för service och kommunikation</w:t>
      </w:r>
      <w:r w:rsidRPr="009D719B">
        <w:t xml:space="preserve"> (SEKO) organiserar även de civi</w:t>
      </w:r>
      <w:r w:rsidRPr="009D719B">
        <w:t>l</w:t>
      </w:r>
      <w:r w:rsidRPr="009D719B">
        <w:t>anställda inom Försvarsmakten. SEKO har 11 000 medlemmar inom området försvar, varav 9 000 medlemmar som arbetar inom myndigheten Försvar</w:t>
      </w:r>
      <w:r w:rsidRPr="009D719B">
        <w:t>s</w:t>
      </w:r>
      <w:r w:rsidRPr="009D719B">
        <w:t>makten. De anställda inom Försvarsmakten som SEKO organiserar finns framför allt, men inte uteslutande, i de lägre betalda stödtjänsterna. Det finns ingen klar gräns mellan vilka som är organiserade av SEKO och Försvar</w:t>
      </w:r>
      <w:r w:rsidRPr="009D719B">
        <w:t>s</w:t>
      </w:r>
      <w:r w:rsidRPr="009D719B">
        <w:t>förbundet. Inom SEKO finns även ett mycket litet antal yrkesofficerare som valt förbundet av politiska skäl. SEKO har dock</w:t>
      </w:r>
      <w:r w:rsidRPr="009D719B">
        <w:t xml:space="preserve"> inga möjligheter att driva dessa yrkesoffic</w:t>
      </w:r>
      <w:r w:rsidRPr="009D719B">
        <w:t>e</w:t>
      </w:r>
      <w:r w:rsidRPr="009D719B">
        <w:t>rares frågor.</w:t>
      </w:r>
    </w:p>
    <w:p w:rsidR="001F14AF" w:rsidRPr="009D719B" w:rsidRDefault="001F14AF">
      <w:pPr>
        <w:pStyle w:val="Normaltindrag"/>
      </w:pPr>
      <w:r w:rsidRPr="009D719B">
        <w:rPr>
          <w:i/>
        </w:rPr>
        <w:t>SACO försvar</w:t>
      </w:r>
      <w:r w:rsidRPr="009D719B">
        <w:t xml:space="preserve"> har drygt 1 000 medlemmar inom Försvarsmakten. Inom SACO försvar organiseras framför allt civilanställda akademiker inom Fö</w:t>
      </w:r>
      <w:r w:rsidRPr="009D719B">
        <w:t>r</w:t>
      </w:r>
      <w:r w:rsidRPr="009D719B">
        <w:t>svarsmakten. Officersförbundet är visserligen formellt ett förbund inom SACO, men driver förhandlingar genom Offentliganställdas förhandlingsråd (OFR).</w:t>
      </w:r>
    </w:p>
    <w:p w:rsidR="001F14AF" w:rsidRPr="009D719B" w:rsidRDefault="001F14AF">
      <w:pPr>
        <w:pStyle w:val="Rubrik3-Utannumrering"/>
      </w:pPr>
      <w:bookmarkStart w:id="134" w:name="_Toc38080826"/>
      <w:r w:rsidRPr="009D719B">
        <w:t>Försvarsmaktens löneavtal – lönetilläggen</w:t>
      </w:r>
      <w:bookmarkEnd w:id="134"/>
    </w:p>
    <w:p w:rsidR="001F14AF" w:rsidRPr="009D719B" w:rsidRDefault="001F14AF">
      <w:r w:rsidRPr="009D719B">
        <w:t>Försvarsmakten slöt under våren 2001 ett nytt försvarsmaktsavtal om löner. Bakgrunden till det nya avtalet var enligt Försvarsmakten bl.a. den kritik som RRV framfört i sina granskningar av formerna för lönebildningen.</w:t>
      </w:r>
      <w:r w:rsidRPr="009D719B">
        <w:rPr>
          <w:rStyle w:val="Fotnotsreferens"/>
        </w:rPr>
        <w:footnoteReference w:id="24"/>
      </w:r>
      <w:r w:rsidRPr="009D719B">
        <w:t xml:space="preserve"> Bland annat menade RRV i sin granskning att det borde vara möjligt att minska kostnaden för tilläggen genom en ändrad tillämpning. Samtidigt framhöll RRV att man inte ifr</w:t>
      </w:r>
      <w:r w:rsidRPr="009D719B">
        <w:t>å</w:t>
      </w:r>
      <w:r w:rsidRPr="009D719B">
        <w:t xml:space="preserve">gasatte systemet med lönetillägg som sådant. </w:t>
      </w:r>
    </w:p>
    <w:p w:rsidR="001F14AF" w:rsidRPr="009D719B" w:rsidRDefault="001F14AF">
      <w:pPr>
        <w:pStyle w:val="Normaltindrag"/>
      </w:pPr>
      <w:r w:rsidRPr="009D719B">
        <w:t>Den viktigaste nyheten med Försvarsmaktens nya löneavtal var att me</w:t>
      </w:r>
      <w:r w:rsidRPr="009D719B">
        <w:t>r</w:t>
      </w:r>
      <w:r w:rsidRPr="009D719B">
        <w:t>parten av Försvarsmaktens befattningsgrundade lönetillägg för yrkesofficer</w:t>
      </w:r>
      <w:r w:rsidRPr="009D719B">
        <w:t>a</w:t>
      </w:r>
      <w:r w:rsidRPr="009D719B">
        <w:t>re avskaffades fr.o.m. år 2001. Lönetilläggen löstes in genom att värdet på tilläggen lades till den anställdes grundlön. Regeringen bedömde i budge</w:t>
      </w:r>
      <w:r w:rsidRPr="009D719B">
        <w:t>t</w:t>
      </w:r>
      <w:r w:rsidRPr="009D719B">
        <w:t>propositionen för 2003 att lönetillägg med ett värde av 100–150 miljoner kr överförts till de anställdas grundlöner.</w:t>
      </w:r>
    </w:p>
    <w:p w:rsidR="001F14AF" w:rsidRPr="009D719B" w:rsidRDefault="001F14AF">
      <w:pPr>
        <w:pStyle w:val="Normaltindrag"/>
      </w:pPr>
      <w:r w:rsidRPr="009D719B">
        <w:t>Parterna har i samband med Försvarsmaktens löneavtal kommit överens om att bedömningen inför lönesättningen ska vara en helhet av bedömning</w:t>
      </w:r>
      <w:r w:rsidRPr="009D719B">
        <w:t>s</w:t>
      </w:r>
      <w:r w:rsidRPr="009D719B">
        <w:t>kriterier, där även sådana kriterier som tidigare varit grunden för lönetillägg kan omfattas. Försvarsmakten har som arbetsgivare i protokollet till lönea</w:t>
      </w:r>
      <w:r w:rsidRPr="009D719B">
        <w:t>v</w:t>
      </w:r>
      <w:r w:rsidRPr="009D719B">
        <w:t>talet ensidigt uttryckt att lönebildningen ska grundas på befattningsvärdering (enligt det befattningsvärderingssystem som nämndes ovan), prestationsvä</w:t>
      </w:r>
      <w:r w:rsidRPr="009D719B">
        <w:t>r</w:t>
      </w:r>
      <w:r w:rsidRPr="009D719B">
        <w:t>dering av individen samt bedömningen av marknaden för den aktuella b</w:t>
      </w:r>
      <w:r w:rsidRPr="009D719B">
        <w:t>e</w:t>
      </w:r>
      <w:r w:rsidRPr="009D719B">
        <w:t>fattningskategorin. Detta är den inriktning för lönebildningen som Försvar</w:t>
      </w:r>
      <w:r w:rsidRPr="009D719B">
        <w:t>s</w:t>
      </w:r>
      <w:r w:rsidRPr="009D719B">
        <w:t>makten slagit fast i sin lönepolicy. Försvarsmaktens lönepol</w:t>
      </w:r>
      <w:r w:rsidRPr="009D719B">
        <w:t>icy har dock inte fått sådan acceptans hos fackförbunden att den kan uttryckas som en geme</w:t>
      </w:r>
      <w:r w:rsidRPr="009D719B">
        <w:t>n</w:t>
      </w:r>
      <w:r w:rsidRPr="009D719B">
        <w:t>sam ståndpunkt i a</w:t>
      </w:r>
      <w:r w:rsidRPr="009D719B">
        <w:t>v</w:t>
      </w:r>
      <w:r w:rsidRPr="009D719B">
        <w:t xml:space="preserve">talet. </w:t>
      </w:r>
    </w:p>
    <w:p w:rsidR="001F14AF" w:rsidRPr="009D719B" w:rsidRDefault="001F14AF">
      <w:pPr>
        <w:pStyle w:val="Normaltindrag"/>
      </w:pPr>
      <w:r w:rsidRPr="009D719B">
        <w:t>Officersförbundet var dock kritiskt till att avskaffa lönetilläggen och anser att avvecklingen inte gynnat verksamhetsintresset. Tvärtom menar förbundet att avvecklingen av lönetilläggen snedvrider lönestrukturen och skapar spä</w:t>
      </w:r>
      <w:r w:rsidRPr="009D719B">
        <w:t>n</w:t>
      </w:r>
      <w:r w:rsidRPr="009D719B">
        <w:t>ningar inom organisationen. Ett lönetillägg betalades tidigare tillfälligt ut till en anställd och togs bort (i vissa fall successivt) när den anställde fick ändr</w:t>
      </w:r>
      <w:r w:rsidRPr="009D719B">
        <w:t>a</w:t>
      </w:r>
      <w:r w:rsidRPr="009D719B">
        <w:t>de arbetsförhållanden som inte längre berättigade tillägget. Officersförbundet menar att det system som råder från den 1 april 2001 där lönetillägget i stä</w:t>
      </w:r>
      <w:r w:rsidRPr="009D719B">
        <w:t>l</w:t>
      </w:r>
      <w:r w:rsidRPr="009D719B">
        <w:t>let inkluderas i månadslönen innebär att den anställde permanent får en högre lön. Det skapar löneskillnader mellan personer med likvärdiga arbetsuppgi</w:t>
      </w:r>
      <w:r w:rsidRPr="009D719B">
        <w:t>f</w:t>
      </w:r>
      <w:r w:rsidRPr="009D719B">
        <w:t>ter beroende på vilka tidigare arbetsupp</w:t>
      </w:r>
      <w:r w:rsidRPr="009D719B">
        <w:t>gifter personen haft.</w:t>
      </w:r>
    </w:p>
    <w:p w:rsidR="001F14AF" w:rsidRPr="009D719B" w:rsidRDefault="001F14AF">
      <w:pPr>
        <w:pStyle w:val="Rubrik3-Utannumrering"/>
      </w:pPr>
      <w:bookmarkStart w:id="135" w:name="_Toc38080827"/>
      <w:r w:rsidRPr="009D719B">
        <w:t>Avtal om lönerevision (RALS)</w:t>
      </w:r>
      <w:bookmarkEnd w:id="135"/>
    </w:p>
    <w:p w:rsidR="001F14AF" w:rsidRPr="009D719B" w:rsidRDefault="001F14AF">
      <w:r w:rsidRPr="009D719B">
        <w:t>Baserat på de centrala ramavtalen inom det statliga området (RALS) fö</w:t>
      </w:r>
      <w:r w:rsidRPr="009D719B">
        <w:t>r</w:t>
      </w:r>
      <w:r w:rsidRPr="009D719B">
        <w:t>handlar Försvarsmakten och de berörda fackförbunden fram ett försvar</w:t>
      </w:r>
      <w:r w:rsidRPr="009D719B">
        <w:t>s</w:t>
      </w:r>
      <w:r w:rsidRPr="009D719B">
        <w:t>maktsavtal om löner. Före 2002 fungerade systemet så att det löneökningsu</w:t>
      </w:r>
      <w:r w:rsidRPr="009D719B">
        <w:t>t</w:t>
      </w:r>
      <w:r w:rsidRPr="009D719B">
        <w:t>rymme som förhandlades fram på försvarsmaktsnivå gällde för alla förband, skolor och centrum. Förbanden fick sedan medel för att täcka den avtalade löneöknin</w:t>
      </w:r>
      <w:r w:rsidRPr="009D719B">
        <w:t>g</w:t>
      </w:r>
      <w:r w:rsidRPr="009D719B">
        <w:t>en.</w:t>
      </w:r>
    </w:p>
    <w:p w:rsidR="001F14AF" w:rsidRPr="009D719B" w:rsidRDefault="001F14AF">
      <w:pPr>
        <w:pStyle w:val="Normaltindrag"/>
      </w:pPr>
      <w:r w:rsidRPr="009D719B">
        <w:t>Från och med RALS 2002–2004 har Försvarsmakten modifierat sitt system för lönerevision. Förbanden och de lokala arbetstagarorganisationerna ko</w:t>
      </w:r>
      <w:r w:rsidRPr="009D719B">
        <w:t>m</w:t>
      </w:r>
      <w:r w:rsidRPr="009D719B">
        <w:t>mer nu först överens om en gällande lönebild och en önskvärd lönebild vid förbandet. Förbandschefen får sedan ett mandat från Högkvarteret att sätta löner för denna önskvärda lönebild. Mandatet från Högkvarteret behöver inte överensstämma med den, enligt förbandet och arbetstagarorganisationen överenskomna, önskvärda lönebilden. Ambitionen är att förbanden ska lägga ned energi på att ta fram en önskvärd målbild för lönesättningen. Detta s</w:t>
      </w:r>
      <w:r w:rsidRPr="009D719B">
        <w:t>y</w:t>
      </w:r>
      <w:r w:rsidRPr="009D719B">
        <w:t>stem innebär, till skillnad från tidigare system, att förbanden sins</w:t>
      </w:r>
      <w:r w:rsidRPr="009D719B">
        <w:t>emellan får olika stora löneökningsutrymmen under 2002.</w:t>
      </w:r>
    </w:p>
    <w:p w:rsidR="001F14AF" w:rsidRPr="009D719B" w:rsidRDefault="001F14AF">
      <w:pPr>
        <w:pStyle w:val="Normaltindrag"/>
      </w:pPr>
      <w:r w:rsidRPr="009D719B">
        <w:t>Förutom en differentiering i löner mellan olika förband innebär det nya s</w:t>
      </w:r>
      <w:r w:rsidRPr="009D719B">
        <w:t>y</w:t>
      </w:r>
      <w:r w:rsidRPr="009D719B">
        <w:t>stemet för lönerevision att förbanden förväntas lägga ned ett större arbete än tidigare på lönebildningen. Den pedagogiska tanken med systemet är att inpränta lönebildningsansvaret hos förbandscheferna.</w:t>
      </w:r>
    </w:p>
    <w:p w:rsidR="001F14AF" w:rsidRPr="009D719B" w:rsidRDefault="001F14AF">
      <w:pPr>
        <w:pStyle w:val="Rubrik4-Utannumrering"/>
      </w:pPr>
      <w:bookmarkStart w:id="136" w:name="_Toc38080828"/>
      <w:r w:rsidRPr="009D719B">
        <w:t>Fänrikslönerna höjdes 2002</w:t>
      </w:r>
      <w:bookmarkEnd w:id="136"/>
    </w:p>
    <w:p w:rsidR="001F14AF" w:rsidRPr="009D719B" w:rsidRDefault="001F14AF">
      <w:r w:rsidRPr="009D719B">
        <w:t>I första steget i Försvarsmaktens löneavtal enligt RALS för perioden 2002 till 2004 har man avtalat om en lägsta ingångslön för yrkesofficerare på 16 900 kr. Nyanställning av officerare omfattar i stort sett endast nyutexaminerade fänrikar. Enligt avtalet ska gränsen på 16 900 kr gälla som en lägsta gräns för samtliga yrkesofficerare. Förbandschefen har också möjlighet att sätta en högre lön för nyute</w:t>
      </w:r>
      <w:r w:rsidRPr="009D719B">
        <w:t>x</w:t>
      </w:r>
      <w:r w:rsidRPr="009D719B">
        <w:t>aminerade fänrikar än den avtalade ingångslönen.</w:t>
      </w:r>
    </w:p>
    <w:p w:rsidR="001F14AF" w:rsidRPr="009D719B" w:rsidRDefault="001F14AF">
      <w:pPr>
        <w:pStyle w:val="Normaltindrag"/>
      </w:pPr>
      <w:r w:rsidRPr="009D719B">
        <w:t>I och med Försvarsmaktens löneavtal för 2002 höjdes den avtalade ingångslönen med 8 % (från den tidigare nivån på 15 600 kr). Som jämföre</w:t>
      </w:r>
      <w:r w:rsidRPr="009D719B">
        <w:t>l</w:t>
      </w:r>
      <w:r w:rsidRPr="009D719B">
        <w:t>se kan nämnas att stupstocken i avtalet med OFR/O (dvs. den löneökning som ska gälla om parterna inte kan komma överens på förbanden) är 3 % eller lägst 530 kr. Den genomsnittliga löneökningen under 2001 var 1,9 % inom Försvarsmakten och 3,85 % för statsanställda.</w:t>
      </w:r>
      <w:r w:rsidRPr="009D719B">
        <w:rPr>
          <w:rStyle w:val="Fotnotsreferens"/>
        </w:rPr>
        <w:footnoteReference w:id="25"/>
      </w:r>
      <w:r w:rsidRPr="009D719B">
        <w:t xml:space="preserve"> Den ökning av ingångslönerna med 8 % som förhandlats fram centralt inom Försvarsmakten framstår i denna jämförelse som kraftig. Officersförbundet krävde dock en höjning till 18 000 kr i månaden (dvs. en höjning med drygt 15 %). </w:t>
      </w:r>
    </w:p>
    <w:p w:rsidR="001F14AF" w:rsidRPr="009D719B" w:rsidRDefault="001F14AF">
      <w:pPr>
        <w:pStyle w:val="Rubrik3-Utannumrering"/>
      </w:pPr>
      <w:bookmarkStart w:id="137" w:name="_Toc38080829"/>
      <w:r w:rsidRPr="009D719B">
        <w:t>Flygföraravtalet</w:t>
      </w:r>
      <w:bookmarkEnd w:id="137"/>
    </w:p>
    <w:p w:rsidR="001F14AF" w:rsidRPr="009D719B" w:rsidRDefault="001F14AF">
      <w:r w:rsidRPr="009D719B">
        <w:t>Även om flygförare är en relativt liten grupp inom Försvarsmakten är den av principiellt intresse i en granskning av arbetsgivarpolitiken inom myndigh</w:t>
      </w:r>
      <w:r w:rsidRPr="009D719B">
        <w:t>e</w:t>
      </w:r>
      <w:r w:rsidRPr="009D719B">
        <w:t>ten. Flygförare är en relativt dyr grupp för Försvarsmakten. Den har också ansetts vara så utsatt för marknadspåverkan att mycket speciella lönevillkor har utvecklats. Flygförarens lön har till stor del bestått av olika lönetillägg. Från och med år 2000, då det nya flygföraravtalet ALFF började gälla, har dessa tillägg förhandlats bort.</w:t>
      </w:r>
      <w:r w:rsidRPr="009D719B">
        <w:rPr>
          <w:rStyle w:val="Fotnotsreferens"/>
        </w:rPr>
        <w:footnoteReference w:id="26"/>
      </w:r>
    </w:p>
    <w:p w:rsidR="001F14AF" w:rsidRPr="009D719B" w:rsidRDefault="001F14AF">
      <w:pPr>
        <w:pStyle w:val="Normaltindrag"/>
      </w:pPr>
      <w:r w:rsidRPr="009D719B">
        <w:t>Genom flygföraravtalet har de militära flygförarna undantagits från den övriga RALS-processen. Lönen för flygförare sätts i stället genom att flygf</w:t>
      </w:r>
      <w:r w:rsidRPr="009D719B">
        <w:t>ö</w:t>
      </w:r>
      <w:r w:rsidRPr="009D719B">
        <w:t>raren placeras in i en fast lönestege. Varje år flyttas flygföraren upp minst ett steg i denna lönestege. Beroende på det aktuella marknadsläget för civila piloter kan Försvarsmakten besluta att flygförarna som grupp ska flyttas upp ytterligare steg under året. Ingångslönen för en flygförare är 38 000 kr i månaden och varje steg uppåt på lönestegen är värt ytterligare 600 kr i m</w:t>
      </w:r>
      <w:r w:rsidRPr="009D719B">
        <w:t>å</w:t>
      </w:r>
      <w:r w:rsidRPr="009D719B">
        <w:t>naden. En pilot på SAS har en ingångslön på omkring 27 000 kr i månaden, men har å andra sidan en betydligt kraftigare löneutveck</w:t>
      </w:r>
      <w:r w:rsidRPr="009D719B">
        <w:t>ling. Det bör också tilläggas att en militär flygförare har fått sin utbildning betald av staten.</w:t>
      </w:r>
    </w:p>
    <w:p w:rsidR="001F14AF" w:rsidRPr="009D719B" w:rsidRDefault="001F14AF">
      <w:pPr>
        <w:pStyle w:val="Normaltindrag"/>
      </w:pPr>
      <w:r w:rsidRPr="009D719B">
        <w:t>Om en flygförare stannar kvar på sin befattning inom Försvarsmakten i 15 år erhåller denne en premie på 15 prisbasbelopp (motsvarande 568 500 kr i 2002 års prisbasbelopp). Denna premie är inte ny i och med avtalet utan har funnits sedan 1985. Om flygföraren däremot lämnar Försvarsmakten för en tjänst som civil pilot blir denne skadeståndsskyldig till Försvarsmakten. En flygförare som lämnar Försvarsmakten efter</w:t>
      </w:r>
      <w:r w:rsidRPr="009D719B">
        <w:t xml:space="preserve"> en anställning på tre år blir t.ex. skyldig att betala 500 000 kr till Försvarsma</w:t>
      </w:r>
      <w:r w:rsidRPr="009D719B">
        <w:t>k</w:t>
      </w:r>
      <w:r w:rsidRPr="009D719B">
        <w:t>ten.</w:t>
      </w:r>
    </w:p>
    <w:p w:rsidR="001F14AF" w:rsidRPr="009D719B" w:rsidRDefault="001F14AF">
      <w:pPr>
        <w:pStyle w:val="Rubrik4-Utannumrering"/>
      </w:pPr>
      <w:bookmarkStart w:id="138" w:name="_Toc38080830"/>
      <w:r w:rsidRPr="009D719B">
        <w:t>Vad är en flygförare?</w:t>
      </w:r>
      <w:bookmarkEnd w:id="138"/>
    </w:p>
    <w:p w:rsidR="001F14AF" w:rsidRPr="009D719B" w:rsidRDefault="001F14AF">
      <w:r w:rsidRPr="009D719B">
        <w:t>En flygförare definieras som en person som tjänstgör eller har tjänstgjort som chef eller förare vid ett flygförband. Om flygföraren går till en annan tjänst inom Försvarsmakten får han eller hon således behålla sin höga lön. Om den nya befattningen kräver kunskaper ”om flygande förbands utveckling eller verksamhet” får personen dessutom stå kvar på lönestegen enligt flygföra</w:t>
      </w:r>
      <w:r w:rsidRPr="009D719B">
        <w:t>r</w:t>
      </w:r>
      <w:r w:rsidRPr="009D719B">
        <w:t xml:space="preserve">avtalet i stället för att omfattas av RALS. Detta innebär att det blir mycket dyrbart för Försvarsmakten att rekrytera flygförare till andra poster inom myndigheten. </w:t>
      </w:r>
    </w:p>
    <w:p w:rsidR="001F14AF" w:rsidRPr="009D719B" w:rsidRDefault="001F14AF">
      <w:pPr>
        <w:pStyle w:val="Rubrik4-Utannumrering"/>
      </w:pPr>
      <w:bookmarkStart w:id="139" w:name="_Toc38080831"/>
      <w:r w:rsidRPr="009D719B">
        <w:t>Höga kostnader för flygvapnet</w:t>
      </w:r>
      <w:bookmarkEnd w:id="139"/>
    </w:p>
    <w:p w:rsidR="001F14AF" w:rsidRPr="009D719B" w:rsidRDefault="001F14AF">
      <w:r w:rsidRPr="009D719B">
        <w:t>Flygföraravtalet har fr.o.m. år 2000 inneburit kraftigt ökade kostnader för Försvarsmakten, vilket inte minst visar sig i lönestatistiken för flygvapnet som presenterades i kapitel 4. Inom Försvarsmakten motiveras avtalet med att situationen i slutet av 1990-talet var desperat då flygförare lämnade my</w:t>
      </w:r>
      <w:r w:rsidRPr="009D719B">
        <w:t>n</w:t>
      </w:r>
      <w:r w:rsidRPr="009D719B">
        <w:t>digheten i strid ström. Det nya löneavtalet är till utformningen en snarlik kopia av SAS löneavtal. Enligt Försvarsmakten hade man inte så stort val när avtalet skulle utformas. Avtalet uppges också ha hjälpt. Avgångarna av fly</w:t>
      </w:r>
      <w:r w:rsidRPr="009D719B">
        <w:t>g</w:t>
      </w:r>
      <w:r w:rsidRPr="009D719B">
        <w:t>förare har minskat. Problemet nu är att flygvapnet inte har resurser för att tilldela alla flygförare tillräckligt med flygtid.</w:t>
      </w:r>
    </w:p>
    <w:p w:rsidR="001F14AF" w:rsidRPr="009D719B" w:rsidRDefault="001F14AF">
      <w:pPr>
        <w:pStyle w:val="Rubrik1"/>
      </w:pPr>
      <w:r w:rsidRPr="009D719B">
        <w:br w:type="page"/>
      </w:r>
      <w:bookmarkStart w:id="140" w:name="_Toc32301661"/>
      <w:bookmarkStart w:id="141" w:name="_Toc38080832"/>
      <w:bookmarkStart w:id="142" w:name="_Toc38103363"/>
      <w:r w:rsidRPr="009D719B">
        <w:t>Förbandschefens ansvar</w:t>
      </w:r>
      <w:bookmarkEnd w:id="140"/>
      <w:bookmarkEnd w:id="141"/>
      <w:bookmarkEnd w:id="142"/>
    </w:p>
    <w:p w:rsidR="001F14AF" w:rsidRPr="009D719B" w:rsidRDefault="001F14AF">
      <w:r w:rsidRPr="009D719B">
        <w:t>I detta kapitel behandlas lönebildningen vid Försvarsmaktens organisation</w:t>
      </w:r>
      <w:r w:rsidRPr="009D719B">
        <w:t>s</w:t>
      </w:r>
      <w:r w:rsidRPr="009D719B">
        <w:t>enheter, dvs. förband, skolor och centrum. Syftet är att analysera lönebil</w:t>
      </w:r>
      <w:r w:rsidRPr="009D719B">
        <w:t>d</w:t>
      </w:r>
      <w:r w:rsidRPr="009D719B">
        <w:t>ningen vid förbanden med utgångspunkt från de förutsättningar som Fö</w:t>
      </w:r>
      <w:r w:rsidRPr="009D719B">
        <w:t>r</w:t>
      </w:r>
      <w:r w:rsidRPr="009D719B">
        <w:t>svarsmaktens styrning medger. Den grundläggande principen inom Fö</w:t>
      </w:r>
      <w:r w:rsidRPr="009D719B">
        <w:t>r</w:t>
      </w:r>
      <w:r w:rsidRPr="009D719B">
        <w:t>svarsmakten är att lönen är förbandschefens ansvar.</w:t>
      </w:r>
    </w:p>
    <w:p w:rsidR="001F14AF" w:rsidRPr="009D719B" w:rsidRDefault="001F14AF">
      <w:pPr>
        <w:pStyle w:val="Rubrik2"/>
      </w:pPr>
      <w:bookmarkStart w:id="143" w:name="_Toc32301662"/>
      <w:bookmarkStart w:id="144" w:name="_Toc38080833"/>
      <w:bookmarkStart w:id="145" w:name="_Toc38103364"/>
      <w:r w:rsidRPr="009D719B">
        <w:t>Chefsrollen</w:t>
      </w:r>
      <w:bookmarkEnd w:id="143"/>
      <w:bookmarkEnd w:id="144"/>
      <w:bookmarkEnd w:id="145"/>
    </w:p>
    <w:p w:rsidR="001F14AF" w:rsidRPr="009D719B" w:rsidRDefault="001F14AF">
      <w:r w:rsidRPr="009D719B">
        <w:t>Riksdagens revisorer har i granskningen av statens personalpolitik (2002/03:RR2) konstaterat att den arbetsgivarpolitiska delegeringen har varit en viktig förutsättning för den statliga verksamhetens förnyelse. Den är dock inte den enda eller huvudsakliga förutsättningen. I rapporten pekar revisore</w:t>
      </w:r>
      <w:r w:rsidRPr="009D719B">
        <w:t>r</w:t>
      </w:r>
      <w:r w:rsidRPr="009D719B">
        <w:t>na på brister i det statliga chefskapet som hinder för att personalpolitiken utvecklas mot en bättre verksamhetsanpassning. Chefskapet har i allmänhet uppv</w:t>
      </w:r>
      <w:r w:rsidRPr="009D719B">
        <w:t>i</w:t>
      </w:r>
      <w:r w:rsidRPr="009D719B">
        <w:t>sat brister vad gäller tydlighet, saklighet och lyhördhet.</w:t>
      </w:r>
    </w:p>
    <w:p w:rsidR="001F14AF" w:rsidRPr="009D719B" w:rsidRDefault="001F14AF">
      <w:pPr>
        <w:pStyle w:val="Normaltindrag"/>
      </w:pPr>
      <w:r w:rsidRPr="009D719B">
        <w:t>På Försvarsmaktens förband, skolor och centrum görs lönesättningen g</w:t>
      </w:r>
      <w:r w:rsidRPr="009D719B">
        <w:t>e</w:t>
      </w:r>
      <w:r w:rsidRPr="009D719B">
        <w:t>nom att den lokala arbetsgivaren och de lokala arbetstagarorganisationerna kommer överens om ett förbandsavtal. Lönebildningen på förbandet är dock i stor utsträckning ett chefsansvar. Normalt förekommer ingen mer långtgåe</w:t>
      </w:r>
      <w:r w:rsidRPr="009D719B">
        <w:t>n</w:t>
      </w:r>
      <w:r w:rsidRPr="009D719B">
        <w:t>de delegering av lönesättningen inom förbandet, utan det är förbandschefen, i samverkan med personalchefen, som officiellt beslutar om lönerna. Olika underlydande chefer kan dock, i varierande utsträckning, vara inblandade i processen genom att stå för beslutsunderlaget vid lönesättninge</w:t>
      </w:r>
      <w:r w:rsidRPr="009D719B">
        <w:t>n.</w:t>
      </w:r>
    </w:p>
    <w:p w:rsidR="001F14AF" w:rsidRPr="009D719B" w:rsidRDefault="001F14AF">
      <w:pPr>
        <w:pStyle w:val="Normaltindrag"/>
      </w:pPr>
      <w:r w:rsidRPr="009D719B">
        <w:t>Förbandscheferna har ofta utpekats som den svaga länken i Försvarsma</w:t>
      </w:r>
      <w:r w:rsidRPr="009D719B">
        <w:t>k</w:t>
      </w:r>
      <w:r w:rsidRPr="009D719B">
        <w:t>tens lönebildning. Det råder ingen tvekan om att förbandschefer i vissa fall frångått sina mandat vad gäller lönebildningen. Framför allt inträffade detta under den senaste omstruktureringsperioden under år 2000. Förbandschefe</w:t>
      </w:r>
      <w:r w:rsidRPr="009D719B">
        <w:t>r</w:t>
      </w:r>
      <w:r w:rsidRPr="009D719B">
        <w:t>na inom Försvarsmakten arbetar också under vissa allmänna förutsättningar som försvårar och försvagar deras position som arbetsgivarföreträd</w:t>
      </w:r>
      <w:r w:rsidRPr="009D719B">
        <w:t>a</w:t>
      </w:r>
      <w:r w:rsidRPr="009D719B">
        <w:t>re.</w:t>
      </w:r>
    </w:p>
    <w:p w:rsidR="001F14AF" w:rsidRPr="009D719B" w:rsidRDefault="001F14AF">
      <w:pPr>
        <w:pStyle w:val="Rubrik3-Utannumrering"/>
      </w:pPr>
      <w:bookmarkStart w:id="146" w:name="_Toc38080834"/>
      <w:r w:rsidRPr="009D719B">
        <w:t>Förbandschefens incitament</w:t>
      </w:r>
      <w:bookmarkEnd w:id="146"/>
    </w:p>
    <w:p w:rsidR="001F14AF" w:rsidRPr="009D719B" w:rsidRDefault="001F14AF">
      <w:r w:rsidRPr="009D719B">
        <w:t>Kårandan inom Försvarsmakten är välkänd.</w:t>
      </w:r>
      <w:r w:rsidRPr="009D719B">
        <w:rPr>
          <w:rStyle w:val="Fotnotsreferens"/>
        </w:rPr>
        <w:footnoteReference w:id="27"/>
      </w:r>
      <w:r w:rsidRPr="009D719B">
        <w:t xml:space="preserve"> En kåranda är mycket viktig när Försvarsmakten ska utföra sin huvuduppgift </w:t>
      </w:r>
      <w:r w:rsidRPr="009D719B">
        <w:softHyphen/>
        <w:t>– att genomföra väpnad strid. I den fredstida administrationen av Försvarsmakten kan kårandan dock medföra svåri</w:t>
      </w:r>
      <w:r w:rsidRPr="009D719B">
        <w:t>g</w:t>
      </w:r>
      <w:r w:rsidRPr="009D719B">
        <w:t>heter.</w:t>
      </w:r>
    </w:p>
    <w:p w:rsidR="001F14AF" w:rsidRPr="009D719B" w:rsidRDefault="001F14AF">
      <w:pPr>
        <w:pStyle w:val="Normaltindrag"/>
      </w:pPr>
      <w:r w:rsidRPr="009D719B">
        <w:t>Alla förbandschefer och majoriteten av personalcheferna vid Försvar</w:t>
      </w:r>
      <w:r w:rsidRPr="009D719B">
        <w:t>s</w:t>
      </w:r>
      <w:r w:rsidRPr="009D719B">
        <w:t>maktens organisationsenheter är yrkesofficerare. Chefer och övriga yrkeso</w:t>
      </w:r>
      <w:r w:rsidRPr="009D719B">
        <w:t>f</w:t>
      </w:r>
      <w:r w:rsidRPr="009D719B">
        <w:t>ficerare är också medlemmar i en och samma arbetstagarorganisation. Off</w:t>
      </w:r>
      <w:r w:rsidRPr="009D719B">
        <w:t>i</w:t>
      </w:r>
      <w:r w:rsidRPr="009D719B">
        <w:t>cersförbundet har i och med detta en mycket stark ställning och kan uppvisa en enad front mot Fö</w:t>
      </w:r>
      <w:r w:rsidRPr="009D719B">
        <w:t>r</w:t>
      </w:r>
      <w:r w:rsidRPr="009D719B">
        <w:t>svarsmaktens mer splittrade fasad.</w:t>
      </w:r>
    </w:p>
    <w:p w:rsidR="001F14AF" w:rsidRPr="009D719B" w:rsidRDefault="001F14AF">
      <w:pPr>
        <w:pStyle w:val="Normaltindrag"/>
      </w:pPr>
      <w:r w:rsidRPr="009D719B">
        <w:t>Förbandsintervjuerna under denna granskning har visat att en förbandschef har relativt svaga incitament att hålla löneökningen nere. Det huvudsakliga incitamentet är att ekonomisk återhållsamhet ingår i uppdraget till en fö</w:t>
      </w:r>
      <w:r w:rsidRPr="009D719B">
        <w:t>r</w:t>
      </w:r>
      <w:r w:rsidRPr="009D719B">
        <w:t>bandschef. Däremot har en förbandschef mycket starka incitament, och är genom Officersförbundets starka ställning dessutom utsatt för stora påtryc</w:t>
      </w:r>
      <w:r w:rsidRPr="009D719B">
        <w:t>k</w:t>
      </w:r>
      <w:r w:rsidRPr="009D719B">
        <w:t>ningar, att driva upp löneökningen. Genom att tillmötesgå facket kan fö</w:t>
      </w:r>
      <w:r w:rsidRPr="009D719B">
        <w:t>r</w:t>
      </w:r>
      <w:r w:rsidRPr="009D719B">
        <w:t>bandschefen köpa a</w:t>
      </w:r>
      <w:r w:rsidRPr="009D719B">
        <w:t>r</w:t>
      </w:r>
      <w:r w:rsidRPr="009D719B">
        <w:t>betsro på förbandet.</w:t>
      </w:r>
    </w:p>
    <w:p w:rsidR="001F14AF" w:rsidRPr="009D719B" w:rsidRDefault="001F14AF">
      <w:pPr>
        <w:pStyle w:val="Rubrik4-Utannumrering"/>
      </w:pPr>
      <w:bookmarkStart w:id="147" w:name="_Toc38080835"/>
      <w:r w:rsidRPr="009D719B">
        <w:t>Lönerevisionen 2002</w:t>
      </w:r>
      <w:bookmarkEnd w:id="147"/>
    </w:p>
    <w:p w:rsidR="001F14AF" w:rsidRPr="009D719B" w:rsidRDefault="001F14AF">
      <w:r w:rsidRPr="009D719B">
        <w:t>Förbandscheferna får ett mandat från Högkvarteret att sätta löner inom ett visst intervall. Det nya system för lönerevision enligt RALS som Försvar</w:t>
      </w:r>
      <w:r w:rsidRPr="009D719B">
        <w:t>s</w:t>
      </w:r>
      <w:r w:rsidRPr="009D719B">
        <w:t>makten tillämpar fr.o.m. år 2002 innebär att mandatet ska utgå från den önskvärda lönebild som förbandet utarbetat i samverkan med arbetstagaro</w:t>
      </w:r>
      <w:r w:rsidRPr="009D719B">
        <w:t>r</w:t>
      </w:r>
      <w:r w:rsidRPr="009D719B">
        <w:t>ganisationerna. Högkvarteret väger dock även in andra prioriteringar när mandatet för ett förband utarbetas. I lönerevisionen för 2002 ska t.ex. fö</w:t>
      </w:r>
      <w:r w:rsidRPr="009D719B">
        <w:t>r</w:t>
      </w:r>
      <w:r w:rsidRPr="009D719B">
        <w:t>band i Mälardalsregionen prioriteras. Mandatet till en förbandschef kan således understiga den löneökning som förbandet och arbetstagarorganisati</w:t>
      </w:r>
      <w:r w:rsidRPr="009D719B">
        <w:t>o</w:t>
      </w:r>
      <w:r w:rsidRPr="009D719B">
        <w:t>nen kommit fram till.</w:t>
      </w:r>
    </w:p>
    <w:p w:rsidR="001F14AF" w:rsidRPr="009D719B" w:rsidRDefault="001F14AF">
      <w:pPr>
        <w:pStyle w:val="Normaltindrag"/>
      </w:pPr>
      <w:r w:rsidRPr="009D719B">
        <w:t>Mandaten från Högkvarteret ges till förbandschefern</w:t>
      </w:r>
      <w:r w:rsidRPr="009D719B">
        <w:t>a och delges samtidigt de centrala arbetstagarorganisationerna. Från Arbetsgivarverket menar man att utrymmet för att höja lönerna är en arbetsgivarfråga. Då utrymmet för löneökningar görs känt för arbetstagarorganisationerna försvagar man a</w:t>
      </w:r>
      <w:r w:rsidRPr="009D719B">
        <w:t>r</w:t>
      </w:r>
      <w:r w:rsidRPr="009D719B">
        <w:t>betsgivarens ställning genom att arbetsgivaren blir mer sårbar för påtryc</w:t>
      </w:r>
      <w:r w:rsidRPr="009D719B">
        <w:t>k</w:t>
      </w:r>
      <w:r w:rsidRPr="009D719B">
        <w:t>ningar från arbetstagarorganisationerna. Under de förbandsintervjuer som genomförts för denna granskning har det framkommit att förbandscheferna på vissa håll upplever Högkvarterets hantering av m</w:t>
      </w:r>
      <w:r w:rsidRPr="009D719B">
        <w:t>andaten som försvagande för arbet</w:t>
      </w:r>
      <w:r w:rsidRPr="009D719B">
        <w:t>s</w:t>
      </w:r>
      <w:r w:rsidRPr="009D719B">
        <w:t xml:space="preserve">givarrollen. </w:t>
      </w:r>
    </w:p>
    <w:p w:rsidR="001F14AF" w:rsidRPr="009D719B" w:rsidRDefault="001F14AF">
      <w:pPr>
        <w:pStyle w:val="Normaltindrag"/>
      </w:pPr>
      <w:r w:rsidRPr="009D719B">
        <w:t>Arbetstagarorganisationernas krav att få ta del av mandatet för löneö</w:t>
      </w:r>
      <w:r w:rsidRPr="009D719B">
        <w:t>k</w:t>
      </w:r>
      <w:r w:rsidRPr="009D719B">
        <w:t>ningarna vid förbanden utgår från att avtalen för lönerevision i stor utsträc</w:t>
      </w:r>
      <w:r w:rsidRPr="009D719B">
        <w:t>k</w:t>
      </w:r>
      <w:r w:rsidRPr="009D719B">
        <w:t>ning är sifferlösa. Det finns, med undantag för Försvarsmaktens avtal med SEKO, ingen fastslagen höjning av lönerna i avtalen. Däremot finns den s.k. stupstocken som används om parterna i lönerevisionen inte kan komma överens. Arbetstagarorganisationerna har således ett intresse av att se ma</w:t>
      </w:r>
      <w:r w:rsidRPr="009D719B">
        <w:t>n</w:t>
      </w:r>
      <w:r w:rsidRPr="009D719B">
        <w:t>daten till förbandscheferna för att följa upp hur avtalet efterlevs.</w:t>
      </w:r>
    </w:p>
    <w:p w:rsidR="001F14AF" w:rsidRPr="009D719B" w:rsidRDefault="001F14AF">
      <w:pPr>
        <w:pStyle w:val="Normaltindrag"/>
      </w:pPr>
      <w:r w:rsidRPr="009D719B">
        <w:t>I en utvärdering av RALS 2001 som gjordes av Offentliganställdas fö</w:t>
      </w:r>
      <w:r w:rsidRPr="009D719B">
        <w:t>r</w:t>
      </w:r>
      <w:r w:rsidRPr="009D719B">
        <w:t>handlingsråd (OFR) konstaterades att ramavtalet inte hade använts som det var tänkt inom vissa myndigheter.</w:t>
      </w:r>
      <w:r w:rsidRPr="009D719B">
        <w:rPr>
          <w:rStyle w:val="Fotnotsreferens"/>
        </w:rPr>
        <w:footnoteReference w:id="28"/>
      </w:r>
      <w:r w:rsidRPr="009D719B">
        <w:t xml:space="preserve"> Vid förhandlingar inom bl.a. Försvar</w:t>
      </w:r>
      <w:r w:rsidRPr="009D719B">
        <w:t>s</w:t>
      </w:r>
      <w:r w:rsidRPr="009D719B">
        <w:t xml:space="preserve">makten och polisen hade arbetsgivaren enligt utvärderingen låst positionerna i utgångsläget genom att utfärda centrala direktiv om löneutrymmet. OFR menade att de av myndigheterna fastslagna löneutrymmena tilläts spela alltför stor roll i lönebildningen. </w:t>
      </w:r>
    </w:p>
    <w:p w:rsidR="001F14AF" w:rsidRPr="009D719B" w:rsidRDefault="001F14AF">
      <w:pPr>
        <w:pStyle w:val="Normaltindrag"/>
      </w:pPr>
      <w:r w:rsidRPr="009D719B">
        <w:t>Försvarsmakten valde inför lönerevisionen 2001 att inte delge arbetsgiv</w:t>
      </w:r>
      <w:r w:rsidRPr="009D719B">
        <w:t>a</w:t>
      </w:r>
      <w:r w:rsidRPr="009D719B">
        <w:t>rens förhandlingsmandat till arbetstagarorganisationerna, vilket orsakade skarpa protester från dessa. Inför 2002 års lönerevision har Försvarsmakten, för att förbättra samarbetsklimatet med arbetstagarorganisationerna, gått med på att delge löneökningsmandatet till en vidare krets än bara till myndigh</w:t>
      </w:r>
      <w:r w:rsidRPr="009D719B">
        <w:t>e</w:t>
      </w:r>
      <w:r w:rsidRPr="009D719B">
        <w:t>tens arbetsgivarföreträd</w:t>
      </w:r>
      <w:r w:rsidRPr="009D719B">
        <w:t>a</w:t>
      </w:r>
      <w:r w:rsidRPr="009D719B">
        <w:t xml:space="preserve">re.  </w:t>
      </w:r>
    </w:p>
    <w:p w:rsidR="001F14AF" w:rsidRPr="009D719B" w:rsidRDefault="001F14AF">
      <w:pPr>
        <w:pStyle w:val="Rubrik3-Utannumrering"/>
      </w:pPr>
      <w:bookmarkStart w:id="148" w:name="_Toc38080836"/>
      <w:r w:rsidRPr="009D719B">
        <w:t>Chefsutbildning</w:t>
      </w:r>
      <w:bookmarkEnd w:id="148"/>
    </w:p>
    <w:p w:rsidR="001F14AF" w:rsidRPr="009D719B" w:rsidRDefault="001F14AF">
      <w:r w:rsidRPr="009D719B">
        <w:t>Att stå emot fack och personal ställer stora krav på chefens kompetens och person. Vid förbandsintervjuerna har det framkommit att förbandschefer ibland har känt sig dåligt förberedda för befattningen. Bristande utbildning i framför allt ekonomi och juridik gör det svårt för en nytillträdd förbandschef att förhandla med arbetstagarorganisationerna, vars företrädare ofta har mer erfarenhet från förhandlingssituationer och dessutom är bättre samordn</w:t>
      </w:r>
      <w:r w:rsidRPr="009D719B">
        <w:t>a</w:t>
      </w:r>
      <w:r w:rsidRPr="009D719B">
        <w:t xml:space="preserve">de. </w:t>
      </w:r>
    </w:p>
    <w:p w:rsidR="001F14AF" w:rsidRPr="009D719B" w:rsidRDefault="001F14AF">
      <w:pPr>
        <w:pStyle w:val="Normaltindrag"/>
      </w:pPr>
      <w:r w:rsidRPr="009D719B">
        <w:t>En förbandschef får i praktiken endast ett förordnande på maximalt sex år. Officeren förväntas sedan klättra vidare i karriären t.ex. med anställning inom Högkvarteret. Inom arbetstagarorganisationerna finns en helt annan kontinuitet och erfarenhet. Arbetstagarorganisationen har också ofta goda kontakter mellan organisationsenheterna i Försvarsmakten, medan en fö</w:t>
      </w:r>
      <w:r w:rsidRPr="009D719B">
        <w:t>r</w:t>
      </w:r>
      <w:r w:rsidRPr="009D719B">
        <w:t>bandschef ofta står ensam i förhandlingen. Samordningen mellan förband</w:t>
      </w:r>
      <w:r w:rsidRPr="009D719B">
        <w:t>s</w:t>
      </w:r>
      <w:r w:rsidRPr="009D719B">
        <w:t>ledningarna i lönefrågor upplevs av vissa förbandschefer som bris</w:t>
      </w:r>
      <w:r w:rsidRPr="009D719B">
        <w:t>t</w:t>
      </w:r>
      <w:r w:rsidRPr="009D719B">
        <w:t>fällig.</w:t>
      </w:r>
    </w:p>
    <w:p w:rsidR="001F14AF" w:rsidRPr="009D719B" w:rsidRDefault="001F14AF">
      <w:pPr>
        <w:pStyle w:val="Normaltindrag"/>
      </w:pPr>
      <w:r w:rsidRPr="009D719B">
        <w:t xml:space="preserve">Befattningen som personalchef ger, jämfört med den som förbandschef, en mer stabil position. Att arbeta med personalfrågor vid ett förband upplevs inte som ett steg i karriären mot ett chefsjobb inom Högkvarteret på samma sätt som en förbandschefsbefattning. Utbildningen för personalchefer inom Försvarsmakten anses av de intervjuade förbands- och personalcheferna </w:t>
      </w:r>
      <w:r w:rsidRPr="009D719B">
        <w:t>som til</w:t>
      </w:r>
      <w:r w:rsidRPr="009D719B">
        <w:t>l</w:t>
      </w:r>
      <w:r w:rsidRPr="009D719B">
        <w:t>räcklig.</w:t>
      </w:r>
    </w:p>
    <w:p w:rsidR="001F14AF" w:rsidRPr="009D719B" w:rsidRDefault="001F14AF">
      <w:pPr>
        <w:pStyle w:val="Normaltindrag"/>
      </w:pPr>
      <w:r w:rsidRPr="009D719B">
        <w:t>Utbildningen inför en befattning som förbandschef har enligt de intervju</w:t>
      </w:r>
      <w:r w:rsidRPr="009D719B">
        <w:t>a</w:t>
      </w:r>
      <w:r w:rsidRPr="009D719B">
        <w:t>de förbättrats under de senaste åren. Vad gäller chefer på nivåerna under förbandschefen upplevs utbildningen fortfarande som bristfällig vad gäller arbetsgivaruppträdande. Underchefer är i varierande utsträckning ansvariga eller delaktiga i lönebildningen vid förbanden, vilket beskrivits ovan. Den utbildning i arbetsgivarfrågor som dessa chefer får tillgång till ingår i den allmänna chefsutbildningen vid Försvarshö</w:t>
      </w:r>
      <w:r w:rsidRPr="009D719B">
        <w:t>g</w:t>
      </w:r>
      <w:r w:rsidRPr="009D719B">
        <w:t>skolan.</w:t>
      </w:r>
    </w:p>
    <w:p w:rsidR="001F14AF" w:rsidRPr="009D719B" w:rsidRDefault="001F14AF">
      <w:pPr>
        <w:pStyle w:val="Normaltindrag"/>
      </w:pPr>
      <w:r w:rsidRPr="009D719B">
        <w:t>Inom Försvarsmaktens logistik (FMLOG) ska arbetsgivaransvaret succe</w:t>
      </w:r>
      <w:r w:rsidRPr="009D719B">
        <w:t>s</w:t>
      </w:r>
      <w:r w:rsidRPr="009D719B">
        <w:t>sivt föras över på de olika enhetscheferna ute i organisationen. Målsättningen är att befattningarna som enhetschefer på sikt ska besättas av civilanställda. För den processen har FMLOG tillsammans med Försvarshögskolan fått ta fram en särskild utbildning för civila arbetsgivarföreträdare inom Försvar</w:t>
      </w:r>
      <w:r w:rsidRPr="009D719B">
        <w:t>s</w:t>
      </w:r>
      <w:r w:rsidRPr="009D719B">
        <w:t>makten.</w:t>
      </w:r>
    </w:p>
    <w:p w:rsidR="001F14AF" w:rsidRPr="009D719B" w:rsidRDefault="001F14AF">
      <w:pPr>
        <w:pStyle w:val="Rubrik3-Utannumrering"/>
      </w:pPr>
      <w:bookmarkStart w:id="149" w:name="_Toc38080837"/>
      <w:r w:rsidRPr="009D719B">
        <w:t>Förhandling eller samverkan?</w:t>
      </w:r>
      <w:bookmarkEnd w:id="149"/>
    </w:p>
    <w:p w:rsidR="001F14AF" w:rsidRPr="009D719B" w:rsidRDefault="001F14AF">
      <w:r w:rsidRPr="009D719B">
        <w:t xml:space="preserve">Det finns en skillnad mellan att samverka och att förhandla. Samverkan inom den statliga sektorn regleras genom </w:t>
      </w:r>
      <w:r w:rsidRPr="009D719B">
        <w:rPr>
          <w:i/>
        </w:rPr>
        <w:t>Avtal för samverkan och utveckling</w:t>
      </w:r>
      <w:r w:rsidRPr="009D719B">
        <w:t xml:space="preserve"> (ASU) från 1997. Vid samverkan är kraven att komma överens betydligt hårdare än vid en förhandling. Under förbandsintervjuerna har det fra</w:t>
      </w:r>
      <w:r w:rsidRPr="009D719B">
        <w:t>m</w:t>
      </w:r>
      <w:r w:rsidRPr="009D719B">
        <w:t>kommit att förbandscheferna känner att de ger bort lönebildningen till a</w:t>
      </w:r>
      <w:r w:rsidRPr="009D719B">
        <w:t>r</w:t>
      </w:r>
      <w:r w:rsidRPr="009D719B">
        <w:t>betstagarorganisationerna i och med att man i stor utsträckning samverkar om lönerna i stället för att förhandla. Det nya systemet för lönerevision inom Försvarsmakten upplevs också på vissa håll som en förskjutning från fö</w:t>
      </w:r>
      <w:r w:rsidRPr="009D719B">
        <w:t>r</w:t>
      </w:r>
      <w:r w:rsidRPr="009D719B">
        <w:t>handling till samverkan. Från personalsta</w:t>
      </w:r>
      <w:r w:rsidRPr="009D719B">
        <w:t xml:space="preserve">ben vid Högkvarteret poängterar man att parterna ska samverka om lönebilden, men att lönerna ska sättas genom förhandling. </w:t>
      </w:r>
    </w:p>
    <w:p w:rsidR="001F14AF" w:rsidRPr="009D719B" w:rsidRDefault="001F14AF">
      <w:pPr>
        <w:pStyle w:val="Normaltindrag"/>
      </w:pPr>
      <w:r w:rsidRPr="009D719B">
        <w:t>Genom att lönerna sätts i samverkan med fackförbunden upplever fö</w:t>
      </w:r>
      <w:r w:rsidRPr="009D719B">
        <w:t>r</w:t>
      </w:r>
      <w:r w:rsidRPr="009D719B">
        <w:t>bandschefen att han inte kan ange tydliga motiv för en anställds lön, vilket i sin tur gör det svårt att genomföra lönesamtal. I försvarsmaktsavtalet om lönerevision enligt RALS 2002–2004 uttrycks att ”en väl fungerande indiv</w:t>
      </w:r>
      <w:r w:rsidRPr="009D719B">
        <w:t>i</w:t>
      </w:r>
      <w:r w:rsidRPr="009D719B">
        <w:t xml:space="preserve">duell lönesättning förutsätter en regelbundet återkommande dialog mellan chef och medarbetare”. Den lönesättande chefen vid en organisationsenhet ska således genomföra lönesamtal med de enskilda arbetstagarna. </w:t>
      </w:r>
    </w:p>
    <w:p w:rsidR="001F14AF" w:rsidRPr="009D719B" w:rsidRDefault="001F14AF">
      <w:pPr>
        <w:pStyle w:val="Rubrik2"/>
      </w:pPr>
      <w:bookmarkStart w:id="150" w:name="_Toc32301663"/>
      <w:bookmarkStart w:id="151" w:name="_Toc38080838"/>
      <w:bookmarkStart w:id="152" w:name="_Toc38103365"/>
      <w:r w:rsidRPr="009D719B">
        <w:t>Förbandets personal</w:t>
      </w:r>
      <w:bookmarkEnd w:id="150"/>
      <w:bookmarkEnd w:id="151"/>
      <w:bookmarkEnd w:id="152"/>
    </w:p>
    <w:p w:rsidR="001F14AF" w:rsidRPr="009D719B" w:rsidRDefault="001F14AF">
      <w:r w:rsidRPr="009D719B">
        <w:t>Kompetensläget vid förbandet kan påverka lönebildningen. Personalbrist, upplevd eller verklig, riskerar att driva upp lönerna inom organisationen. I en myndighet med delegerat arbetsgivaransvar som inom Försvarsmakten finns det också risk att en upplevd personalbrist leder till lönekonkurrens mellan myndighetens olika delar. Vissa förband upplever en besvärande kompeten</w:t>
      </w:r>
      <w:r w:rsidRPr="009D719B">
        <w:t>s</w:t>
      </w:r>
      <w:r w:rsidRPr="009D719B">
        <w:t>brist och har också svårt att fylla sina pe</w:t>
      </w:r>
      <w:r w:rsidRPr="009D719B">
        <w:t>r</w:t>
      </w:r>
      <w:r w:rsidRPr="009D719B">
        <w:t>sonalramar.</w:t>
      </w:r>
    </w:p>
    <w:p w:rsidR="001F14AF" w:rsidRPr="009D719B" w:rsidRDefault="001F14AF">
      <w:pPr>
        <w:pStyle w:val="Normaltindrag"/>
      </w:pPr>
      <w:r w:rsidRPr="009D719B">
        <w:t>Varje förband tilldelas en personalram bestående av ett antal yrkesofficer</w:t>
      </w:r>
      <w:r w:rsidRPr="009D719B">
        <w:t>a</w:t>
      </w:r>
      <w:r w:rsidRPr="009D719B">
        <w:t xml:space="preserve">re och civilanställda. Personalramen innehåller dels en grundram med det antal anställda som anses behövas vid förbandet. Utöver detta innehåller personalramen också en ram för ett antal yrkesofficerare som har sin hemvist vid förbandet men som ska användas för olika bemanningsuppdrag inom Försvarsmakten. Inom personalramen kan alltså tjänstlediga (exempelvis för tjänstgöring i utlandsstyrkan), personal under vidareutbildning samt personal inom Försvarsmaktens olika bemanningsuppdrag rymmas. Bortsett från </w:t>
      </w:r>
      <w:r w:rsidRPr="009D719B">
        <w:t xml:space="preserve">detta kan ett förband ändå ha svårt att fylla sin personalram, vilket då innebär att verksamheten får bedrivas med vakanser på vissa befattningar. </w:t>
      </w:r>
    </w:p>
    <w:p w:rsidR="001F14AF" w:rsidRPr="009D719B" w:rsidRDefault="001F14AF">
      <w:pPr>
        <w:pStyle w:val="Rubrik3-Utannumrering"/>
      </w:pPr>
      <w:bookmarkStart w:id="153" w:name="_Toc38080839"/>
      <w:r w:rsidRPr="009D719B">
        <w:t>Vakanser</w:t>
      </w:r>
      <w:bookmarkEnd w:id="153"/>
    </w:p>
    <w:p w:rsidR="001F14AF" w:rsidRPr="009D719B" w:rsidRDefault="001F14AF">
      <w:r w:rsidRPr="009D719B">
        <w:t>Försvarsmakten har ett överskott på officerare med hänsyn till den verksa</w:t>
      </w:r>
      <w:r w:rsidRPr="009D719B">
        <w:t>m</w:t>
      </w:r>
      <w:r w:rsidRPr="009D719B">
        <w:t>het som bedrivs och ska bedrivas i framtiden. Av den orsaken avvecklas nu personal med hjälp av olika bidrag såsom redovisades i kapitel 2. Omstrukt</w:t>
      </w:r>
      <w:r w:rsidRPr="009D719B">
        <w:t>u</w:t>
      </w:r>
      <w:r w:rsidRPr="009D719B">
        <w:t>reringen av Försvarsmakten har dock inneburit att kompetens som man ön</w:t>
      </w:r>
      <w:r w:rsidRPr="009D719B">
        <w:t>s</w:t>
      </w:r>
      <w:r w:rsidRPr="009D719B">
        <w:t>kade behålla har lämnat myndigheten. RRV har i sin granskning av försv</w:t>
      </w:r>
      <w:r w:rsidRPr="009D719B">
        <w:t>a</w:t>
      </w:r>
      <w:r w:rsidRPr="009D719B">
        <w:t>rets omstrukturering (RRV 2002:14) konstaterat att Försvarsmakten inte tillräckligt kontrollerat och följt upp kompetensläget inom organisationen. De intervjuer som genomförts under revisorernas granskning tyder också på</w:t>
      </w:r>
      <w:r w:rsidRPr="009D719B">
        <w:t xml:space="preserve"> att Försvarsmakten i vissa fall riktat avvecklingsinsatser till personer med värdefull kompetens genom att yrkesgrupper som borde ha behållits fått del av avvecklingsinsatserna. Trots att det således finns för många yrkesofficer</w:t>
      </w:r>
      <w:r w:rsidRPr="009D719B">
        <w:t>a</w:t>
      </w:r>
      <w:r w:rsidRPr="009D719B">
        <w:t>re totalt, råder det på vissa förband brist på officerare i vissa yrkeskategorier. I kapitel 2 ovan konstaterades att vakanser framför allt är ett problem inom armén där förband kan ha vakanser motsvarande 30 % av de totala persona</w:t>
      </w:r>
      <w:r w:rsidRPr="009D719B">
        <w:t>l</w:t>
      </w:r>
      <w:r w:rsidRPr="009D719B">
        <w:t>ramarna för förbandet.</w:t>
      </w:r>
    </w:p>
    <w:p w:rsidR="001F14AF" w:rsidRPr="009D719B" w:rsidRDefault="001F14AF">
      <w:pPr>
        <w:pStyle w:val="Normaltindrag"/>
      </w:pPr>
      <w:r w:rsidRPr="009D719B">
        <w:t>Det finns också regionala s</w:t>
      </w:r>
      <w:r w:rsidRPr="009D719B">
        <w:t>killnader i kompetensläget, eftersom Försvar</w:t>
      </w:r>
      <w:r w:rsidRPr="009D719B">
        <w:t>s</w:t>
      </w:r>
      <w:r w:rsidRPr="009D719B">
        <w:t>makten endast i begränsad utsträckning styr personal mellan de olika organ</w:t>
      </w:r>
      <w:r w:rsidRPr="009D719B">
        <w:t>i</w:t>
      </w:r>
      <w:r w:rsidRPr="009D719B">
        <w:t>sationsenheterna. Av förbandsintervjuerna kan konstateras att personal från nedlagda förband inte i första hand omfördelats efter verksamhetens behov utan efter individens. Detta har också RRV konstaterat i sin granskning av Försvar</w:t>
      </w:r>
      <w:r w:rsidRPr="009D719B">
        <w:t>s</w:t>
      </w:r>
      <w:r w:rsidRPr="009D719B">
        <w:t xml:space="preserve">maktens omstrukturering (RRV 2002:14). </w:t>
      </w:r>
    </w:p>
    <w:p w:rsidR="001F14AF" w:rsidRPr="009D719B" w:rsidRDefault="001F14AF">
      <w:pPr>
        <w:pStyle w:val="Normaltindrag"/>
      </w:pPr>
      <w:r w:rsidRPr="009D719B">
        <w:t>Det råder delade meningar inom Försvarsmakten om tillgången på yrkeso</w:t>
      </w:r>
      <w:r w:rsidRPr="009D719B">
        <w:t>f</w:t>
      </w:r>
      <w:r w:rsidRPr="009D719B">
        <w:t>ficerare. Från förbanden och även från Officersförbundet trycker man på att framför allt antalet officerare som sköter grundutbildningen av värnpliktiga är för litet. Från Högkvarteret menar man att detta är en övergående fas som till stor del har med myndigh</w:t>
      </w:r>
      <w:r w:rsidRPr="009D719B">
        <w:t>e</w:t>
      </w:r>
      <w:r w:rsidRPr="009D719B">
        <w:t xml:space="preserve">tens omstrukturering att göra.  </w:t>
      </w:r>
    </w:p>
    <w:p w:rsidR="001F14AF" w:rsidRPr="009D719B" w:rsidRDefault="001F14AF">
      <w:pPr>
        <w:pStyle w:val="Rubrik3-Utannumrering"/>
      </w:pPr>
      <w:bookmarkStart w:id="154" w:name="_Toc38080840"/>
      <w:r w:rsidRPr="009D719B">
        <w:t>Bemanningsuppdrag</w:t>
      </w:r>
      <w:bookmarkEnd w:id="154"/>
    </w:p>
    <w:p w:rsidR="001F14AF" w:rsidRPr="009D719B" w:rsidRDefault="001F14AF">
      <w:r w:rsidRPr="009D719B">
        <w:t>En förbandschef ska genom bemanningsuppdragen bistå Försvarsmaktens olika ledningsorgan, skolor och centrum med personal. En yrkesofficer kan således vara placerad vid ett förband men genom ett bemanningsuppdrag till förbandet tjänstgöra vid t.ex. Högkvarteret eller en militärhögskola. Den mottagande organisationsenheten (t.ex. skolan) har då arbetsgivar- och lön</w:t>
      </w:r>
      <w:r w:rsidRPr="009D719B">
        <w:t>e</w:t>
      </w:r>
      <w:r w:rsidRPr="009D719B">
        <w:t>sättningsansvaret för officeren som tjänstgör på bema</w:t>
      </w:r>
      <w:r w:rsidRPr="009D719B">
        <w:t>n</w:t>
      </w:r>
      <w:r w:rsidRPr="009D719B">
        <w:t xml:space="preserve">ningsuppdraget.   </w:t>
      </w:r>
    </w:p>
    <w:p w:rsidR="001F14AF" w:rsidRPr="009D719B" w:rsidRDefault="001F14AF">
      <w:pPr>
        <w:pStyle w:val="Normaltindrag"/>
      </w:pPr>
      <w:r w:rsidRPr="009D719B">
        <w:t>Synen på bemanningsuppdragen är kluven inom Försvarsmakten. Å ena sidan utgör tjänstgöringen vid skolor och centrum en värdefull kompetensu</w:t>
      </w:r>
      <w:r w:rsidRPr="009D719B">
        <w:t>t</w:t>
      </w:r>
      <w:r w:rsidRPr="009D719B">
        <w:t>veckling för förbandets personal. Å andra sidan kan bemanningsuppdragen innebära problem när verksa</w:t>
      </w:r>
      <w:r w:rsidRPr="009D719B">
        <w:t>m</w:t>
      </w:r>
      <w:r w:rsidRPr="009D719B">
        <w:t xml:space="preserve">heten vid förbanden dras med vakanser. </w:t>
      </w:r>
    </w:p>
    <w:p w:rsidR="001F14AF" w:rsidRPr="009D719B" w:rsidRDefault="001F14AF">
      <w:pPr>
        <w:pStyle w:val="Normaltindrag"/>
      </w:pPr>
      <w:r w:rsidRPr="009D719B">
        <w:t>Hanteringen av bemanningsuppdragen upplevs i vissa fall som problem</w:t>
      </w:r>
      <w:r w:rsidRPr="009D719B">
        <w:t>a</w:t>
      </w:r>
      <w:r w:rsidRPr="009D719B">
        <w:t>tisk, framför allt inom armén. De olika arméförbanden har i olika utsträc</w:t>
      </w:r>
      <w:r w:rsidRPr="009D719B">
        <w:t>k</w:t>
      </w:r>
      <w:r w:rsidRPr="009D719B">
        <w:t>ning lyckats fylla sina personalramar. Fördelningen av bemanningsuppdr</w:t>
      </w:r>
      <w:r w:rsidRPr="009D719B">
        <w:t>a</w:t>
      </w:r>
      <w:r w:rsidRPr="009D719B">
        <w:t>gen mellan de olika arméförbanden samordnas dock inte så att hänsyn tas till förbandens egna personalbehov. Inom de övriga två försvarsgrenarna sa</w:t>
      </w:r>
      <w:r w:rsidRPr="009D719B">
        <w:t>m</w:t>
      </w:r>
      <w:r w:rsidRPr="009D719B">
        <w:t>ordnas fördelningen av bemanningsuppdragen så att vissa förband kan ta på sig större del av uppdragen än andra förband där personalläget är mer a</w:t>
      </w:r>
      <w:r w:rsidRPr="009D719B">
        <w:t>n</w:t>
      </w:r>
      <w:r w:rsidRPr="009D719B">
        <w:t>strängt.</w:t>
      </w:r>
    </w:p>
    <w:p w:rsidR="001F14AF" w:rsidRPr="009D719B" w:rsidRDefault="001F14AF">
      <w:pPr>
        <w:pStyle w:val="Rubrik2"/>
      </w:pPr>
      <w:bookmarkStart w:id="155" w:name="_Toc32301664"/>
      <w:bookmarkStart w:id="156" w:name="_Toc38080841"/>
      <w:bookmarkStart w:id="157" w:name="_Toc38103366"/>
      <w:r w:rsidRPr="009D719B">
        <w:t>Individuell lönebildning</w:t>
      </w:r>
      <w:bookmarkEnd w:id="155"/>
      <w:bookmarkEnd w:id="156"/>
      <w:bookmarkEnd w:id="157"/>
    </w:p>
    <w:p w:rsidR="001F14AF" w:rsidRPr="009D719B" w:rsidRDefault="001F14AF">
      <w:r w:rsidRPr="009D719B">
        <w:t>I sin granskning av Försvarsmaktens omstrukturering konstaterar RRV att lönesättningen inte i nämnvärd grad har använts för att försöka behålla pe</w:t>
      </w:r>
      <w:r w:rsidRPr="009D719B">
        <w:t>r</w:t>
      </w:r>
      <w:r w:rsidRPr="009D719B">
        <w:t>sonal med för myndigheten viktig kompetens (RRV 2002:14). I stället för att genomdriva en individuell lönebildning menade RRV att utrymmet för lön</w:t>
      </w:r>
      <w:r w:rsidRPr="009D719B">
        <w:t>e</w:t>
      </w:r>
      <w:r w:rsidRPr="009D719B">
        <w:t>ökningar fördelats på olika grupper eller kategorier av anställda. Detta ko</w:t>
      </w:r>
      <w:r w:rsidRPr="009D719B">
        <w:t>n</w:t>
      </w:r>
      <w:r w:rsidRPr="009D719B">
        <w:t xml:space="preserve">staterande bygger på de intervjuer som RRV genomfört. </w:t>
      </w:r>
    </w:p>
    <w:p w:rsidR="001F14AF" w:rsidRPr="009D719B" w:rsidRDefault="001F14AF">
      <w:pPr>
        <w:pStyle w:val="Normaltindrag"/>
      </w:pPr>
      <w:r w:rsidRPr="009D719B">
        <w:t>RRV gav Försvarsmakten och Arbetsgivarverket i uppdrag att ta fram st</w:t>
      </w:r>
      <w:r w:rsidRPr="009D719B">
        <w:t>a</w:t>
      </w:r>
      <w:r w:rsidRPr="009D719B">
        <w:t>tistik för löneutvecklingen för de yrkeskategorier som Försvarsmakten uttalat att man önskar behålla i samband med personalavvecklingen. Försvarsma</w:t>
      </w:r>
      <w:r w:rsidRPr="009D719B">
        <w:t>k</w:t>
      </w:r>
      <w:r w:rsidRPr="009D719B">
        <w:t>ten önskar framför allt behålla yngre officerare (under 35 år), officerare i nivå 2/3 och 4, personer med internationell erfarenhet, personer med IT-kompetens samt vissa speciella yrkeskategorier, främst tekniker av olika slag. Den enda av dessa grupper som visade sig vara möjlig att urskilja i det statistiska materialet var officerare under 35 år. RRV konstate</w:t>
      </w:r>
      <w:r w:rsidRPr="009D719B">
        <w:t>rade att man utifrån detta material kunde se en lönesatsning för yngre officerare (vilken är en grupp som Försvarsmakten önskar behålla), men att intervjuerna vid landets förband entydigt pekade åt motsatt håll, dvs. att lönen inte använts som instrument för att behålla önskvärd personal.</w:t>
      </w:r>
    </w:p>
    <w:p w:rsidR="001F14AF" w:rsidRPr="009D719B" w:rsidRDefault="001F14AF">
      <w:pPr>
        <w:pStyle w:val="Normaltindrag"/>
      </w:pPr>
      <w:r w:rsidRPr="009D719B">
        <w:t>Under revisorernas granskning har det framkommit att lönestrukturen vid förbanden av förbandscheferna upplevs som alltför platt. Man skulle vilja differentiera lönerna mer för att på så sätt motivera anställda att ta på si</w:t>
      </w:r>
      <w:r w:rsidRPr="009D719B">
        <w:t>g mer kvalificerade uppgifter samt öka förmågan att behålla marknadsutsatt pers</w:t>
      </w:r>
      <w:r w:rsidRPr="009D719B">
        <w:t>o</w:t>
      </w:r>
      <w:r w:rsidRPr="009D719B">
        <w:t>nal. Företrädare för förbanden har i intervjuerna fört fram ett antal faktorer som upplevs som onödiga inskränkningar i förbandschefens ansvar för lön</w:t>
      </w:r>
      <w:r w:rsidRPr="009D719B">
        <w:t>e</w:t>
      </w:r>
      <w:r w:rsidRPr="009D719B">
        <w:t>bildningen och som redovisas nedan. Dessa faktorer uppges också försvåra för förbanden att tillämpa en individuell lönesättning och skapa önskvärda lönestrukturer.</w:t>
      </w:r>
    </w:p>
    <w:p w:rsidR="001F14AF" w:rsidRPr="009D719B" w:rsidRDefault="001F14AF">
      <w:pPr>
        <w:pStyle w:val="Rubrik3-Utannumrering"/>
      </w:pPr>
      <w:bookmarkStart w:id="158" w:name="_Toc38080842"/>
      <w:r w:rsidRPr="009D719B">
        <w:t>Ingångslöner</w:t>
      </w:r>
      <w:bookmarkEnd w:id="158"/>
    </w:p>
    <w:p w:rsidR="001F14AF" w:rsidRPr="009D719B" w:rsidRDefault="001F14AF">
      <w:r w:rsidRPr="009D719B">
        <w:t>Införandet av minimilönen för fänrikar är ett tydligt exempel på hur styrning från Högkvarterets sida av förbanden kan upplevas som problematisk. I myndighetens avtal om lönerevision enligt RALS som slutits på försvar</w:t>
      </w:r>
      <w:r w:rsidRPr="009D719B">
        <w:t>s</w:t>
      </w:r>
      <w:r w:rsidRPr="009D719B">
        <w:t>maktsnivå med arbetstagarorganisationerna har man avtalat en fast ingång</w:t>
      </w:r>
      <w:r w:rsidRPr="009D719B">
        <w:t>s</w:t>
      </w:r>
      <w:r w:rsidRPr="009D719B">
        <w:t>lön för nyutexaminerade fänrikar. Förbandschefen kan besluta om högre ingångslön för en fänrik, men den avtalade ingångslönen kan inte underst</w:t>
      </w:r>
      <w:r w:rsidRPr="009D719B">
        <w:t>i</w:t>
      </w:r>
      <w:r w:rsidRPr="009D719B">
        <w:t>gas. Vid förbanden menar man att det inte finns något behov av att slå fast en ingångslön. I vissa fall finns det anledning att betala en nyanställd mer, men lika ofta kan den fastlagda ingångslönen ligga alltför högt med tanke på förba</w:t>
      </w:r>
      <w:r w:rsidRPr="009D719B">
        <w:t>n</w:t>
      </w:r>
      <w:r w:rsidRPr="009D719B">
        <w:t>dets lönestruktur.</w:t>
      </w:r>
    </w:p>
    <w:p w:rsidR="001F14AF" w:rsidRPr="009D719B" w:rsidRDefault="001F14AF">
      <w:pPr>
        <w:pStyle w:val="Normaltindrag"/>
      </w:pPr>
      <w:r w:rsidRPr="009D719B">
        <w:t>I RALS 2002 höjdes denna ingångslön frå</w:t>
      </w:r>
      <w:r w:rsidRPr="009D719B">
        <w:t>n 15 600 kr till 16 900 kr. Detta innebär en löneökning på drygt 8 %. Vid förbandsintervjuerna har det fra</w:t>
      </w:r>
      <w:r w:rsidRPr="009D719B">
        <w:t>m</w:t>
      </w:r>
      <w:r w:rsidRPr="009D719B">
        <w:t>kommit att den kraftiga ökningen av ingångslönerna har orsakat problem för förbanden. Ingångslönen på 16 900 kr upplevs som mycket hög och innebär att hela förbandets lönestruktur förskjutits uppåt under 2002. Från förbanden har man konstaterat att höjningen av ingångslönerna äter upp det utrymme som annars skulle ha funnits för att differentiera lönerna och t.ex. ge mar</w:t>
      </w:r>
      <w:r w:rsidRPr="009D719B">
        <w:t>k</w:t>
      </w:r>
      <w:r w:rsidRPr="009D719B">
        <w:t>nadsutsatta grupper högre lön.</w:t>
      </w:r>
    </w:p>
    <w:p w:rsidR="001F14AF" w:rsidRPr="009D719B" w:rsidRDefault="001F14AF">
      <w:pPr>
        <w:pStyle w:val="Normaltindrag"/>
      </w:pPr>
      <w:r w:rsidRPr="009D719B">
        <w:t>I och med den avtalade ingångslönen för nyutexaminerade fänrikar påve</w:t>
      </w:r>
      <w:r w:rsidRPr="009D719B">
        <w:t>r</w:t>
      </w:r>
      <w:r w:rsidRPr="009D719B">
        <w:t>kas förbandens lönestruktur på ett lönedrivande sätt. Dessutom har man från Försvarsmaktens sida med detta frångått principen med individuella löner när man ger en hel grupp en generell lön. Varken fänrikar eller yrkesofficerare i allmänhet är någon homogen grupp. Kraven på och förutsättningarna för en fänrik kan skilja sig åt mellan olika organisationsenheter inom Försvar</w:t>
      </w:r>
      <w:r w:rsidRPr="009D719B">
        <w:t>s</w:t>
      </w:r>
      <w:r w:rsidRPr="009D719B">
        <w:t>makten.</w:t>
      </w:r>
    </w:p>
    <w:p w:rsidR="001F14AF" w:rsidRPr="009D719B" w:rsidRDefault="001F14AF">
      <w:pPr>
        <w:pStyle w:val="Normaltindrag"/>
      </w:pPr>
      <w:r w:rsidRPr="009D719B">
        <w:t>Förutom flygvapnet har inget av de förband som kontaktats under grans</w:t>
      </w:r>
      <w:r w:rsidRPr="009D719B">
        <w:t>k</w:t>
      </w:r>
      <w:r w:rsidRPr="009D719B">
        <w:t>ningen upplevt några problem med att rekrytera aspiranter till officersyrket. Från vissa förband har man dessutom uttryckt önskemål om utökade rekryt</w:t>
      </w:r>
      <w:r w:rsidRPr="009D719B">
        <w:t>e</w:t>
      </w:r>
      <w:r w:rsidRPr="009D719B">
        <w:t>ringsramar, då man har betydligt fler sökande än vad ramarna medger. Under de två senaste rekryteringsperioderna är det framför allt flygvapnet och hel</w:t>
      </w:r>
      <w:r w:rsidRPr="009D719B">
        <w:t>i</w:t>
      </w:r>
      <w:r w:rsidRPr="009D719B">
        <w:t>kopterflottiljen som inte lyckats med att fylla sina rekryteringsramar. Detta beror framför allt på att för flyg- och helikopterförare finns det inga vär</w:t>
      </w:r>
      <w:r w:rsidRPr="009D719B">
        <w:t>n</w:t>
      </w:r>
      <w:r w:rsidRPr="009D719B">
        <w:t>pliktiga att rekrytera. Detta skulle således tyda på at</w:t>
      </w:r>
      <w:r w:rsidRPr="009D719B">
        <w:t>t lönen inte varit ett hinder för att rekryt</w:t>
      </w:r>
      <w:r w:rsidRPr="009D719B">
        <w:t>e</w:t>
      </w:r>
      <w:r w:rsidRPr="009D719B">
        <w:t xml:space="preserve">ra officerare. </w:t>
      </w:r>
    </w:p>
    <w:p w:rsidR="001F14AF" w:rsidRPr="009D719B" w:rsidRDefault="001F14AF">
      <w:pPr>
        <w:pStyle w:val="Rubrik3-Utannumrering"/>
      </w:pPr>
      <w:bookmarkStart w:id="159" w:name="_Toc38080843"/>
      <w:r w:rsidRPr="009D719B">
        <w:t>Löneglidning genom befattningsbyten</w:t>
      </w:r>
      <w:bookmarkEnd w:id="159"/>
    </w:p>
    <w:p w:rsidR="001F14AF" w:rsidRPr="009D719B" w:rsidRDefault="001F14AF">
      <w:r w:rsidRPr="009D719B">
        <w:t>Från Försvarsmaktens sida är man medveten om att den stora anledningen till löneglidningen inom myndigheten är de många befattningsbyten en officer gör under sin karriär. Den korta tid en officer arbetar i en befattning har kritiserats flera gånger tidigare av såväl RRV som regeringen, Personalfö</w:t>
      </w:r>
      <w:r w:rsidRPr="009D719B">
        <w:t>r</w:t>
      </w:r>
      <w:r w:rsidRPr="009D719B">
        <w:t>sörjningsutredningen och försvarsutskottet. Förutom att täta befattningsbyten medför risker för betydande löneglidning innebär den korta tiden på en b</w:t>
      </w:r>
      <w:r w:rsidRPr="009D719B">
        <w:t>e</w:t>
      </w:r>
      <w:r w:rsidRPr="009D719B">
        <w:t>fattning att officeren aldrig hinner bygga upp den erfarenhet som krävs. Det institutionella minnet inom Försvarsmakten blir också lidande när officerare ständigt byter befattning.</w:t>
      </w:r>
    </w:p>
    <w:p w:rsidR="001F14AF" w:rsidRPr="009D719B" w:rsidRDefault="001F14AF">
      <w:pPr>
        <w:pStyle w:val="Normaltindrag"/>
      </w:pPr>
      <w:r w:rsidRPr="009D719B">
        <w:t xml:space="preserve">Försvarsmakten har visserligen meddelat att man ska försöka öka den tid som en officer arbetar i varje befattning. Samtidigt menar man att den relativt snabba genomströmningen av </w:t>
      </w:r>
      <w:r w:rsidRPr="009D719B">
        <w:t>officerare på olika befattningar är nödvändig för att på sikt trygga myndighetens behov av högre chefer. Från Försvar</w:t>
      </w:r>
      <w:r w:rsidRPr="009D719B">
        <w:t>s</w:t>
      </w:r>
      <w:r w:rsidRPr="009D719B">
        <w:t>makten framhåller man att en högre chef på militär befattning inom myndi</w:t>
      </w:r>
      <w:r w:rsidRPr="009D719B">
        <w:t>g</w:t>
      </w:r>
      <w:r w:rsidRPr="009D719B">
        <w:t xml:space="preserve">heten behöver ha erfarenhet från olika delar av organisationen. Det ingår i kompetensutvecklingen för blivande chefer att prova på befattningar inom olika delar av organisationen. </w:t>
      </w:r>
    </w:p>
    <w:p w:rsidR="001F14AF" w:rsidRPr="009D719B" w:rsidRDefault="001F14AF">
      <w:pPr>
        <w:pStyle w:val="Rubrik4-Utannumrering"/>
      </w:pPr>
      <w:bookmarkStart w:id="160" w:name="_Toc38080844"/>
      <w:r w:rsidRPr="009D719B">
        <w:t>Tjänstgöring vid skolor och centrum är lönedrivande</w:t>
      </w:r>
      <w:bookmarkEnd w:id="160"/>
    </w:p>
    <w:p w:rsidR="001F14AF" w:rsidRPr="009D719B" w:rsidRDefault="001F14AF">
      <w:r w:rsidRPr="009D719B">
        <w:t>Löneläget vid Försvarsmaktens skolor och centrum ligger långt över lönel</w:t>
      </w:r>
      <w:r w:rsidRPr="009D719B">
        <w:t>ä</w:t>
      </w:r>
      <w:r w:rsidRPr="009D719B">
        <w:t>get vid förbanden. Detta visades i kapitel 4 ovan. En officer som enligt ett bemanningsuppdrag tjänstgör vid en skola eller ett centrum erhåller således en markant löneökning. Tjänsten vid en skola eller centrum är tidsbegränsad och officeren ska då enligt Högkvarterets personalstab också ha en tillfälligt högre lön under tjänstgöringsperioden. Under de intervjuer som genomförts vid förbanden framkommer dock att i praktiken höjs officerens grundlön när denne tjänstgör på ett bemanningsuppdrag. När officere</w:t>
      </w:r>
      <w:r w:rsidRPr="009D719B">
        <w:t>n sedan kommer tillbaka till sitt förband får han behålla denna lönenivå, eftersom en fö</w:t>
      </w:r>
      <w:r w:rsidRPr="009D719B">
        <w:t>r</w:t>
      </w:r>
      <w:r w:rsidRPr="009D719B">
        <w:t>bandschef i praktiken inte kan sänka en anställds lön. Officeren har således en högre lön än de personer med likvärdiga befattningar vid förbandet som inte tjänstgjort vid skolor och cen</w:t>
      </w:r>
      <w:r w:rsidRPr="009D719B">
        <w:t>t</w:t>
      </w:r>
      <w:r w:rsidRPr="009D719B">
        <w:t>rum.</w:t>
      </w:r>
    </w:p>
    <w:p w:rsidR="001F14AF" w:rsidRPr="009D719B" w:rsidRDefault="001F14AF">
      <w:pPr>
        <w:pStyle w:val="Normaltindrag"/>
      </w:pPr>
      <w:r w:rsidRPr="009D719B">
        <w:t xml:space="preserve">Från vissa förband har det framkommit att Högkvarteret inte tillräckligt följer upp dessa befattningsbyten. Den löneökning som den anställde får i samband med bemanningsuppdraget riskerar att snedvrida lönestrukturen vid förbandet </w:t>
      </w:r>
      <w:r w:rsidRPr="009D719B">
        <w:t>och skapar ett motstånd från förbandschefer mot bemanningsup</w:t>
      </w:r>
      <w:r w:rsidRPr="009D719B">
        <w:t>p</w:t>
      </w:r>
      <w:r w:rsidRPr="009D719B">
        <w:t>dragen.</w:t>
      </w:r>
    </w:p>
    <w:p w:rsidR="001F14AF" w:rsidRPr="009D719B" w:rsidRDefault="001F14AF">
      <w:pPr>
        <w:pStyle w:val="Rubrik1"/>
      </w:pPr>
      <w:r w:rsidRPr="009D719B">
        <w:br w:type="page"/>
      </w:r>
      <w:bookmarkStart w:id="161" w:name="_Toc32301665"/>
      <w:bookmarkStart w:id="162" w:name="_Toc38080845"/>
      <w:bookmarkStart w:id="163" w:name="_Toc38103367"/>
      <w:r w:rsidRPr="009D719B">
        <w:t>Försvarsmaktens uppföljning</w:t>
      </w:r>
      <w:bookmarkEnd w:id="161"/>
      <w:bookmarkEnd w:id="162"/>
      <w:bookmarkEnd w:id="163"/>
    </w:p>
    <w:p w:rsidR="001F14AF" w:rsidRPr="009D719B" w:rsidRDefault="001F14AF">
      <w:r w:rsidRPr="009D719B">
        <w:t>I detta kapitel analyseras hur Försvarsmaktens centrala ledningsorgan, Hö</w:t>
      </w:r>
      <w:r w:rsidRPr="009D719B">
        <w:t>g</w:t>
      </w:r>
      <w:r w:rsidRPr="009D719B">
        <w:t xml:space="preserve">kvarteret, följer upp lönebildningen vid förband, skolor och centrum. </w:t>
      </w:r>
    </w:p>
    <w:p w:rsidR="001F14AF" w:rsidRPr="009D719B" w:rsidRDefault="001F14AF">
      <w:pPr>
        <w:pStyle w:val="Rubrik2"/>
      </w:pPr>
      <w:bookmarkStart w:id="164" w:name="_Toc32301666"/>
      <w:bookmarkStart w:id="165" w:name="_Toc38080846"/>
      <w:bookmarkStart w:id="166" w:name="_Toc38103368"/>
      <w:r w:rsidRPr="009D719B">
        <w:t>Kritik mot Försvarsmaktens uppföljning</w:t>
      </w:r>
      <w:bookmarkEnd w:id="164"/>
      <w:bookmarkEnd w:id="165"/>
      <w:bookmarkEnd w:id="166"/>
    </w:p>
    <w:p w:rsidR="001F14AF" w:rsidRPr="009D719B" w:rsidRDefault="001F14AF">
      <w:r w:rsidRPr="009D719B">
        <w:t>Försvarsmaktens uppföljning inom ekonomi- och personalområdet har tid</w:t>
      </w:r>
      <w:r w:rsidRPr="009D719B">
        <w:t>i</w:t>
      </w:r>
      <w:r w:rsidRPr="009D719B">
        <w:t>gare kritiserats av flera utomstående granskare. Den kritik som framförs inom dessa olika områden inom Försvarsmakten kan tyda på att uppföljnin</w:t>
      </w:r>
      <w:r w:rsidRPr="009D719B">
        <w:t>g</w:t>
      </w:r>
      <w:r w:rsidRPr="009D719B">
        <w:t>en allmänt sett är eftersatt inom Försvar</w:t>
      </w:r>
      <w:r w:rsidRPr="009D719B">
        <w:t>s</w:t>
      </w:r>
      <w:r w:rsidRPr="009D719B">
        <w:t>makten.</w:t>
      </w:r>
    </w:p>
    <w:p w:rsidR="001F14AF" w:rsidRPr="009D719B" w:rsidRDefault="001F14AF">
      <w:pPr>
        <w:pStyle w:val="Rubrik3-Utannumrering"/>
      </w:pPr>
      <w:bookmarkStart w:id="167" w:name="_Toc38080847"/>
      <w:r w:rsidRPr="009D719B">
        <w:t>Riksdagens revisorer</w:t>
      </w:r>
      <w:bookmarkEnd w:id="167"/>
    </w:p>
    <w:p w:rsidR="001F14AF" w:rsidRPr="009D719B" w:rsidRDefault="001F14AF">
      <w:r w:rsidRPr="009D719B">
        <w:t>Riksdagens revisorer kritiserade i en informationsrapport från år 2000 Fö</w:t>
      </w:r>
      <w:r w:rsidRPr="009D719B">
        <w:t>r</w:t>
      </w:r>
      <w:r w:rsidRPr="009D719B">
        <w:t>svarsmakten för otillräcklig uppföljning av personalläget.</w:t>
      </w:r>
      <w:r w:rsidRPr="009D719B">
        <w:rPr>
          <w:rStyle w:val="Fotnotsreferens"/>
        </w:rPr>
        <w:footnoteReference w:id="29"/>
      </w:r>
      <w:r w:rsidRPr="009D719B">
        <w:t xml:space="preserve"> Enligt revisore</w:t>
      </w:r>
      <w:r w:rsidRPr="009D719B">
        <w:t>r</w:t>
      </w:r>
      <w:r w:rsidRPr="009D719B">
        <w:t>na hade Försvarsmakten underskattat betydelsen av att följa upp hur avvec</w:t>
      </w:r>
      <w:r w:rsidRPr="009D719B">
        <w:t>k</w:t>
      </w:r>
      <w:r w:rsidRPr="009D719B">
        <w:t>lingen av personal fortlöpte. Denna kritik har senare även lyfts fram av Rik</w:t>
      </w:r>
      <w:r w:rsidRPr="009D719B">
        <w:t>s</w:t>
      </w:r>
      <w:r w:rsidRPr="009D719B">
        <w:t xml:space="preserve">revisionsverket (se nedan).  </w:t>
      </w:r>
    </w:p>
    <w:p w:rsidR="001F14AF" w:rsidRPr="009D719B" w:rsidRDefault="001F14AF">
      <w:pPr>
        <w:pStyle w:val="Rubrik3-Utannumrering"/>
      </w:pPr>
      <w:bookmarkStart w:id="168" w:name="_Toc38080848"/>
      <w:r w:rsidRPr="009D719B">
        <w:t>Ekonomistyrningsverket</w:t>
      </w:r>
      <w:bookmarkEnd w:id="168"/>
    </w:p>
    <w:p w:rsidR="001F14AF" w:rsidRPr="009D719B" w:rsidRDefault="001F14AF">
      <w:r w:rsidRPr="009D719B">
        <w:t>Som ett resultat av Försvarsmaktens överskridande av sina anslag under åren 2000 och 2001 gav regeringen Ekonomistyrningsverket (ESV) i uppdrag att tillsammans med Försvarsmakten utarbeta förbättringar i den interna ekon</w:t>
      </w:r>
      <w:r w:rsidRPr="009D719B">
        <w:t>o</w:t>
      </w:r>
      <w:r w:rsidRPr="009D719B">
        <w:t>mistyrningen. Den ekonomiska uppföljningen inom Försvarsmakten har, enligt den förstudie som ESV presenterade i juni 2001, stora brister.</w:t>
      </w:r>
      <w:r w:rsidRPr="009D719B">
        <w:rPr>
          <w:rStyle w:val="Fotnotsreferens"/>
        </w:rPr>
        <w:footnoteReference w:id="30"/>
      </w:r>
      <w:r w:rsidRPr="009D719B">
        <w:t xml:space="preserve"> Up</w:t>
      </w:r>
      <w:r w:rsidRPr="009D719B">
        <w:t>p</w:t>
      </w:r>
      <w:r w:rsidRPr="009D719B">
        <w:t>följning har, jämfört med planering, haft låg status inom Försvarsmakten. Vad ESV kallar den inre kontrollmiljön, dvs. hur organisationen ser på bet</w:t>
      </w:r>
      <w:r w:rsidRPr="009D719B">
        <w:t>y</w:t>
      </w:r>
      <w:r w:rsidRPr="009D719B">
        <w:t>delsen av intern kontroll, har motverkat uppföljningen. ESV menar att ”det har skapats en kultur som tillåter bristfällig ekonomisk uppföljning”. Det är också oklart var helhetsansvaret för utvärderingen av myndighetens ekonomi lig</w:t>
      </w:r>
      <w:r w:rsidRPr="009D719B">
        <w:t>g</w:t>
      </w:r>
      <w:r w:rsidRPr="009D719B">
        <w:t>er.</w:t>
      </w:r>
    </w:p>
    <w:p w:rsidR="001F14AF" w:rsidRPr="009D719B" w:rsidRDefault="001F14AF">
      <w:pPr>
        <w:pStyle w:val="Rubrik3-Utannumrering"/>
      </w:pPr>
      <w:bookmarkStart w:id="169" w:name="_Toc38080849"/>
      <w:r w:rsidRPr="009D719B">
        <w:t>Riksrevisionsverket</w:t>
      </w:r>
      <w:bookmarkEnd w:id="169"/>
    </w:p>
    <w:p w:rsidR="001F14AF" w:rsidRPr="009D719B" w:rsidRDefault="001F14AF">
      <w:r w:rsidRPr="009D719B">
        <w:t>Riksrevisionsverket (RRV) menar i sin granskning av Försvarsmaktens o</w:t>
      </w:r>
      <w:r w:rsidRPr="009D719B">
        <w:t>m</w:t>
      </w:r>
      <w:r w:rsidRPr="009D719B">
        <w:t>strukturering (RRV 2002:14) att myndighetens kunskap om det egna ko</w:t>
      </w:r>
      <w:r w:rsidRPr="009D719B">
        <w:t>m</w:t>
      </w:r>
      <w:r w:rsidRPr="009D719B">
        <w:t>petensläget är bristfällig. Eftersom Försvarsmakten inte i tillräcklig utsträc</w:t>
      </w:r>
      <w:r w:rsidRPr="009D719B">
        <w:t>k</w:t>
      </w:r>
      <w:r w:rsidRPr="009D719B">
        <w:t>ning har följt upp orsakerna till de kompetensbrister som uppstått har my</w:t>
      </w:r>
      <w:r w:rsidRPr="009D719B">
        <w:t>n</w:t>
      </w:r>
      <w:r w:rsidRPr="009D719B">
        <w:t xml:space="preserve">digheten heller inte kunnat agera för att behålla önskvärd kompetens. </w:t>
      </w:r>
    </w:p>
    <w:p w:rsidR="001F14AF" w:rsidRPr="009D719B" w:rsidRDefault="001F14AF">
      <w:pPr>
        <w:pStyle w:val="Normaltindrag"/>
      </w:pPr>
      <w:r w:rsidRPr="009D719B">
        <w:t>På grund av Försvarsmaktens bristande statistikunderlag kan inte olika y</w:t>
      </w:r>
      <w:r w:rsidRPr="009D719B">
        <w:t>r</w:t>
      </w:r>
      <w:r w:rsidRPr="009D719B">
        <w:t>kesgrupper inom myndigheten urskiljas. Enligt RRV finns det dock inga tecken som tyder på att lön eller andra förmåner har använts för att försöka behålla önskvärd kompetens. Undantaget är officerare under 35 år där en viss löneökning kan noteras. Försvarsmakten borde enligt RRV ha vidtagit åtgä</w:t>
      </w:r>
      <w:r w:rsidRPr="009D719B">
        <w:t>r</w:t>
      </w:r>
      <w:r w:rsidRPr="009D719B">
        <w:t>der för att förhindra avgången av officer</w:t>
      </w:r>
      <w:r w:rsidRPr="009D719B">
        <w:t>a</w:t>
      </w:r>
      <w:r w:rsidRPr="009D719B">
        <w:t>re med önskvärd kompetens.</w:t>
      </w:r>
    </w:p>
    <w:p w:rsidR="001F14AF" w:rsidRPr="009D719B" w:rsidRDefault="001F14AF">
      <w:pPr>
        <w:pStyle w:val="Rubrik2"/>
      </w:pPr>
      <w:r w:rsidRPr="009D719B">
        <w:t xml:space="preserve"> </w:t>
      </w:r>
      <w:bookmarkStart w:id="170" w:name="_Toc32301667"/>
      <w:bookmarkStart w:id="171" w:name="_Toc38080850"/>
      <w:bookmarkStart w:id="172" w:name="_Toc38103369"/>
      <w:r w:rsidRPr="009D719B">
        <w:t>Uppföljning som styrinstrument</w:t>
      </w:r>
      <w:bookmarkEnd w:id="170"/>
      <w:bookmarkEnd w:id="171"/>
      <w:bookmarkEnd w:id="172"/>
    </w:p>
    <w:p w:rsidR="001F14AF" w:rsidRPr="009D719B" w:rsidRDefault="001F14AF">
      <w:r w:rsidRPr="009D719B">
        <w:t>Uppföljning är ett viktigt hjälpmedel för att styra verksamheten. I utvärd</w:t>
      </w:r>
      <w:r w:rsidRPr="009D719B">
        <w:t>e</w:t>
      </w:r>
      <w:r w:rsidRPr="009D719B">
        <w:t>ringen från 1997 av den arbetsgivarpolitiska delegeringen menar utredaren att utvärdering av arbetsgivarpolitiken kan fungera både förebyggande och korrigerande (SOU 1997:48). Genom uppföljningen blir den som följs upp medveten om vilka frågor som den styrande parten anser som viktiga. En fungerande uppföljning innebär också att överträdelser av regler och riktli</w:t>
      </w:r>
      <w:r w:rsidRPr="009D719B">
        <w:t>n</w:t>
      </w:r>
      <w:r w:rsidRPr="009D719B">
        <w:t xml:space="preserve">jer upptäcks i större utsträckning, vilket leder till att den som följs upp blir mer angelägen om att följa reglerna. För en organisation med de </w:t>
      </w:r>
      <w:r w:rsidRPr="009D719B">
        <w:t>förutsät</w:t>
      </w:r>
      <w:r w:rsidRPr="009D719B">
        <w:t>t</w:t>
      </w:r>
      <w:r w:rsidRPr="009D719B">
        <w:t xml:space="preserve">ningar som Försvarsmakten har blir uppföljning av extra stor vikt. </w:t>
      </w:r>
    </w:p>
    <w:p w:rsidR="001F14AF" w:rsidRPr="009D719B" w:rsidRDefault="001F14AF">
      <w:pPr>
        <w:pStyle w:val="Normaltindrag"/>
      </w:pPr>
      <w:r w:rsidRPr="009D719B">
        <w:t>För att kunna följa upp lönebildningen krävs bl.a. att det finns tydliga må</w:t>
      </w:r>
      <w:r w:rsidRPr="009D719B">
        <w:t>l</w:t>
      </w:r>
      <w:r w:rsidRPr="009D719B">
        <w:t>sättningar att utgå ifrån. Man bör ha preciserat vad som ska följas upp och vilka mått som ska användas. Försvarsmakten har i sin lönepolicy uttryckt målsättningar och regler för lönebildningen. I lönepolicyn uttrycks att lön</w:t>
      </w:r>
      <w:r w:rsidRPr="009D719B">
        <w:t>e</w:t>
      </w:r>
      <w:r w:rsidRPr="009D719B">
        <w:t>bildningen ska utformas så att den medverkar till att målen för verksamheten nås på ett effektivt sätt. Lönen ska vara individuell och differentierad. Som regel ska lönesättning endast förekomma vid tre tillfä</w:t>
      </w:r>
      <w:r w:rsidRPr="009D719B">
        <w:t>l</w:t>
      </w:r>
      <w:r w:rsidRPr="009D719B">
        <w:t>len:</w:t>
      </w:r>
    </w:p>
    <w:p w:rsidR="001F14AF" w:rsidRPr="009D719B" w:rsidRDefault="001F14AF">
      <w:pPr>
        <w:pStyle w:val="Normaltindrag"/>
        <w:numPr>
          <w:ilvl w:val="0"/>
          <w:numId w:val="43"/>
        </w:numPr>
        <w:ind w:left="530"/>
      </w:pPr>
      <w:r w:rsidRPr="009D719B">
        <w:t>lönerevision enligt RALS</w:t>
      </w:r>
    </w:p>
    <w:p w:rsidR="001F14AF" w:rsidRPr="009D719B" w:rsidRDefault="001F14AF">
      <w:pPr>
        <w:pStyle w:val="Normaltindrag"/>
        <w:numPr>
          <w:ilvl w:val="0"/>
          <w:numId w:val="43"/>
        </w:numPr>
        <w:ind w:left="530"/>
      </w:pPr>
      <w:r w:rsidRPr="009D719B">
        <w:t>byte till befattning som innebär större ansvar eller ställer klart större krav på beslutsfattande eller kunnande</w:t>
      </w:r>
    </w:p>
    <w:p w:rsidR="001F14AF" w:rsidRPr="009D719B" w:rsidRDefault="001F14AF">
      <w:pPr>
        <w:pStyle w:val="Normaltindrag"/>
        <w:numPr>
          <w:ilvl w:val="0"/>
          <w:numId w:val="43"/>
        </w:numPr>
        <w:ind w:left="530"/>
      </w:pPr>
      <w:r w:rsidRPr="009D719B">
        <w:t>nyanställning</w:t>
      </w:r>
    </w:p>
    <w:p w:rsidR="001F14AF" w:rsidRPr="009D719B" w:rsidRDefault="001F14AF">
      <w:r w:rsidRPr="009D719B">
        <w:t>Vid lönesättning har Försvarsmakten reglerat att endast tre faktorer ska p</w:t>
      </w:r>
      <w:r w:rsidRPr="009D719B">
        <w:t>å</w:t>
      </w:r>
      <w:r w:rsidRPr="009D719B">
        <w:t>verka individens lön:</w:t>
      </w:r>
    </w:p>
    <w:p w:rsidR="001F14AF" w:rsidRPr="009D719B" w:rsidRDefault="001F14AF">
      <w:pPr>
        <w:pStyle w:val="Normaltindrag"/>
        <w:numPr>
          <w:ilvl w:val="0"/>
          <w:numId w:val="44"/>
        </w:numPr>
        <w:ind w:left="530"/>
      </w:pPr>
      <w:r w:rsidRPr="009D719B">
        <w:t>befattningens svårighet</w:t>
      </w:r>
    </w:p>
    <w:p w:rsidR="001F14AF" w:rsidRPr="009D719B" w:rsidRDefault="001F14AF">
      <w:pPr>
        <w:pStyle w:val="Normaltindrag"/>
        <w:numPr>
          <w:ilvl w:val="0"/>
          <w:numId w:val="44"/>
        </w:numPr>
        <w:ind w:left="530"/>
      </w:pPr>
      <w:r w:rsidRPr="009D719B">
        <w:t>individens prestationer</w:t>
      </w:r>
    </w:p>
    <w:p w:rsidR="001F14AF" w:rsidRPr="009D719B" w:rsidRDefault="001F14AF">
      <w:pPr>
        <w:pStyle w:val="Normaltindrag"/>
        <w:numPr>
          <w:ilvl w:val="0"/>
          <w:numId w:val="44"/>
        </w:numPr>
        <w:ind w:left="530"/>
      </w:pPr>
      <w:r w:rsidRPr="009D719B">
        <w:t>marknadens påverkan</w:t>
      </w:r>
    </w:p>
    <w:p w:rsidR="001F14AF" w:rsidRPr="009D719B" w:rsidRDefault="001F14AF">
      <w:r w:rsidRPr="009D719B">
        <w:t>Utöver bestämmelserna i lönepolicyn finns den styrande begränsningen att den totala lönesumman för ett förband inte får öka med mer än 0,8 % utöver RALS under året. Förbanden utformar också egna lönepolicydokument bas</w:t>
      </w:r>
      <w:r w:rsidRPr="009D719B">
        <w:t>e</w:t>
      </w:r>
      <w:r w:rsidRPr="009D719B">
        <w:t>rade på Försvarsmaktens centrala lönep</w:t>
      </w:r>
      <w:r w:rsidRPr="009D719B">
        <w:t>o</w:t>
      </w:r>
      <w:r w:rsidRPr="009D719B">
        <w:t>licy.</w:t>
      </w:r>
    </w:p>
    <w:p w:rsidR="001F14AF" w:rsidRPr="009D719B" w:rsidRDefault="001F14AF">
      <w:pPr>
        <w:pStyle w:val="Rubrik3-Utannumrering"/>
      </w:pPr>
      <w:bookmarkStart w:id="173" w:name="_Ref24520748"/>
      <w:bookmarkStart w:id="174" w:name="_Toc38080851"/>
      <w:r w:rsidRPr="009D719B">
        <w:t>När ändras lönerna?</w:t>
      </w:r>
      <w:bookmarkEnd w:id="174"/>
    </w:p>
    <w:p w:rsidR="001F14AF" w:rsidRPr="009D719B" w:rsidRDefault="001F14AF">
      <w:r w:rsidRPr="009D719B">
        <w:t>Befattningsbyten har varit en av de främsta orsakerna till löneglidning inom Försvarsmakten. Enligt Försvarsmaktens lönepolicy ska den anställde ha högre lön vid byte av befattning endast om den nya befattningen innebär större ansvar eller ställer klart större krav på beslutsfattande eller kunnande.</w:t>
      </w:r>
    </w:p>
    <w:p w:rsidR="001F14AF" w:rsidRPr="009D719B" w:rsidRDefault="001F14AF">
      <w:pPr>
        <w:pStyle w:val="Normaltindrag"/>
      </w:pPr>
      <w:r w:rsidRPr="009D719B">
        <w:t>Vid beslut om ny lön i samband med att en anställd byter befattning har den ansvarige förbandschefen fram t.o.m. år 2002 varit tvungen att samråda med Högkvarterets personalstab. Samrådet fungerade i praktiken så att fö</w:t>
      </w:r>
      <w:r w:rsidRPr="009D719B">
        <w:t>r</w:t>
      </w:r>
      <w:r w:rsidRPr="009D719B">
        <w:t>bandet vid ett samlat tillfälle under året skickade in en sammanställning av de löneförändringar man vill göra till följd av befattningsbyten. För vissa förband kan det röra sig om 50</w:t>
      </w:r>
      <w:r w:rsidRPr="009D719B">
        <w:softHyphen/>
        <w:t>–100 sådana förändringar per år. Vid Hö</w:t>
      </w:r>
      <w:r w:rsidRPr="009D719B">
        <w:t>g</w:t>
      </w:r>
      <w:r w:rsidRPr="009D719B">
        <w:t>kvarterets personalstab hanterades samrådet inom villkorssektionen som har fem anställda. Hela den övriga uppföljningen av lönebildningen hanteras också vid villkorssektionen.</w:t>
      </w:r>
    </w:p>
    <w:p w:rsidR="001F14AF" w:rsidRPr="009D719B" w:rsidRDefault="001F14AF">
      <w:pPr>
        <w:pStyle w:val="Normaltindrag"/>
      </w:pPr>
      <w:r w:rsidRPr="009D719B">
        <w:t>Under de förbandsintervjuer som genomförts för denna granskning har samrådet med Högkvarteret i denna fråga upp</w:t>
      </w:r>
      <w:r w:rsidRPr="009D719B">
        <w:t xml:space="preserve">fattats mer eller mindre som en formalitet. Förbanden menar att de mycket sällan får avslag på begäran att höja lönen i samband med befattningsbyten. Möjligen kan man ibland bli ombedd att utveckla motiven för löneökningen.  </w:t>
      </w:r>
    </w:p>
    <w:p w:rsidR="001F14AF" w:rsidRPr="009D719B" w:rsidRDefault="001F14AF">
      <w:pPr>
        <w:pStyle w:val="Normaltindrag"/>
      </w:pPr>
      <w:r w:rsidRPr="009D719B">
        <w:t>Fram t.o.m. införandet av Försvarsmaktens nya befattningsvärderingss</w:t>
      </w:r>
      <w:r w:rsidRPr="009D719B">
        <w:t>y</w:t>
      </w:r>
      <w:r w:rsidRPr="009D719B">
        <w:t>stem under år 2002 har det inte funnits något objektivt sätt att se om en b</w:t>
      </w:r>
      <w:r w:rsidRPr="009D719B">
        <w:t>e</w:t>
      </w:r>
      <w:r w:rsidRPr="009D719B">
        <w:t>fattning ställer högre krav på individen än en annan. Det är först fr.o.m. år 2002 som personalstaben har haft möjlighet att följa upp befattningsbyten inom de olika förba</w:t>
      </w:r>
      <w:r w:rsidRPr="009D719B">
        <w:t>n</w:t>
      </w:r>
      <w:r w:rsidRPr="009D719B">
        <w:t>den.</w:t>
      </w:r>
    </w:p>
    <w:p w:rsidR="001F14AF" w:rsidRPr="009D719B" w:rsidRDefault="001F14AF">
      <w:pPr>
        <w:pStyle w:val="Normaltindrag"/>
      </w:pPr>
      <w:r w:rsidRPr="009D719B">
        <w:t>Befattningsbyten mellan olika organisationsenheter inom Försvarsmakten diskuterades i kapitel 7 ovan. Den avlämnande och den mottagande chefen ska vara överens om att den nya befattningen motiverar högre lön. Endast om de båda cheferna är överens kan den mot</w:t>
      </w:r>
      <w:r w:rsidRPr="009D719B">
        <w:t>tagande chefen i sin tur samråda med Högkvart</w:t>
      </w:r>
      <w:r w:rsidRPr="009D719B">
        <w:t>e</w:t>
      </w:r>
      <w:r w:rsidRPr="009D719B">
        <w:t>ret om att sätta högre lön för personen som bytt befattning.</w:t>
      </w:r>
    </w:p>
    <w:p w:rsidR="001F14AF" w:rsidRPr="009D719B" w:rsidRDefault="001F14AF">
      <w:pPr>
        <w:pStyle w:val="Normaltindrag"/>
      </w:pPr>
      <w:r w:rsidRPr="009D719B">
        <w:t>Vid intervjuer vid förbanden har det framkommit att samrådet mellan den avlämnande och mottagande chefen inte fungerar. Det finns inget objektivt system för att jämföra befattningars krav mellan olika organisationsenheter inom Försvarsmakten. Därför är det viktigt att de två subjektiva värderinga</w:t>
      </w:r>
      <w:r w:rsidRPr="009D719B">
        <w:t>r</w:t>
      </w:r>
      <w:r w:rsidRPr="009D719B">
        <w:t>na, dvs. av de båda arbetsgivarföreträdarna, som görs om befattningens krav, överen</w:t>
      </w:r>
      <w:r w:rsidRPr="009D719B">
        <w:t>s</w:t>
      </w:r>
      <w:r w:rsidRPr="009D719B">
        <w:t>stämmer.</w:t>
      </w:r>
    </w:p>
    <w:p w:rsidR="001F14AF" w:rsidRPr="009D719B" w:rsidRDefault="001F14AF">
      <w:pPr>
        <w:pStyle w:val="Normaltindrag"/>
      </w:pPr>
      <w:r w:rsidRPr="009D719B">
        <w:t>Från och med år 2003 behöver förbanden inte längre samråda med Hö</w:t>
      </w:r>
      <w:r w:rsidRPr="009D719B">
        <w:t>g</w:t>
      </w:r>
      <w:r w:rsidRPr="009D719B">
        <w:t>kvarteret när ny lön ska sättas vid byte av befattning. Från Högkvarteret motiverar man detta med att ett sådant samråd inte överensstämmer med ett delegerat arbetsgivaransvar. Man anser att förbandscheferna nu är mogna att ta detta ansvar själva. Kravet att den avlämnande och den mottagande chefen ska vara överens om befattningsbytet anser Högkvarteret är en tillräcklig kvalitet</w:t>
      </w:r>
      <w:r w:rsidRPr="009D719B">
        <w:t>s</w:t>
      </w:r>
      <w:r w:rsidRPr="009D719B">
        <w:t xml:space="preserve">säkring.   </w:t>
      </w:r>
    </w:p>
    <w:p w:rsidR="001F14AF" w:rsidRPr="009D719B" w:rsidRDefault="001F14AF">
      <w:pPr>
        <w:pStyle w:val="Rubrik3-Utannumrering"/>
      </w:pPr>
      <w:bookmarkStart w:id="175" w:name="_Toc38080852"/>
      <w:r w:rsidRPr="009D719B">
        <w:t>Hur ändras lönerna?</w:t>
      </w:r>
      <w:bookmarkEnd w:id="175"/>
      <w:r w:rsidRPr="009D719B">
        <w:t xml:space="preserve"> </w:t>
      </w:r>
    </w:p>
    <w:p w:rsidR="001F14AF" w:rsidRPr="009D719B" w:rsidRDefault="001F14AF">
      <w:r w:rsidRPr="009D719B">
        <w:t>De faktorer som ska ligga till grund för individens lön preciseras i Försvar</w:t>
      </w:r>
      <w:r w:rsidRPr="009D719B">
        <w:t>s</w:t>
      </w:r>
      <w:r w:rsidRPr="009D719B">
        <w:t>maktens lönepolicy. Befattningens svårighet kan, i och med införandet av Försvarsmaktens befattningsvärderingssystem, värderas inom de olika org</w:t>
      </w:r>
      <w:r w:rsidRPr="009D719B">
        <w:t>a</w:t>
      </w:r>
      <w:r w:rsidRPr="009D719B">
        <w:t>nisationsenheterna. Individens prestation värderas genom den lönesättande chefens bedömning av den anställde. Försvarsmakten håller också på att införa ett formalis</w:t>
      </w:r>
      <w:r w:rsidRPr="009D719B">
        <w:t>e</w:t>
      </w:r>
      <w:r w:rsidRPr="009D719B">
        <w:t xml:space="preserve">rat system för värdering av individuella prestationer.  </w:t>
      </w:r>
    </w:p>
    <w:p w:rsidR="001F14AF" w:rsidRPr="009D719B" w:rsidRDefault="001F14AF">
      <w:pPr>
        <w:pStyle w:val="Normaltindrag"/>
      </w:pPr>
      <w:r w:rsidRPr="009D719B">
        <w:t>Marknadens påverkan på lönebildningen inom Försvarsmakten är svårare att bedöma. Det finns inga studier gjorda som visar hur officerare i allmän</w:t>
      </w:r>
      <w:r w:rsidRPr="009D719B">
        <w:t>het värderas på arbetsmarknaden. Åsikterna inom Försvarsmakten går dessutom isär vad gäller det allmänna marknadstrycket. Som indikation kan man se till de spontana avgångar, främst av yngre officerare, som under senare år öve</w:t>
      </w:r>
      <w:r w:rsidRPr="009D719B">
        <w:t>r</w:t>
      </w:r>
      <w:r w:rsidRPr="009D719B">
        <w:t>stigit Försvarsmaktens egna beräkningar. Dessa avgångar kan dock också ses som ett resultat av Försvarsmaktens pågående omstrukturering. Marknadsp</w:t>
      </w:r>
      <w:r w:rsidRPr="009D719B">
        <w:t>å</w:t>
      </w:r>
      <w:r w:rsidRPr="009D719B">
        <w:t>verkan varierar också för olika yrkesgrupper inom Försvarsmakten samt över tid.</w:t>
      </w:r>
    </w:p>
    <w:p w:rsidR="001F14AF" w:rsidRPr="009D719B" w:rsidRDefault="001F14AF">
      <w:pPr>
        <w:pStyle w:val="Rubrik2"/>
      </w:pPr>
      <w:bookmarkStart w:id="176" w:name="_Toc32301668"/>
      <w:bookmarkStart w:id="177" w:name="_Toc38080853"/>
      <w:bookmarkStart w:id="178" w:name="_Toc38103370"/>
      <w:bookmarkEnd w:id="173"/>
      <w:r w:rsidRPr="009D719B">
        <w:t>Förbandens återrapportering</w:t>
      </w:r>
      <w:bookmarkEnd w:id="176"/>
      <w:bookmarkEnd w:id="177"/>
      <w:bookmarkEnd w:id="178"/>
    </w:p>
    <w:p w:rsidR="001F14AF" w:rsidRPr="009D719B" w:rsidRDefault="001F14AF">
      <w:r w:rsidRPr="009D719B">
        <w:t>Förbanden styrs från Högkvarteret genom de olika verksamhetsuppdragen som diskuterades i kapitel 2. Dessa verksamhetsuppdrag ska återredovisas till Högkvarteret och bildar sedan grund för Försvarsmaktens års- och delår</w:t>
      </w:r>
      <w:r w:rsidRPr="009D719B">
        <w:t>s</w:t>
      </w:r>
      <w:r w:rsidRPr="009D719B">
        <w:t>redovisningar till regeringen. Den ekonomiska situationen för förbanden rapporteras månadsvis, medan resultatredovisningen av verksamhetsuppdr</w:t>
      </w:r>
      <w:r w:rsidRPr="009D719B">
        <w:t>a</w:t>
      </w:r>
      <w:r w:rsidRPr="009D719B">
        <w:t xml:space="preserve">gen görs inför kvartals-, delårs- och årsredovisningarna. </w:t>
      </w:r>
    </w:p>
    <w:p w:rsidR="001F14AF" w:rsidRPr="009D719B" w:rsidRDefault="001F14AF">
      <w:pPr>
        <w:pStyle w:val="Normaltindrag"/>
      </w:pPr>
      <w:r w:rsidRPr="009D719B">
        <w:t>Förbandet har frihet att prioritera samt föra över medel mellan olika up</w:t>
      </w:r>
      <w:r w:rsidRPr="009D719B">
        <w:t>p</w:t>
      </w:r>
      <w:r w:rsidRPr="009D719B">
        <w:t>drag, så länge inte målen för uppdragen förändras. Överföringar av medel mellan olika uppdrag ska också anmälas till Högkvarterets grundorganis</w:t>
      </w:r>
      <w:r w:rsidRPr="009D719B">
        <w:t>a</w:t>
      </w:r>
      <w:r w:rsidRPr="009D719B">
        <w:t>tionsledning (GRO). Vid grundorganisationsledningen menar man att det inte finns resurser för att kontrollera alla dessa anmälningar från förbanden. Verksamhetsuppdragen definierar en ekonomisk ram för förbanden, och det är denna ram som grundorganisationsledningen framför allt kontrollerar vid återrapporteringen.</w:t>
      </w:r>
    </w:p>
    <w:p w:rsidR="001F14AF" w:rsidRPr="009D719B" w:rsidRDefault="001F14AF">
      <w:pPr>
        <w:pStyle w:val="Normaltindrag"/>
      </w:pPr>
      <w:r w:rsidRPr="009D719B">
        <w:t xml:space="preserve"> I samband med återrapporteringen ska förbanden ock</w:t>
      </w:r>
      <w:r w:rsidRPr="009D719B">
        <w:t>så redovisa förän</w:t>
      </w:r>
      <w:r w:rsidRPr="009D719B">
        <w:t>d</w:t>
      </w:r>
      <w:r w:rsidRPr="009D719B">
        <w:t>ringen i förbandets totala lönesumma. I verksamhetsuppdragen finns för 2002 reglerat att den totala lönesumman vid förbandet inte får öka med mer än 0,8 % utöver lönerevisionen under året. Vid kontakten med förbanden har det under granskningen framkommit att gränsen på 0,8 % ibland mer ses som en rekommendation. Löneökningar vid befattningsbyten har fram t.o.m. år 2002 endast fått genomföras efter samråd med Högkvarteret. Genom dessa löneökningar, som alltså gjorts med Högkvarterets godkän</w:t>
      </w:r>
      <w:r w:rsidRPr="009D719B">
        <w:t>nande, har förba</w:t>
      </w:r>
      <w:r w:rsidRPr="009D719B">
        <w:t>n</w:t>
      </w:r>
      <w:r w:rsidRPr="009D719B">
        <w:t>den ibland fått en större ökning utöver RALS än 0,8 % av den totala lön</w:t>
      </w:r>
      <w:r w:rsidRPr="009D719B">
        <w:t>e</w:t>
      </w:r>
      <w:r w:rsidRPr="009D719B">
        <w:t xml:space="preserve">summan. </w:t>
      </w:r>
    </w:p>
    <w:p w:rsidR="001F14AF" w:rsidRPr="009D719B" w:rsidRDefault="001F14AF">
      <w:pPr>
        <w:pStyle w:val="Rubrik2"/>
      </w:pPr>
      <w:bookmarkStart w:id="179" w:name="_Toc32301669"/>
      <w:bookmarkStart w:id="180" w:name="_Toc38080854"/>
      <w:bookmarkStart w:id="181" w:name="_Toc38103371"/>
      <w:r w:rsidRPr="009D719B">
        <w:t>Personalstabens uppföljning</w:t>
      </w:r>
      <w:bookmarkEnd w:id="179"/>
      <w:bookmarkEnd w:id="180"/>
      <w:bookmarkEnd w:id="181"/>
    </w:p>
    <w:p w:rsidR="001F14AF" w:rsidRPr="009D719B" w:rsidRDefault="001F14AF">
      <w:r w:rsidRPr="009D719B">
        <w:t>Förutom återrapporteringen från förbanden genomför också personalstaben viss uppföljning av lönebildningen inom Försvarsmakten. Uppföljningen hanteras inom personalstabens villkor</w:t>
      </w:r>
      <w:r w:rsidRPr="009D719B">
        <w:t>s</w:t>
      </w:r>
      <w:r w:rsidRPr="009D719B">
        <w:t>sektion.</w:t>
      </w:r>
    </w:p>
    <w:p w:rsidR="001F14AF" w:rsidRPr="009D719B" w:rsidRDefault="001F14AF">
      <w:pPr>
        <w:pStyle w:val="Normaltindrag"/>
      </w:pPr>
      <w:r w:rsidRPr="009D719B">
        <w:t>Personalstaben kan genomföra kvalitativa uppföljningar av lönebildningen och andra arbetsgivarpolitiska frågor vid förbanden. Den regelbundna kval</w:t>
      </w:r>
      <w:r w:rsidRPr="009D719B">
        <w:t>i</w:t>
      </w:r>
      <w:r w:rsidRPr="009D719B">
        <w:t>tativa uppföljningen består av enkätundersökningar i samband med förhan</w:t>
      </w:r>
      <w:r w:rsidRPr="009D719B">
        <w:t>d</w:t>
      </w:r>
      <w:r w:rsidRPr="009D719B">
        <w:t>lingar om löneavtal. Utöver detta genomför personalstaben vid behov kval</w:t>
      </w:r>
      <w:r w:rsidRPr="009D719B">
        <w:t>i</w:t>
      </w:r>
      <w:r w:rsidRPr="009D719B">
        <w:t>tativa uppföljningar genom intervjuer och seminarier med förband</w:t>
      </w:r>
      <w:r w:rsidRPr="009D719B">
        <w:t>s</w:t>
      </w:r>
      <w:r w:rsidRPr="009D719B">
        <w:t>chefer.</w:t>
      </w:r>
    </w:p>
    <w:p w:rsidR="001F14AF" w:rsidRPr="009D719B" w:rsidRDefault="001F14AF">
      <w:pPr>
        <w:pStyle w:val="Rubrik3-Utannumrering"/>
      </w:pPr>
      <w:bookmarkStart w:id="182" w:name="_Toc38080855"/>
      <w:r w:rsidRPr="009D719B">
        <w:t>Lönestatistik</w:t>
      </w:r>
      <w:bookmarkEnd w:id="182"/>
    </w:p>
    <w:p w:rsidR="001F14AF" w:rsidRPr="009D719B" w:rsidRDefault="001F14AF">
      <w:r w:rsidRPr="009D719B">
        <w:t>Personalstabens kvantitativa uppföljning fungerar främst som förberedelse inför centrala löneförhandlingar. Personalstaben uppger att man inte har möjlighet att följa lönebildningen vid samtliga förband, dels på grund av de personalresurser som finns tillgängliga på personalstaben, dels på grund av brister i Försvarsmaktens personaladministrativa datasystem. Försvarsma</w:t>
      </w:r>
      <w:r w:rsidRPr="009D719B">
        <w:t>k</w:t>
      </w:r>
      <w:r w:rsidRPr="009D719B">
        <w:t>tens centrala stödsystem (CSS) bygger på inrapporteringar från de olika förbanden. Det görs således ingen regelbunden kontroll av löneläget på fö</w:t>
      </w:r>
      <w:r w:rsidRPr="009D719B">
        <w:t>r</w:t>
      </w:r>
      <w:r w:rsidRPr="009D719B">
        <w:t>bandsnivå, med undantag för den återrapportering av de totala lönekostn</w:t>
      </w:r>
      <w:r w:rsidRPr="009D719B">
        <w:t>a</w:t>
      </w:r>
      <w:r w:rsidRPr="009D719B">
        <w:t>derna som görs av förbandscheferna till grundorganisationsle</w:t>
      </w:r>
      <w:r w:rsidRPr="009D719B">
        <w:t>d</w:t>
      </w:r>
      <w:r w:rsidRPr="009D719B">
        <w:t>ningen.</w:t>
      </w:r>
    </w:p>
    <w:p w:rsidR="001F14AF" w:rsidRPr="009D719B" w:rsidRDefault="001F14AF">
      <w:pPr>
        <w:pStyle w:val="Normaltindrag"/>
      </w:pPr>
      <w:r w:rsidRPr="009D719B">
        <w:t>När personalstaben finner det nödvändigt genomförs särskilda undersö</w:t>
      </w:r>
      <w:r w:rsidRPr="009D719B">
        <w:t>k</w:t>
      </w:r>
      <w:r w:rsidRPr="009D719B">
        <w:t>ningar av löneläget inom Försvarsmakten. När t.ex. löneökningstakten på koncernnivå år 2000 visade sig bli högre än beräknat genomfördes en enkä</w:t>
      </w:r>
      <w:r w:rsidRPr="009D719B">
        <w:t>t</w:t>
      </w:r>
      <w:r w:rsidRPr="009D719B">
        <w:t>undersökning för att klarlägga lön</w:t>
      </w:r>
      <w:r w:rsidRPr="009D719B">
        <w:t>e</w:t>
      </w:r>
      <w:r w:rsidRPr="009D719B">
        <w:t xml:space="preserve">ökningarna vid de olika förbanden. </w:t>
      </w:r>
    </w:p>
    <w:p w:rsidR="001F14AF" w:rsidRPr="009D719B" w:rsidRDefault="001F14AF">
      <w:pPr>
        <w:pStyle w:val="Normaltindrag"/>
      </w:pPr>
      <w:r w:rsidRPr="009D719B">
        <w:t>Försvarsmakten rapporterar årligen (i september) lönestatistik till Arbet</w:t>
      </w:r>
      <w:r w:rsidRPr="009D719B">
        <w:t>s</w:t>
      </w:r>
      <w:r w:rsidRPr="009D719B">
        <w:t>givarverket. De löneuppgifter för myndigheten som helhet som rapporteras in hämtas från Försvarsmaktens centrala lönesystem. Inrapporteringen till Arbetsgivarverket sköts av villkorssektionen vid personalstaben. Försvar</w:t>
      </w:r>
      <w:r w:rsidRPr="009D719B">
        <w:t>s</w:t>
      </w:r>
      <w:r w:rsidRPr="009D719B">
        <w:t>makten rapporterar endast in den obearbetade datamängden till Arbetsgiva</w:t>
      </w:r>
      <w:r w:rsidRPr="009D719B">
        <w:t>r</w:t>
      </w:r>
      <w:r w:rsidRPr="009D719B">
        <w:t>verket, som sedan sammanställer statistiken. Arbetsgivarverket följer sedan upp lönebildningen vid myndigheten genom en enkätundersökning. Myndi</w:t>
      </w:r>
      <w:r w:rsidRPr="009D719B">
        <w:t>g</w:t>
      </w:r>
      <w:r w:rsidRPr="009D719B">
        <w:t>heten ska i denna undersökning kommentera sina löneökningar till Arbetsg</w:t>
      </w:r>
      <w:r w:rsidRPr="009D719B">
        <w:t>i</w:t>
      </w:r>
      <w:r w:rsidRPr="009D719B">
        <w:t xml:space="preserve">varverket. </w:t>
      </w:r>
    </w:p>
    <w:p w:rsidR="001F14AF" w:rsidRPr="009D719B" w:rsidRDefault="001F14AF">
      <w:pPr>
        <w:rPr>
          <w:b/>
        </w:rPr>
      </w:pPr>
      <w:r w:rsidRPr="009D719B">
        <w:rPr>
          <w:b/>
        </w:rPr>
        <w:t>Lönekartläggning</w:t>
      </w:r>
    </w:p>
    <w:p w:rsidR="001F14AF" w:rsidRPr="009D719B" w:rsidRDefault="001F14AF">
      <w:r w:rsidRPr="009D719B">
        <w:t>Jämställdhetslagen (1991:433) skärptes från den 1 januari 2001. Enligt lagen ska arbetsgivaren bl.a. varje år kartlägga och analysera löneskillnader mellan kvinnor och män som utför ett arbete som är att betrakta som lika eller li</w:t>
      </w:r>
      <w:r w:rsidRPr="009D719B">
        <w:t>k</w:t>
      </w:r>
      <w:r w:rsidRPr="009D719B">
        <w:t>värdigt. Arbetsgivaren ska dessutom varje år upprätta en handlingsplan för hur lönerna kan göras mer jämställda. I denna handlingsplan ska resultatet av lönekartläg</w:t>
      </w:r>
      <w:r w:rsidRPr="009D719B">
        <w:t>g</w:t>
      </w:r>
      <w:r w:rsidRPr="009D719B">
        <w:t xml:space="preserve">ningen och analysen redovisas. </w:t>
      </w:r>
    </w:p>
    <w:p w:rsidR="001F14AF" w:rsidRPr="009D719B" w:rsidRDefault="001F14AF">
      <w:pPr>
        <w:pStyle w:val="Normaltindrag"/>
      </w:pPr>
      <w:r w:rsidRPr="009D719B">
        <w:t>Försvarsmakten kan två år efter lagens skärpning inte presentera en sådan lönekartläggning och lever således inte upp till jämställdhetslagens krav. Varje förband ska göra en lönekartläggning och analysera skillnader i lön mellan män och kvinnor. Högkvarteret ska sedan samla ihop detta och anal</w:t>
      </w:r>
      <w:r w:rsidRPr="009D719B">
        <w:t>y</w:t>
      </w:r>
      <w:r w:rsidRPr="009D719B">
        <w:t>sera skillnaderna centralt. Endast ett fåtal förband har dock genomfört någon lönekartläggning. I dialog med Jämställdhetsombudsmannen har rutiner för att kartlägga löneskillnader mellan män och kvinnor börjat byggas upp inom Högkvart</w:t>
      </w:r>
      <w:r w:rsidRPr="009D719B">
        <w:t>e</w:t>
      </w:r>
      <w:r w:rsidRPr="009D719B">
        <w:t>ret.</w:t>
      </w:r>
    </w:p>
    <w:p w:rsidR="001F14AF" w:rsidRPr="009D719B" w:rsidRDefault="001F14AF"/>
    <w:p w:rsidR="001F14AF" w:rsidRPr="009D719B" w:rsidRDefault="001F14AF">
      <w:pPr>
        <w:pStyle w:val="Normaltindrag"/>
      </w:pPr>
    </w:p>
    <w:p w:rsidR="001F14AF" w:rsidRPr="009D719B" w:rsidRDefault="001F14AF">
      <w:pPr>
        <w:pStyle w:val="Rubrik1"/>
      </w:pPr>
      <w:r w:rsidRPr="009D719B">
        <w:br w:type="page"/>
      </w:r>
      <w:bookmarkStart w:id="183" w:name="_Toc32301670"/>
      <w:bookmarkStart w:id="184" w:name="_Toc38080856"/>
      <w:bookmarkStart w:id="185" w:name="_Toc38103372"/>
      <w:r w:rsidRPr="009D719B">
        <w:t>Regeringens styrning och uppföljning</w:t>
      </w:r>
      <w:bookmarkEnd w:id="183"/>
      <w:bookmarkEnd w:id="184"/>
      <w:bookmarkEnd w:id="185"/>
    </w:p>
    <w:p w:rsidR="001F14AF" w:rsidRPr="009D719B" w:rsidRDefault="001F14AF">
      <w:r w:rsidRPr="009D719B">
        <w:t>I detta kapitel behandlas regeringens styrning och uppföljning av arbetsg</w:t>
      </w:r>
      <w:r w:rsidRPr="009D719B">
        <w:t>i</w:t>
      </w:r>
      <w:r w:rsidRPr="009D719B">
        <w:t>varpolitiken inom Försvarsmakten. Sedan arbetsgivaransvaret delegerades under 1990-talet har regeringen, vad gäller arbetsgivarpolitiken vid myndi</w:t>
      </w:r>
      <w:r w:rsidRPr="009D719B">
        <w:t>g</w:t>
      </w:r>
      <w:r w:rsidRPr="009D719B">
        <w:t>heterna, framför allt haft en uppföljande roll. Tidigare granskningar har bl.a. visat att oviljan att blanda sig i kollektivavtalsfrågor har lett till att regerin</w:t>
      </w:r>
      <w:r w:rsidRPr="009D719B">
        <w:t>g</w:t>
      </w:r>
      <w:r w:rsidRPr="009D719B">
        <w:t>ens styrning i arbetsgivarfrågor varit passiv. Detta diskuterades i kapitel 3. Regeringen har bl.a. funnit stöd för denna inställning i utvärderingar av det delegerade arbetsgivara</w:t>
      </w:r>
      <w:r w:rsidRPr="009D719B">
        <w:t>n</w:t>
      </w:r>
      <w:r w:rsidRPr="009D719B">
        <w:t>svaret.</w:t>
      </w:r>
    </w:p>
    <w:p w:rsidR="001F14AF" w:rsidRPr="009D719B" w:rsidRDefault="001F14AF">
      <w:pPr>
        <w:pStyle w:val="Rubrik2"/>
      </w:pPr>
      <w:bookmarkStart w:id="186" w:name="_Toc32301671"/>
      <w:bookmarkStart w:id="187" w:name="_Toc38080857"/>
      <w:bookmarkStart w:id="188" w:name="_Toc38103373"/>
      <w:r w:rsidRPr="009D719B">
        <w:t xml:space="preserve">Regeringens </w:t>
      </w:r>
      <w:r w:rsidRPr="009D719B">
        <w:t>uppföljande roll</w:t>
      </w:r>
      <w:bookmarkEnd w:id="186"/>
      <w:bookmarkEnd w:id="187"/>
      <w:bookmarkEnd w:id="188"/>
    </w:p>
    <w:p w:rsidR="001F14AF" w:rsidRPr="009D719B" w:rsidRDefault="001F14AF">
      <w:r w:rsidRPr="009D719B">
        <w:t>I en utvärdering från 1997 (SOU 1997:48) menade utredaren att regeringens uppgift var att ställa krav på myndigheternas arbetsgivarpolitik. Kraven skulle inte avse enskildheter i myndigheternas arbetsgivarpolitik. Framför allt skulle regeringen undvika att ge sig in i rena kollektivavtalsfrågor. R</w:t>
      </w:r>
      <w:r w:rsidRPr="009D719B">
        <w:t>e</w:t>
      </w:r>
      <w:r w:rsidRPr="009D719B">
        <w:t>geringens krav borde vara att myndigheterna ska bedriva arbetsgivarpolitiken så att rätt komp</w:t>
      </w:r>
      <w:r w:rsidRPr="009D719B">
        <w:t>e</w:t>
      </w:r>
      <w:r w:rsidRPr="009D719B">
        <w:t xml:space="preserve">tens finns för att åstadkomma rätt resultat. </w:t>
      </w:r>
    </w:p>
    <w:p w:rsidR="001F14AF" w:rsidRPr="009D719B" w:rsidRDefault="001F14AF">
      <w:pPr>
        <w:pStyle w:val="Normaltindrag"/>
      </w:pPr>
      <w:r w:rsidRPr="009D719B">
        <w:t>Även vad gäller uppföljningen skulle regeringen inta en passiv hållning. Utredaren menade att regeringen endast skulle ställa detaljerade krav på redovisning om det fanns skäl för det. I annat fall kunde kraven på redovi</w:t>
      </w:r>
      <w:r w:rsidRPr="009D719B">
        <w:t>s</w:t>
      </w:r>
      <w:r w:rsidRPr="009D719B">
        <w:t>ning vara mycket översik</w:t>
      </w:r>
      <w:r w:rsidRPr="009D719B">
        <w:t>t</w:t>
      </w:r>
      <w:r w:rsidRPr="009D719B">
        <w:t xml:space="preserve">liga. </w:t>
      </w:r>
    </w:p>
    <w:p w:rsidR="001F14AF" w:rsidRPr="009D719B" w:rsidRDefault="001F14AF">
      <w:pPr>
        <w:pStyle w:val="Normaltindrag"/>
      </w:pPr>
      <w:r w:rsidRPr="009D719B">
        <w:t>Regeringens allmänna uppföljning av myndigheternas arbetsgivarpolitik har dock fått kritik. Riksdagens revisorer framhöll i granskningen av my</w:t>
      </w:r>
      <w:r w:rsidRPr="009D719B">
        <w:t>n</w:t>
      </w:r>
      <w:r w:rsidRPr="009D719B">
        <w:t>digheternas lönekostnader (1998/99:RR10) att myndigheternas och regerin</w:t>
      </w:r>
      <w:r w:rsidRPr="009D719B">
        <w:t>g</w:t>
      </w:r>
      <w:r w:rsidRPr="009D719B">
        <w:t>ens uppföljning av lönebildningen inom staten inte motsvarade riksdagens krav. Som en följd av revisorernas förslag särredovisar myndigheterna num</w:t>
      </w:r>
      <w:r w:rsidRPr="009D719B">
        <w:t>e</w:t>
      </w:r>
      <w:r w:rsidRPr="009D719B">
        <w:t>ra lönekos</w:t>
      </w:r>
      <w:r w:rsidRPr="009D719B">
        <w:t>t</w:t>
      </w:r>
      <w:r w:rsidRPr="009D719B">
        <w:t>naderna i sina årsredovisningar.</w:t>
      </w:r>
    </w:p>
    <w:p w:rsidR="001F14AF" w:rsidRPr="009D719B" w:rsidRDefault="001F14AF">
      <w:pPr>
        <w:pStyle w:val="Normaltindrag"/>
        <w:rPr>
          <w:b/>
        </w:rPr>
      </w:pPr>
      <w:r w:rsidRPr="009D719B">
        <w:t>I granskningen av statens personalpolitik (2002/03:RR2) ansåg Riksdagens revisorer att den personalpolitiska uppföljningen från regeringen borde vi</w:t>
      </w:r>
      <w:r w:rsidRPr="009D719B">
        <w:t>d</w:t>
      </w:r>
      <w:r w:rsidRPr="009D719B">
        <w:t xml:space="preserve">gas och fördjupas. Liknande synpunkter förs fram i utredningsbetänkandet </w:t>
      </w:r>
      <w:r w:rsidRPr="009D719B">
        <w:rPr>
          <w:i/>
        </w:rPr>
        <w:t>Den arbetsgivarpolitiska delegeringen i staten</w:t>
      </w:r>
      <w:r w:rsidRPr="009D719B">
        <w:t xml:space="preserve"> (SOU 2002:32) som överlä</w:t>
      </w:r>
      <w:r w:rsidRPr="009D719B">
        <w:t>m</w:t>
      </w:r>
      <w:r w:rsidRPr="009D719B">
        <w:t>nades till regeringen i mars 2002. Utredaren menar att den årliga inrapport</w:t>
      </w:r>
      <w:r w:rsidRPr="009D719B">
        <w:t>e</w:t>
      </w:r>
      <w:r w:rsidRPr="009D719B">
        <w:t>ring av nyckeltal till regeringen som förekommer i dag inte är tillräcklig som uppföljning. Regeringen bör enligt utredaren med jämna mellanrum göra en fördjupad utvärdering av olika myndigheters arbetsgivarpolitik. Dessa utvä</w:t>
      </w:r>
      <w:r w:rsidRPr="009D719B">
        <w:t>r</w:t>
      </w:r>
      <w:r w:rsidRPr="009D719B">
        <w:t>deringar bör inte utföras av Regeringskansliet utan göras av en</w:t>
      </w:r>
      <w:r w:rsidRPr="009D719B">
        <w:t xml:space="preserve"> fristående stabsmyndighet. Regeringen har ännu inte tagit ställning till utredningens förslag.</w:t>
      </w:r>
    </w:p>
    <w:p w:rsidR="001F14AF" w:rsidRPr="009D719B" w:rsidRDefault="001F14AF">
      <w:pPr>
        <w:pStyle w:val="Rubrik2"/>
      </w:pPr>
      <w:bookmarkStart w:id="189" w:name="_Toc32301672"/>
      <w:bookmarkStart w:id="190" w:name="_Toc38080858"/>
      <w:bookmarkStart w:id="191" w:name="_Toc38103374"/>
      <w:r w:rsidRPr="009D719B">
        <w:t>Departementets resurser</w:t>
      </w:r>
      <w:bookmarkEnd w:id="189"/>
      <w:bookmarkEnd w:id="190"/>
      <w:bookmarkEnd w:id="191"/>
    </w:p>
    <w:p w:rsidR="001F14AF" w:rsidRPr="009D719B" w:rsidRDefault="001F14AF">
      <w:r w:rsidRPr="009D719B">
        <w:t>I samband med att den samlade myndigheten Försvarsmakten bildades fanns farhågor för att den nya myndigheten skulle bli alltför stark och få en för stor makt i förhållande till regeringen. Den s.k. LEMO-utredningen poängterade vikten av att Försvarsdepartementet fick den kompetens och kapacitet som behövdes för att kunna styra och kontrollera verksamheten inom försvaret.</w:t>
      </w:r>
      <w:r w:rsidRPr="009D719B">
        <w:rPr>
          <w:rStyle w:val="Fotnotsreferens"/>
        </w:rPr>
        <w:footnoteReference w:id="31"/>
      </w:r>
    </w:p>
    <w:p w:rsidR="001F14AF" w:rsidRPr="009D719B" w:rsidRDefault="001F14AF">
      <w:pPr>
        <w:pStyle w:val="Normaltindrag"/>
      </w:pPr>
      <w:r w:rsidRPr="009D719B">
        <w:t>Vid Försvarsdepartementet finns tre och en halv tjänstebefattningar för att hantera de olika personalfrågorna inom Försvarsmakten och det civila fö</w:t>
      </w:r>
      <w:r w:rsidRPr="009D719B">
        <w:t>r</w:t>
      </w:r>
      <w:r w:rsidRPr="009D719B">
        <w:t>svaret. Från Försvarsdepartementet menar man också att handläggarna på departementet egentligen inte har rätt kompetens för att hantera personalfr</w:t>
      </w:r>
      <w:r w:rsidRPr="009D719B">
        <w:t>å</w:t>
      </w:r>
      <w:r w:rsidRPr="009D719B">
        <w:t>gorna. Av bl.a. den anledningen har Försvarsdepartementet i stor utsträc</w:t>
      </w:r>
      <w:r w:rsidRPr="009D719B">
        <w:t>k</w:t>
      </w:r>
      <w:r w:rsidRPr="009D719B">
        <w:t>ning varit beroende av samarbete med Arbetsgivarverket för styrning och uppföljning av Fö</w:t>
      </w:r>
      <w:r w:rsidRPr="009D719B">
        <w:t>r</w:t>
      </w:r>
      <w:r w:rsidRPr="009D719B">
        <w:t>svarsmaktens arbetsgivarpolitik.</w:t>
      </w:r>
    </w:p>
    <w:p w:rsidR="001F14AF" w:rsidRPr="009D719B" w:rsidRDefault="001F14AF">
      <w:pPr>
        <w:pStyle w:val="Normaltindrag"/>
      </w:pPr>
      <w:r w:rsidRPr="009D719B">
        <w:t>En stor del av personalen vid Försvarsdepartementet utgörs av yrkesoffic</w:t>
      </w:r>
      <w:r w:rsidRPr="009D719B">
        <w:t>e</w:t>
      </w:r>
      <w:r w:rsidRPr="009D719B">
        <w:t>rare som tillfälligt tjänstgör som militärsakkunniga vid departementet. Inom departementets militära enhet utgör yrkesofficerarna drygt 20 % av handlä</w:t>
      </w:r>
      <w:r w:rsidRPr="009D719B">
        <w:t>g</w:t>
      </w:r>
      <w:r w:rsidRPr="009D719B">
        <w:t>garna (dvs. 5 yrkesofficerare av 24 handläggare). Både från Försvarsmakten och från departementet ser man detta som en möjlighet till goda kontakter mellan departementet och Högkvarteret. Försvarsdepartementet har också uttryckt att detta personalsamarbete ska utökas.</w:t>
      </w:r>
    </w:p>
    <w:p w:rsidR="001F14AF" w:rsidRPr="009D719B" w:rsidRDefault="001F14AF">
      <w:pPr>
        <w:pStyle w:val="Normaltindrag"/>
      </w:pPr>
      <w:r w:rsidRPr="009D719B">
        <w:t>De enda formella kontakterna i arbetsgivarfrågor mellan Försvarsmakten och departementet fö</w:t>
      </w:r>
      <w:r w:rsidRPr="009D719B">
        <w:t>rs i den arbetsgrupp som Arbetsgivarverket organiserar och tagit initiativ till. Denna grupp fungerar enligt de deltagande parterna som ett sätt för departementet och Försvarsmakten att informera varandra i arbetsgivarfrågor. I den formella myndighetsdialogen med Försvarsdepart</w:t>
      </w:r>
      <w:r w:rsidRPr="009D719B">
        <w:t>e</w:t>
      </w:r>
      <w:r w:rsidRPr="009D719B">
        <w:t>mentet spelar arbetsgivarfrågorna en mycket undanskymd roll. Någon direkt styrning av arbetsgivarpolitiken från departementets sida förekommer sål</w:t>
      </w:r>
      <w:r w:rsidRPr="009D719B">
        <w:t>e</w:t>
      </w:r>
      <w:r w:rsidRPr="009D719B">
        <w:t>des inte.</w:t>
      </w:r>
    </w:p>
    <w:p w:rsidR="001F14AF" w:rsidRPr="009D719B" w:rsidRDefault="001F14AF">
      <w:pPr>
        <w:pStyle w:val="Normaltindrag"/>
      </w:pPr>
      <w:r w:rsidRPr="009D719B">
        <w:t xml:space="preserve">Kontakterna mellan departementet och de olika fackförbunden fungerar enligt </w:t>
      </w:r>
      <w:r w:rsidRPr="009D719B">
        <w:t>alla inblandade parter mycket väl. Departementets kontakter med fackförbunden är informella och möten hålls separat utan att Försvarsmakten är inblandat.</w:t>
      </w:r>
    </w:p>
    <w:p w:rsidR="001F14AF" w:rsidRPr="009D719B" w:rsidRDefault="001F14AF">
      <w:pPr>
        <w:pStyle w:val="Rubrik2"/>
      </w:pPr>
      <w:bookmarkStart w:id="192" w:name="_Toc32301673"/>
      <w:bookmarkStart w:id="193" w:name="_Toc38080859"/>
      <w:bookmarkStart w:id="194" w:name="_Toc38103375"/>
      <w:r w:rsidRPr="009D719B">
        <w:t>Förmåga att ställa krav</w:t>
      </w:r>
      <w:bookmarkEnd w:id="192"/>
      <w:bookmarkEnd w:id="193"/>
      <w:bookmarkEnd w:id="194"/>
    </w:p>
    <w:p w:rsidR="001F14AF" w:rsidRPr="009D719B" w:rsidRDefault="001F14AF">
      <w:r w:rsidRPr="009D719B">
        <w:t>Regeringen ser sin roll i den statliga arbetsgivarpolitiken som främst uppfö</w:t>
      </w:r>
      <w:r w:rsidRPr="009D719B">
        <w:t>l</w:t>
      </w:r>
      <w:r w:rsidRPr="009D719B">
        <w:t>jande. Försvarsdepartementets vilja att styra Försvarsmaktens arbetsgivarp</w:t>
      </w:r>
      <w:r w:rsidRPr="009D719B">
        <w:t>o</w:t>
      </w:r>
      <w:r w:rsidRPr="009D719B">
        <w:t>litik är också mycket liten. Det är enligt departementet varken önskvärt eller praktiskt möjligt för departementet att ta ett större ansvar för arbetsgivarp</w:t>
      </w:r>
      <w:r w:rsidRPr="009D719B">
        <w:t>o</w:t>
      </w:r>
      <w:r w:rsidRPr="009D719B">
        <w:t xml:space="preserve">litiken vid myndigheten. </w:t>
      </w:r>
    </w:p>
    <w:p w:rsidR="001F14AF" w:rsidRPr="009D719B" w:rsidRDefault="001F14AF">
      <w:pPr>
        <w:pStyle w:val="Normaltindrag"/>
      </w:pPr>
      <w:r w:rsidRPr="009D719B">
        <w:t>Departementets uppföljning består i normalfallet av att ta emot uppgifter från Försvarsmakten i samband med års- och delårsredovisningar. I budge</w:t>
      </w:r>
      <w:r w:rsidRPr="009D719B">
        <w:t>t</w:t>
      </w:r>
      <w:r w:rsidRPr="009D719B">
        <w:t>propositionen för 2003 aviserade regeringen att man avsåg att genomföra en uppföljning av det senaste försvarsbeslutet.</w:t>
      </w:r>
      <w:r w:rsidRPr="009D719B">
        <w:rPr>
          <w:rStyle w:val="Fotnotsreferens"/>
        </w:rPr>
        <w:footnoteReference w:id="32"/>
      </w:r>
      <w:r w:rsidRPr="009D719B">
        <w:t xml:space="preserve"> Uppföljningen ska bedrivas som ett projekt inom Försvarsdepartementet och vara ett led i utformningen av kommande försvarsbeslut år 2004. I detta uppföljningsprojekt kommer arbet</w:t>
      </w:r>
      <w:r w:rsidRPr="009D719B">
        <w:t>s</w:t>
      </w:r>
      <w:r w:rsidRPr="009D719B">
        <w:t xml:space="preserve">givarfrågorna att ingå som en del. </w:t>
      </w:r>
    </w:p>
    <w:p w:rsidR="001F14AF" w:rsidRPr="009D719B" w:rsidRDefault="001F14AF">
      <w:pPr>
        <w:pStyle w:val="Rubrik3-Utannumrering"/>
      </w:pPr>
      <w:bookmarkStart w:id="195" w:name="_Toc38080860"/>
      <w:r w:rsidRPr="009D719B">
        <w:t>Departementets vilja att ställa krav</w:t>
      </w:r>
      <w:bookmarkEnd w:id="195"/>
    </w:p>
    <w:p w:rsidR="001F14AF" w:rsidRPr="009D719B" w:rsidRDefault="001F14AF">
      <w:r w:rsidRPr="009D719B">
        <w:t>För att belysa departementets vilja och förmåga att ställa krav på Försvar</w:t>
      </w:r>
      <w:r w:rsidRPr="009D719B">
        <w:t>s</w:t>
      </w:r>
      <w:r w:rsidRPr="009D719B">
        <w:t>makten kommer här departementets agerande i två viktiga arbetsgivarpoliti</w:t>
      </w:r>
      <w:r w:rsidRPr="009D719B">
        <w:t>s</w:t>
      </w:r>
      <w:r w:rsidRPr="009D719B">
        <w:t>ka frågor att diskuteras. Det gäller regeringens agerande i frågan om Fö</w:t>
      </w:r>
      <w:r w:rsidRPr="009D719B">
        <w:t>r</w:t>
      </w:r>
      <w:r w:rsidRPr="009D719B">
        <w:t>svarsmaktens agerande för att öka officerarnas tid på olika befattningar samt myndighetens ansträngningar att uppnå en mer rättvisande redovisning till regeringen i arbetsgivarfr</w:t>
      </w:r>
      <w:r w:rsidRPr="009D719B">
        <w:t>å</w:t>
      </w:r>
      <w:r w:rsidRPr="009D719B">
        <w:t>gor.</w:t>
      </w:r>
    </w:p>
    <w:p w:rsidR="001F14AF" w:rsidRPr="009D719B" w:rsidRDefault="001F14AF">
      <w:pPr>
        <w:pStyle w:val="Normaltindrag"/>
      </w:pPr>
      <w:r w:rsidRPr="009D719B">
        <w:t>Tidigare i denna granskning har det konstaterats att yrkesofficerare tend</w:t>
      </w:r>
      <w:r w:rsidRPr="009D719B">
        <w:t>e</w:t>
      </w:r>
      <w:r w:rsidRPr="009D719B">
        <w:t>rar att spendera mycket kort tid på olika befattningar. Den höga personalrö</w:t>
      </w:r>
      <w:r w:rsidRPr="009D719B">
        <w:t>r</w:t>
      </w:r>
      <w:r w:rsidRPr="009D719B">
        <w:t>ligheten fungerar både lönedrivande och som motverkande kraft till långsi</w:t>
      </w:r>
      <w:r w:rsidRPr="009D719B">
        <w:t>k</w:t>
      </w:r>
      <w:r w:rsidRPr="009D719B">
        <w:t xml:space="preserve">tigt planerande och agerande inom organisationen. </w:t>
      </w:r>
    </w:p>
    <w:p w:rsidR="001F14AF" w:rsidRPr="009D719B" w:rsidRDefault="001F14AF">
      <w:pPr>
        <w:pStyle w:val="Normaltindrag"/>
      </w:pPr>
      <w:r w:rsidRPr="009D719B">
        <w:t>Regeringen har vid ett flertal tillfällen påpekat att den tid som officerare spenderar i en befattning bör öka.</w:t>
      </w:r>
      <w:r w:rsidRPr="009D719B">
        <w:rPr>
          <w:rStyle w:val="Fotnotsreferens"/>
        </w:rPr>
        <w:footnoteReference w:id="33"/>
      </w:r>
      <w:r w:rsidRPr="009D719B">
        <w:t xml:space="preserve"> Även Personalförsörjningsutredningen (SOU 2001:23) kom till denna slutsats. Försvarsmakten har hela tiden hävdat att den korta tiden på olika befattningar, och den därtill hörande personalrö</w:t>
      </w:r>
      <w:r w:rsidRPr="009D719B">
        <w:t>r</w:t>
      </w:r>
      <w:r w:rsidRPr="009D719B">
        <w:t>ligheten, är nödvändig för utvecklingen av högre chefer inom myndigheten. Dessutom har Försvarsmakten hävdat att vissa skatteregler försvårar situ</w:t>
      </w:r>
      <w:r w:rsidRPr="009D719B">
        <w:t>a</w:t>
      </w:r>
      <w:r w:rsidRPr="009D719B">
        <w:t xml:space="preserve">tionen, eftersom officerare som t.ex. tjänstgör vid Högkvarteret är tvungna att veckopendla till arbetet och således får utlägg för bostäder på två orter. I propositionen </w:t>
      </w:r>
      <w:r w:rsidRPr="009D719B">
        <w:rPr>
          <w:i/>
        </w:rPr>
        <w:t>To</w:t>
      </w:r>
      <w:r w:rsidRPr="009D719B">
        <w:rPr>
          <w:i/>
        </w:rPr>
        <w:t>talförsvar i förnyelse – etapp 2</w:t>
      </w:r>
      <w:r w:rsidRPr="009D719B">
        <w:t xml:space="preserve"> (prop. 1996/97:4) menade regeringen att detta inte var tillräckliga skäl. Regeringen skrev:</w:t>
      </w:r>
    </w:p>
    <w:p w:rsidR="001F14AF" w:rsidRPr="009D719B" w:rsidRDefault="001F14AF">
      <w:pPr>
        <w:pStyle w:val="Citat"/>
        <w:ind w:left="426" w:right="509"/>
        <w:rPr>
          <w:sz w:val="20"/>
        </w:rPr>
      </w:pPr>
      <w:r w:rsidRPr="009D719B">
        <w:rPr>
          <w:sz w:val="20"/>
        </w:rPr>
        <w:t>Visserligen har regeringen förståelse för de svårigheter både av ekonomisk och praktisk natur som är förknippade med nödvändigheten från verksamhetssynpunkt att förlänga pl</w:t>
      </w:r>
      <w:r w:rsidRPr="009D719B">
        <w:rPr>
          <w:sz w:val="20"/>
        </w:rPr>
        <w:t>a</w:t>
      </w:r>
      <w:r w:rsidRPr="009D719B">
        <w:rPr>
          <w:sz w:val="20"/>
        </w:rPr>
        <w:t>ceringstiderna i olika befattningar för yrkesofficerare. Enligt regeringen är frågan emellertid av sådan vikt att Försvar</w:t>
      </w:r>
      <w:r w:rsidRPr="009D719B">
        <w:rPr>
          <w:sz w:val="20"/>
        </w:rPr>
        <w:t>s</w:t>
      </w:r>
      <w:r w:rsidRPr="009D719B">
        <w:rPr>
          <w:sz w:val="20"/>
        </w:rPr>
        <w:t>makten ändock bör kunna planera för längre placeringstider för y</w:t>
      </w:r>
      <w:r w:rsidRPr="009D719B">
        <w:rPr>
          <w:sz w:val="20"/>
        </w:rPr>
        <w:t>r</w:t>
      </w:r>
      <w:r w:rsidRPr="009D719B">
        <w:rPr>
          <w:sz w:val="20"/>
        </w:rPr>
        <w:t xml:space="preserve">kesofficerare. </w:t>
      </w:r>
    </w:p>
    <w:p w:rsidR="001F14AF" w:rsidRPr="009D719B" w:rsidRDefault="001F14AF">
      <w:r w:rsidRPr="009D719B">
        <w:t>När frågan fem år senare åter är uppe till diskussion har regeringen mildrat sitt uttalande och hävdar att förlängda befattningstider kan öka produktivit</w:t>
      </w:r>
      <w:r w:rsidRPr="009D719B">
        <w:t>e</w:t>
      </w:r>
      <w:r w:rsidRPr="009D719B">
        <w:t>ten väsentligt samt skapa bättre förutsättningar för styrning och uppföljning. Däremot ställs inga krav på hur Försvarsmakten bör agera. Tjänstetiden på en befattning har inte förändrats under denna tid och är fortfarande i geno</w:t>
      </w:r>
      <w:r w:rsidRPr="009D719B">
        <w:t>m</w:t>
      </w:r>
      <w:r w:rsidRPr="009D719B">
        <w:t>snitt tre år för en yrkesofficer.</w:t>
      </w:r>
    </w:p>
    <w:p w:rsidR="001F14AF" w:rsidRPr="009D719B" w:rsidRDefault="001F14AF">
      <w:pPr>
        <w:pStyle w:val="Normaltindrag"/>
      </w:pPr>
      <w:r w:rsidRPr="009D719B">
        <w:t>RRV konstaterar i sin granskning av Försvarsmaktens omstrukturering (RRV 2002:14) att myndigheten inte fullt ut klarar av att redovisa alla de återrapporteringskrav som myndigheten ålagts av regeringen. RRV:s grans</w:t>
      </w:r>
      <w:r w:rsidRPr="009D719B">
        <w:t>k</w:t>
      </w:r>
      <w:r w:rsidRPr="009D719B">
        <w:t>ning avsåg återrapporteringen av avvecklings- och omställningskostnader som tilldelats genom tilläggsdirektiv till regleringsbrevet.</w:t>
      </w:r>
    </w:p>
    <w:p w:rsidR="001F14AF" w:rsidRPr="009D719B" w:rsidRDefault="001F14AF">
      <w:pPr>
        <w:pStyle w:val="Normaltindrag"/>
      </w:pPr>
      <w:r w:rsidRPr="009D719B">
        <w:t>Under revisorernas granskning har det framkommit vissa problem vid fö</w:t>
      </w:r>
      <w:r w:rsidRPr="009D719B">
        <w:t>r</w:t>
      </w:r>
      <w:r w:rsidRPr="009D719B">
        <w:t xml:space="preserve">bandens redovisning till Högkvarteret – de uppgifter som sedan ligger till grund för myndighetens års- och delårsredovisningar. Högkvarteret uppger vissa problem med att få förbanden att redovisa relevanta uppgifter på ett konsekvent sätt. </w:t>
      </w:r>
    </w:p>
    <w:p w:rsidR="001F14AF" w:rsidRPr="009D719B" w:rsidRDefault="001F14AF">
      <w:pPr>
        <w:pStyle w:val="Normaltindrag"/>
      </w:pPr>
      <w:r w:rsidRPr="009D719B">
        <w:t>Från Försvarsdepartementet uttrycker man också en viss irritation över Försvarsmaktens redovisningar av personalvolymer och personalkostnader. Ekonomistyrningsverket har på regeringens uppdrag samarbetat med Fö</w:t>
      </w:r>
      <w:r w:rsidRPr="009D719B">
        <w:t>r</w:t>
      </w:r>
      <w:r w:rsidRPr="009D719B">
        <w:t xml:space="preserve">svarsmakten sedan år 2001 för att förbättra Försvarsmaktens ekonomiska uppföljning och redovisning. Försvarsdepartementet uppger dock att man vid upprepade tillfällen påtalat myndighetens inkonsekventa redovisning för Försvarsmakten utan resultat. </w:t>
      </w:r>
    </w:p>
    <w:p w:rsidR="001F14AF" w:rsidRPr="009D719B" w:rsidRDefault="001F14AF">
      <w:pPr>
        <w:pStyle w:val="Rubrik1"/>
      </w:pPr>
      <w:r w:rsidRPr="009D719B">
        <w:br w:type="page"/>
      </w:r>
      <w:bookmarkStart w:id="196" w:name="_Toc27531346"/>
      <w:bookmarkStart w:id="197" w:name="_Toc32301674"/>
      <w:bookmarkStart w:id="198" w:name="_Toc38080861"/>
      <w:bookmarkStart w:id="199" w:name="_Toc38103376"/>
      <w:r w:rsidRPr="009D719B">
        <w:t>Revisorernas överväganden och slutsatser</w:t>
      </w:r>
      <w:bookmarkEnd w:id="197"/>
      <w:bookmarkEnd w:id="198"/>
      <w:bookmarkEnd w:id="199"/>
      <w:r w:rsidRPr="009D719B">
        <w:t xml:space="preserve"> </w:t>
      </w:r>
      <w:bookmarkEnd w:id="196"/>
    </w:p>
    <w:p w:rsidR="001F14AF" w:rsidRPr="009D719B" w:rsidRDefault="001F14AF">
      <w:r w:rsidRPr="009D719B">
        <w:t>Granskningen har visat att Försvarsmakten bedriver en mycket kostsam arbetsgivarpolitik. Lönenivån inom Försvarsmakten är, jämfört med staten i övrigt, hög, i synnerhet med tanke på att de anställda har fått sin utbildning betald av staten och alltså börjar sitt arbetsliv utan studieskulder. Revisorerna kan också konstatera att personalkostnaderna inte minskat under en period då Försvarsmakten, mätt i antalet anställda, minskat med en fjärdedel. De ra</w:t>
      </w:r>
      <w:r w:rsidRPr="009D719B">
        <w:t>m</w:t>
      </w:r>
      <w:r w:rsidRPr="009D719B">
        <w:t>anslag som myndigheterna får innefattar en viss beräknad löneökning. Om den faktiska löneökningen blir högre än vad som beräknats i anslagstillde</w:t>
      </w:r>
      <w:r w:rsidRPr="009D719B">
        <w:t>l</w:t>
      </w:r>
      <w:r w:rsidRPr="009D719B">
        <w:t>ningen ska detta inte påverka anslagens storlek och således inte heller statsf</w:t>
      </w:r>
      <w:r w:rsidRPr="009D719B">
        <w:t>i</w:t>
      </w:r>
      <w:r w:rsidRPr="009D719B">
        <w:t>nanserna. I praktiken måste dock verksamheten upprätthållas, vilket innebär att regeringen i tilläggsbudgeten kan föreslå utökade anslag för myndigheten eller beslutar om omprioriteringar. Både under år 2000 och 2001 fördes omkring en miljard kronor över från Försvarsmaktens materielan</w:t>
      </w:r>
      <w:r w:rsidRPr="009D719B">
        <w:t>slag till förbandsa</w:t>
      </w:r>
      <w:r w:rsidRPr="009D719B">
        <w:t>n</w:t>
      </w:r>
      <w:r w:rsidRPr="009D719B">
        <w:t>slaget.</w:t>
      </w:r>
    </w:p>
    <w:p w:rsidR="001F14AF" w:rsidRPr="009D719B" w:rsidRDefault="001F14AF">
      <w:pPr>
        <w:pStyle w:val="Normaltindrag"/>
      </w:pPr>
      <w:r w:rsidRPr="009D719B">
        <w:t>Sammanfattningsvis har denna granskning visat att Försvarsmakten på vi</w:t>
      </w:r>
      <w:r w:rsidRPr="009D719B">
        <w:t>s</w:t>
      </w:r>
      <w:r w:rsidRPr="009D719B">
        <w:t>sa områden aktivt arbetat för att stärka sin roll som arbetsgivare och anpassa lönebildningen för att bättre gynna verksamheten. Samtidigt visar grans</w:t>
      </w:r>
      <w:r w:rsidRPr="009D719B">
        <w:t>k</w:t>
      </w:r>
      <w:r w:rsidRPr="009D719B">
        <w:t>ningen att agerandet från Försvarsmaktens ledning i vissa fall verkar i mo</w:t>
      </w:r>
      <w:r w:rsidRPr="009D719B">
        <w:t>t</w:t>
      </w:r>
      <w:r w:rsidRPr="009D719B">
        <w:t>satt riktning, dvs. att arbetsgivarrollen försvagas. En organisation med oty</w:t>
      </w:r>
      <w:r w:rsidRPr="009D719B">
        <w:t>d</w:t>
      </w:r>
      <w:r w:rsidRPr="009D719B">
        <w:t>lig ansvarsfördelning och brister i styrning och uppföljning motverkar my</w:t>
      </w:r>
      <w:r w:rsidRPr="009D719B">
        <w:t>n</w:t>
      </w:r>
      <w:r w:rsidRPr="009D719B">
        <w:t>dighetens möjligheter att verksamhetsanpassa lönebildningen. Arbetsgivarf</w:t>
      </w:r>
      <w:r w:rsidRPr="009D719B">
        <w:t>ö</w:t>
      </w:r>
      <w:r w:rsidRPr="009D719B">
        <w:t>reträdare på förbandsnivå klarar inte en individuell lönesät</w:t>
      </w:r>
      <w:r w:rsidRPr="009D719B">
        <w:t>tning, vilket inn</w:t>
      </w:r>
      <w:r w:rsidRPr="009D719B">
        <w:t>e</w:t>
      </w:r>
      <w:r w:rsidRPr="009D719B">
        <w:t>bär att lönebildningen inte kan användas som ett instrument för att styra personal och verksamhet. Mot denna bakgrund finns det anledning att ifråg</w:t>
      </w:r>
      <w:r w:rsidRPr="009D719B">
        <w:t>a</w:t>
      </w:r>
      <w:r w:rsidRPr="009D719B">
        <w:t>sätta om Försvarsmaktens löne- och personalkostnader är motiverade utifrån ver</w:t>
      </w:r>
      <w:r w:rsidRPr="009D719B">
        <w:t>k</w:t>
      </w:r>
      <w:r w:rsidRPr="009D719B">
        <w:t>samhetens krav.</w:t>
      </w:r>
    </w:p>
    <w:p w:rsidR="001F14AF" w:rsidRPr="009D719B" w:rsidRDefault="001F14AF">
      <w:pPr>
        <w:pStyle w:val="Normaltindrag"/>
      </w:pPr>
      <w:r w:rsidRPr="009D719B">
        <w:t>Granskningen visar också att regeringen brustit i sitt ansvar för arbetsg</w:t>
      </w:r>
      <w:r w:rsidRPr="009D719B">
        <w:t>i</w:t>
      </w:r>
      <w:r w:rsidRPr="009D719B">
        <w:t>varpolitiken inom Försvarsmakten. Även i det system med delegerat ansvar som tillämpas för arbetsgivarpolitiken i staten, har regeringen ett ansvar att ställa krav på myndigheternas arbetsgivarpolitik samt att följa upp densa</w:t>
      </w:r>
      <w:r w:rsidRPr="009D719B">
        <w:t>m</w:t>
      </w:r>
      <w:r w:rsidRPr="009D719B">
        <w:t xml:space="preserve">ma. Revisorerna menar att regeringen brustit i detta ansvar. </w:t>
      </w:r>
    </w:p>
    <w:p w:rsidR="001F14AF" w:rsidRPr="009D719B" w:rsidRDefault="001F14AF">
      <w:pPr>
        <w:pStyle w:val="Rubrik3-Utannumrering"/>
      </w:pPr>
      <w:bookmarkStart w:id="200" w:name="_Toc38080862"/>
      <w:r w:rsidRPr="009D719B">
        <w:t>Hur kan arbetsgivarrollen stärkas?</w:t>
      </w:r>
      <w:bookmarkEnd w:id="200"/>
    </w:p>
    <w:p w:rsidR="001F14AF" w:rsidRPr="009D719B" w:rsidRDefault="001F14AF">
      <w:r w:rsidRPr="009D719B">
        <w:t>Regering och riksdag har vid flera tillfällen uttalat att Försvarsmakten måste stärka sin arbetsgivarroll. I kapitel 3 konstaterades att en förstärkning av arbetsgivarrollen kan genomföras på tre olika nivåer:</w:t>
      </w:r>
    </w:p>
    <w:p w:rsidR="001F14AF" w:rsidRPr="009D719B" w:rsidRDefault="001F14AF">
      <w:pPr>
        <w:pStyle w:val="Normaltindrag"/>
        <w:numPr>
          <w:ilvl w:val="0"/>
          <w:numId w:val="46"/>
        </w:numPr>
      </w:pPr>
      <w:r w:rsidRPr="009D719B">
        <w:t>Arbetsgivarrollen kan stärkas genom att påverka och förändra de attit</w:t>
      </w:r>
      <w:r w:rsidRPr="009D719B">
        <w:t>y</w:t>
      </w:r>
      <w:r w:rsidRPr="009D719B">
        <w:t>der som chefer på olika nivåer har till arbetsgivarpol</w:t>
      </w:r>
      <w:r w:rsidRPr="009D719B">
        <w:t>i</w:t>
      </w:r>
      <w:r w:rsidRPr="009D719B">
        <w:t>tiken.</w:t>
      </w:r>
    </w:p>
    <w:p w:rsidR="001F14AF" w:rsidRPr="009D719B" w:rsidRDefault="001F14AF">
      <w:pPr>
        <w:pStyle w:val="Normaltindrag"/>
        <w:numPr>
          <w:ilvl w:val="0"/>
          <w:numId w:val="46"/>
        </w:numPr>
      </w:pPr>
      <w:r w:rsidRPr="009D719B">
        <w:t>Myndigheten kan stärka rollen på det organisatoriska planet, dvs. skapa organisatoriska förutsättningar för att utöva en starkare arbetsgivarroll.</w:t>
      </w:r>
    </w:p>
    <w:p w:rsidR="001F14AF" w:rsidRPr="009D719B" w:rsidRDefault="001F14AF">
      <w:pPr>
        <w:pStyle w:val="Normaltindrag"/>
        <w:numPr>
          <w:ilvl w:val="0"/>
          <w:numId w:val="46"/>
        </w:numPr>
      </w:pPr>
      <w:r w:rsidRPr="009D719B">
        <w:t>Myndighetens centrala ledning kan också ta ett större ansvar för sty</w:t>
      </w:r>
      <w:r w:rsidRPr="009D719B">
        <w:t>r</w:t>
      </w:r>
      <w:r w:rsidRPr="009D719B">
        <w:t>ning och/eller uppföljning av arbetsgivarpolitiken.</w:t>
      </w:r>
    </w:p>
    <w:p w:rsidR="001F14AF" w:rsidRPr="009D719B" w:rsidRDefault="001F14AF">
      <w:r w:rsidRPr="009D719B">
        <w:t>Frågan blir då hur Försvarsmaktens attityder, organisation, styrning och uppföljning förändrats och i vilken grad de påverkar myndighetens arbetsg</w:t>
      </w:r>
      <w:r w:rsidRPr="009D719B">
        <w:t>i</w:t>
      </w:r>
      <w:r w:rsidRPr="009D719B">
        <w:t>varroll.</w:t>
      </w:r>
    </w:p>
    <w:p w:rsidR="001F14AF" w:rsidRPr="009D719B" w:rsidRDefault="001F14AF">
      <w:pPr>
        <w:pStyle w:val="Rubrik2"/>
      </w:pPr>
      <w:bookmarkStart w:id="201" w:name="_Toc27531351"/>
      <w:bookmarkStart w:id="202" w:name="_Toc32301675"/>
      <w:bookmarkStart w:id="203" w:name="_Toc38080863"/>
      <w:bookmarkStart w:id="204" w:name="_Toc38103377"/>
      <w:r w:rsidRPr="009D719B">
        <w:t>Attityderna försvårar</w:t>
      </w:r>
      <w:bookmarkEnd w:id="201"/>
      <w:bookmarkEnd w:id="202"/>
      <w:bookmarkEnd w:id="203"/>
      <w:bookmarkEnd w:id="204"/>
    </w:p>
    <w:p w:rsidR="001F14AF" w:rsidRPr="009D719B" w:rsidRDefault="001F14AF">
      <w:r w:rsidRPr="009D719B">
        <w:t xml:space="preserve">Attityder till arbetsgivarpolitik hos arbetsgivarföreträdare på alla nivåer har framförts som viktiga frågor i samtliga intervjuer som genomförts under granskningen. </w:t>
      </w:r>
    </w:p>
    <w:p w:rsidR="001F14AF" w:rsidRPr="009D719B" w:rsidRDefault="001F14AF">
      <w:pPr>
        <w:pStyle w:val="Normaltindrag"/>
      </w:pPr>
      <w:r w:rsidRPr="009D719B">
        <w:t>Utbildningen för blivande förbandschefer har tidigare varit bristfällig. E</w:t>
      </w:r>
      <w:r w:rsidRPr="009D719B">
        <w:t>n</w:t>
      </w:r>
      <w:r w:rsidRPr="009D719B">
        <w:t>ligt de personer som intervjuats under granskningen har förberedelsen för en befattning som förbandschef förbättrats i och med att funktionen som arbet</w:t>
      </w:r>
      <w:r w:rsidRPr="009D719B">
        <w:t>s</w:t>
      </w:r>
      <w:r w:rsidRPr="009D719B">
        <w:t>givarföreträdare nu tydliggörs för den blivande chefen. Den nya modell för lönerevision enligt RALS 2002–2004 som börjat tillämpas under år 2002 kan också fungera som ett sätt att understryka förbandschefens ansvar för lön</w:t>
      </w:r>
      <w:r w:rsidRPr="009D719B">
        <w:t>e</w:t>
      </w:r>
      <w:r w:rsidRPr="009D719B">
        <w:t>bildningen. Detta kan dock motverkas om förbandscheferna upplever m</w:t>
      </w:r>
      <w:r w:rsidRPr="009D719B">
        <w:t>o</w:t>
      </w:r>
      <w:r w:rsidRPr="009D719B">
        <w:t xml:space="preserve">dellen som alltför komplicerad och tidskrävande. Intervjuerna under </w:t>
      </w:r>
      <w:r w:rsidRPr="009D719B">
        <w:t>denna granskning tyder också på att förbandscheferna känner att de säljer ut lön</w:t>
      </w:r>
      <w:r w:rsidRPr="009D719B">
        <w:t>e</w:t>
      </w:r>
      <w:r w:rsidRPr="009D719B">
        <w:t>bildningen till arbetstagarorganisationerna i och med den upplevda ökningen av samverkan, på bekostnad av förhandling, kring lönebildningen.</w:t>
      </w:r>
    </w:p>
    <w:p w:rsidR="001F14AF" w:rsidRPr="009D719B" w:rsidRDefault="001F14AF">
      <w:pPr>
        <w:pStyle w:val="Normaltindrag"/>
      </w:pPr>
      <w:r w:rsidRPr="009D719B">
        <w:t>Arbetet med att förändra attityder till arbetsgivarfrågorna är ingen lätt pr</w:t>
      </w:r>
      <w:r w:rsidRPr="009D719B">
        <w:t>o</w:t>
      </w:r>
      <w:r w:rsidRPr="009D719B">
        <w:t>cess. Arbetet försvåras dessutom av de strukturer som råder inom Försvar</w:t>
      </w:r>
      <w:r w:rsidRPr="009D719B">
        <w:t>s</w:t>
      </w:r>
      <w:r w:rsidRPr="009D719B">
        <w:t>makten och som tar sig uttryck i det spända förhållandet mellan förbanden och den centrala ledningen (se a</w:t>
      </w:r>
      <w:r w:rsidRPr="009D719B">
        <w:t>v</w:t>
      </w:r>
      <w:r w:rsidRPr="009D719B">
        <w:t xml:space="preserve">snitt 3.6). </w:t>
      </w:r>
    </w:p>
    <w:p w:rsidR="001F14AF" w:rsidRPr="009D719B" w:rsidRDefault="001F14AF">
      <w:pPr>
        <w:pStyle w:val="Normaltindrag"/>
      </w:pPr>
      <w:r w:rsidRPr="009D719B">
        <w:t>Granskningen visar att förbandschefen i stor utsträckning står ensam i l</w:t>
      </w:r>
      <w:r w:rsidRPr="009D719B">
        <w:t>ö</w:t>
      </w:r>
      <w:r w:rsidRPr="009D719B">
        <w:t>nebildningen, medan motparten på förbandsnivå är väl organiserad. I och med Officersförbundets starka ställning och den kompetensbrist som råder har förbandschefen svaga incitament att driva arbetsgivarens linje i förhan</w:t>
      </w:r>
      <w:r w:rsidRPr="009D719B">
        <w:t>d</w:t>
      </w:r>
      <w:r w:rsidRPr="009D719B">
        <w:t>lingar, men starka incitament att gå arbetstagarorganisationerna till mötes. Detta gör att åtgärder från Högkvarteret som stärker eller försvagar fö</w:t>
      </w:r>
      <w:r w:rsidRPr="009D719B">
        <w:t>r</w:t>
      </w:r>
      <w:r w:rsidRPr="009D719B">
        <w:t>bandschefens roll som arbetsgivare får mycket stora kons</w:t>
      </w:r>
      <w:r w:rsidRPr="009D719B">
        <w:t>e</w:t>
      </w:r>
      <w:r w:rsidRPr="009D719B">
        <w:t xml:space="preserve">kvenser. </w:t>
      </w:r>
    </w:p>
    <w:p w:rsidR="001F14AF" w:rsidRPr="009D719B" w:rsidRDefault="001F14AF">
      <w:pPr>
        <w:pStyle w:val="Rubrik2"/>
      </w:pPr>
      <w:bookmarkStart w:id="205" w:name="_Toc27531348"/>
      <w:bookmarkStart w:id="206" w:name="_Toc32301676"/>
      <w:bookmarkStart w:id="207" w:name="_Toc38080864"/>
      <w:bookmarkStart w:id="208" w:name="_Toc38103378"/>
      <w:r w:rsidRPr="009D719B">
        <w:t>Organisationen är splittrad</w:t>
      </w:r>
      <w:bookmarkEnd w:id="205"/>
      <w:bookmarkEnd w:id="206"/>
      <w:bookmarkEnd w:id="207"/>
      <w:bookmarkEnd w:id="208"/>
    </w:p>
    <w:p w:rsidR="001F14AF" w:rsidRPr="009D719B" w:rsidRDefault="001F14AF">
      <w:r w:rsidRPr="009D719B">
        <w:t>Sedan bildandet 1994 har Högkvarteret omorganiserats ett flertal gånger i ett försök att finna en organisation som klarar av att styra Försvarsmaktens verksamhet (se kapitel 2). Svårigheten har bl.a. varit att skapa en organis</w:t>
      </w:r>
      <w:r w:rsidRPr="009D719B">
        <w:t>a</w:t>
      </w:r>
      <w:r w:rsidRPr="009D719B">
        <w:t>tion med tydligt indelade ansvarsområden. Den instabilitet som funnits i Högkvarterets organisation, kombinerat med den höga personalrörligheten inom myndigheten, försvagar Försvarsmaktens förmåga att styra och följa upp arbet</w:t>
      </w:r>
      <w:r w:rsidRPr="009D719B">
        <w:t>s</w:t>
      </w:r>
      <w:r w:rsidRPr="009D719B">
        <w:t xml:space="preserve">givarpolitiken.  </w:t>
      </w:r>
    </w:p>
    <w:p w:rsidR="001F14AF" w:rsidRPr="009D719B" w:rsidRDefault="001F14AF">
      <w:pPr>
        <w:pStyle w:val="Rubrik3-Utannumrering"/>
      </w:pPr>
      <w:bookmarkStart w:id="209" w:name="_Toc38080865"/>
      <w:r w:rsidRPr="009D719B">
        <w:t>Ansvaret inom Högkvarteret är oklart</w:t>
      </w:r>
      <w:bookmarkEnd w:id="209"/>
      <w:r w:rsidRPr="009D719B">
        <w:t xml:space="preserve"> </w:t>
      </w:r>
    </w:p>
    <w:p w:rsidR="001F14AF" w:rsidRPr="009D719B" w:rsidRDefault="001F14AF">
      <w:r w:rsidRPr="009D719B">
        <w:t>I den nuvarande organisationen är ansvaret för personalfrågorna fortfarande delat mellan framför allt grundorganisationsledningen och personalstaben. Ansvaret för grundorganisationens ekonomi och bemanning ligger hos grundorganisationsledningen, medan ansvaret för avtalsfrågor ligger hos personalstaben. Chefen för personalstaben är ansvarig för personalförsör</w:t>
      </w:r>
      <w:r w:rsidRPr="009D719B">
        <w:t>j</w:t>
      </w:r>
      <w:r w:rsidRPr="009D719B">
        <w:t>ning och arbetsgivarpolitik inom Försvarsmakten, men några av de instr</w:t>
      </w:r>
      <w:r w:rsidRPr="009D719B">
        <w:t>u</w:t>
      </w:r>
      <w:r w:rsidRPr="009D719B">
        <w:t>ment som behövs för att driva arbetsgivarpolitiken, frågor som rör bema</w:t>
      </w:r>
      <w:r w:rsidRPr="009D719B">
        <w:t>n</w:t>
      </w:r>
      <w:r w:rsidRPr="009D719B">
        <w:t>ning och ekonomi, ligger alltså utanför personalchefens ansvar</w:t>
      </w:r>
      <w:r w:rsidRPr="009D719B">
        <w:t>s</w:t>
      </w:r>
      <w:r w:rsidRPr="009D719B">
        <w:t>område.</w:t>
      </w:r>
    </w:p>
    <w:p w:rsidR="001F14AF" w:rsidRPr="009D719B" w:rsidRDefault="001F14AF">
      <w:pPr>
        <w:pStyle w:val="Normaltindrag"/>
      </w:pPr>
      <w:r w:rsidRPr="009D719B">
        <w:t>I denna granskning har Högkvarteret framstått som en organisation med kraftiga murar mellan de olika enheterna. Olika delar av Högkvarteret up</w:t>
      </w:r>
      <w:r w:rsidRPr="009D719B">
        <w:t>p</w:t>
      </w:r>
      <w:r w:rsidRPr="009D719B">
        <w:t>träder relativt självständigt mot förbanden. Denna bild får också stöd i Fö</w:t>
      </w:r>
      <w:r w:rsidRPr="009D719B">
        <w:t>r</w:t>
      </w:r>
      <w:r w:rsidRPr="009D719B">
        <w:t>svarsmaktens egen utredning om den centrala ledningen från år 2002. Ett förband upplever således inte att man har en kontakt med Högkvarteret som en samlad organisation, utan att man har kontakter med bemanningsavde</w:t>
      </w:r>
      <w:r w:rsidRPr="009D719B">
        <w:t>l</w:t>
      </w:r>
      <w:r w:rsidRPr="009D719B">
        <w:t>ningen eller vil</w:t>
      </w:r>
      <w:r w:rsidRPr="009D719B">
        <w:t>l</w:t>
      </w:r>
      <w:r w:rsidRPr="009D719B">
        <w:t>korssektionen för sig.</w:t>
      </w:r>
    </w:p>
    <w:p w:rsidR="001F14AF" w:rsidRPr="009D719B" w:rsidRDefault="001F14AF">
      <w:pPr>
        <w:pStyle w:val="Normaltindrag"/>
      </w:pPr>
      <w:r w:rsidRPr="009D719B">
        <w:t>Detta problem har Riksdagens revisorer tidigare uppmärksammat även inom andra delar av Högkvarterets verksamhet. Revisorerna konstaterade t.ex. i granskningarna av styrningen av f</w:t>
      </w:r>
      <w:r w:rsidRPr="009D719B">
        <w:t>örsvarets materielförsörjning (2001/02:RR7) och av försvarets fastigheter och anläggningar (2002/03:RR7) att den bristande samordningen mellan olika delar av Hö</w:t>
      </w:r>
      <w:r w:rsidRPr="009D719B">
        <w:t>g</w:t>
      </w:r>
      <w:r w:rsidRPr="009D719B">
        <w:t>kvarteret innebar problem med ansvar</w:t>
      </w:r>
      <w:r w:rsidRPr="009D719B">
        <w:t>s</w:t>
      </w:r>
      <w:r w:rsidRPr="009D719B">
        <w:t>fördelningen.</w:t>
      </w:r>
    </w:p>
    <w:p w:rsidR="001F14AF" w:rsidRPr="009D719B" w:rsidRDefault="001F14AF">
      <w:pPr>
        <w:pStyle w:val="Normaltindrag"/>
      </w:pPr>
      <w:r w:rsidRPr="009D719B">
        <w:t>I och med att ansvaret för de arbetsgivarpolitiska instrumenten är uppdelat på flera avdelningar och enheter inom Högkvarteret blir ansvaret för arbet</w:t>
      </w:r>
      <w:r w:rsidRPr="009D719B">
        <w:t>s</w:t>
      </w:r>
      <w:r w:rsidRPr="009D719B">
        <w:t>givarfrågorna också oklart. Detta innebär i sin tur dels att ingen del av Fö</w:t>
      </w:r>
      <w:r w:rsidRPr="009D719B">
        <w:t>r</w:t>
      </w:r>
      <w:r w:rsidRPr="009D719B">
        <w:t>svarsmaktens centrala ledning kan ta ett helhetsgrepp om arbetsgivarfrågo</w:t>
      </w:r>
      <w:r w:rsidRPr="009D719B">
        <w:t>r</w:t>
      </w:r>
      <w:r w:rsidRPr="009D719B">
        <w:t>na, dels att styrsignalerna i arbetsgivarfrågor riskerar att bli motstridiga. Detta kan leda till att förbandschefens ställning som lokal arbetsgivare fö</w:t>
      </w:r>
      <w:r w:rsidRPr="009D719B">
        <w:t>r</w:t>
      </w:r>
      <w:r w:rsidRPr="009D719B">
        <w:t>svagas då denne får mo</w:t>
      </w:r>
      <w:r w:rsidRPr="009D719B">
        <w:t>t</w:t>
      </w:r>
      <w:r w:rsidRPr="009D719B">
        <w:t>stridiga besked och signaler från Högkvarteret.</w:t>
      </w:r>
    </w:p>
    <w:p w:rsidR="001F14AF" w:rsidRPr="009D719B" w:rsidRDefault="001F14AF">
      <w:pPr>
        <w:pStyle w:val="Rubrik3-Utannumrering"/>
      </w:pPr>
      <w:bookmarkStart w:id="210" w:name="_Toc38080866"/>
      <w:r w:rsidRPr="009D719B">
        <w:t>Personalstabens genomslagskraft är begränsad</w:t>
      </w:r>
      <w:bookmarkEnd w:id="210"/>
    </w:p>
    <w:p w:rsidR="001F14AF" w:rsidRPr="009D719B" w:rsidRDefault="001F14AF">
      <w:r w:rsidRPr="009D719B">
        <w:t>Under granskningen har det också framkommit att personalstabens geno</w:t>
      </w:r>
      <w:r w:rsidRPr="009D719B">
        <w:t>m</w:t>
      </w:r>
      <w:r w:rsidRPr="009D719B">
        <w:t>slagskraft i organisationen är begränsad. I de fall där tolkningen av den a</w:t>
      </w:r>
      <w:r w:rsidRPr="009D719B">
        <w:t>r</w:t>
      </w:r>
      <w:r w:rsidRPr="009D719B">
        <w:t>betsgivarpolitiska styrningen skiljer sig mellan personalstaben och grundo</w:t>
      </w:r>
      <w:r w:rsidRPr="009D719B">
        <w:t>r</w:t>
      </w:r>
      <w:r w:rsidRPr="009D719B">
        <w:t>ganisationsledningen tenderar grundorganisationsledningen att ha tolkning</w:t>
      </w:r>
      <w:r w:rsidRPr="009D719B">
        <w:t>s</w:t>
      </w:r>
      <w:r w:rsidRPr="009D719B">
        <w:t>företräde. Ett exempel på detta är frågan om hur gränsen för förbandens lönekostnad på 0,8 % ska tolkas. Det har också framkommit att Officersfö</w:t>
      </w:r>
      <w:r w:rsidRPr="009D719B">
        <w:t>r</w:t>
      </w:r>
      <w:r w:rsidRPr="009D719B">
        <w:t xml:space="preserve">bundet i förhandlingar drivit krav genom att gå förbi personalstaben och ta frågan direkt till ÖB. </w:t>
      </w:r>
    </w:p>
    <w:p w:rsidR="001F14AF" w:rsidRPr="009D719B" w:rsidRDefault="001F14AF">
      <w:pPr>
        <w:pStyle w:val="Normaltindrag"/>
      </w:pPr>
      <w:r w:rsidRPr="009D719B">
        <w:t>Orsakerna till personalstabens begränsade</w:t>
      </w:r>
      <w:r w:rsidRPr="009D719B">
        <w:t xml:space="preserve"> genomslagskraft kan vara flera, men kårandans betydelse i denna fråga kan inte förbises. Personalstaben har jämförelsevis många civilanställda i höga befattningar. Chefen för persona</w:t>
      </w:r>
      <w:r w:rsidRPr="009D719B">
        <w:t>l</w:t>
      </w:r>
      <w:r w:rsidRPr="009D719B">
        <w:t>staben, som också är Försvarsmaktens personalchef, är civil. Grundorganis</w:t>
      </w:r>
      <w:r w:rsidRPr="009D719B">
        <w:t>a</w:t>
      </w:r>
      <w:r w:rsidRPr="009D719B">
        <w:t>tionsled</w:t>
      </w:r>
      <w:r w:rsidRPr="009D719B">
        <w:softHyphen/>
        <w:t>ningen d</w:t>
      </w:r>
      <w:r w:rsidRPr="009D719B">
        <w:t>o</w:t>
      </w:r>
      <w:r w:rsidRPr="009D719B">
        <w:t>mineras däremot av yrkesofficerare med relativt hög grad.</w:t>
      </w:r>
    </w:p>
    <w:p w:rsidR="001F14AF" w:rsidRPr="009D719B" w:rsidRDefault="001F14AF">
      <w:pPr>
        <w:pStyle w:val="Normaltindrag"/>
      </w:pPr>
      <w:r w:rsidRPr="009D719B">
        <w:t>Under granskningen har flera personer som intervjuats framfört att arbet</w:t>
      </w:r>
      <w:r w:rsidRPr="009D719B">
        <w:t>s</w:t>
      </w:r>
      <w:r w:rsidRPr="009D719B">
        <w:t>givarfrågorna bör hanteras inom grundorganisationsledningen för att frågo</w:t>
      </w:r>
      <w:r w:rsidRPr="009D719B">
        <w:t>r</w:t>
      </w:r>
      <w:r w:rsidRPr="009D719B">
        <w:t>na ska få genomslag i organisationen. Det kan även finnas andra fördelar med att arbetsgivarfrågorna närmare samordnas med verksamhetsfrågorna, som drivs inom grundorganisationsledningen. Så som Högkvarterets organ</w:t>
      </w:r>
      <w:r w:rsidRPr="009D719B">
        <w:t>i</w:t>
      </w:r>
      <w:r w:rsidRPr="009D719B">
        <w:t>sation är utformad har olika lösningar med personalsamverkan och organis</w:t>
      </w:r>
      <w:r w:rsidRPr="009D719B">
        <w:t>a</w:t>
      </w:r>
      <w:r w:rsidRPr="009D719B">
        <w:t>tionslösningar inom Högkvarteret tillämpats med varierande resultat för att samordna personalstabens och grundorganisationens styrning av arbetsgiva</w:t>
      </w:r>
      <w:r w:rsidRPr="009D719B">
        <w:t>r</w:t>
      </w:r>
      <w:r w:rsidRPr="009D719B">
        <w:t>politiken.</w:t>
      </w:r>
    </w:p>
    <w:p w:rsidR="001F14AF" w:rsidRPr="009D719B" w:rsidRDefault="001F14AF">
      <w:pPr>
        <w:pStyle w:val="Rubrik3-Utannumrering"/>
      </w:pPr>
      <w:bookmarkStart w:id="211" w:name="_Toc38080867"/>
      <w:r w:rsidRPr="009D719B">
        <w:t>Revisorernas överväganden</w:t>
      </w:r>
      <w:bookmarkEnd w:id="211"/>
    </w:p>
    <w:p w:rsidR="001F14AF" w:rsidRPr="009D719B" w:rsidRDefault="001F14AF">
      <w:r w:rsidRPr="009D719B">
        <w:t>Trots flera omorganiseringar har Försvarsmakten inte funnit en ledningso</w:t>
      </w:r>
      <w:r w:rsidRPr="009D719B">
        <w:t>r</w:t>
      </w:r>
      <w:r w:rsidRPr="009D719B">
        <w:t>ganisation som medför tydliga ansvarsområden för arbetsgivarfrågorna. Den senaste omorganiseringen av Högkvarteret kommer sannolikt inte heller att få några avgörande positiva effekter för styrning och uppföljning av lön</w:t>
      </w:r>
      <w:r w:rsidRPr="009D719B">
        <w:t>e</w:t>
      </w:r>
      <w:r w:rsidRPr="009D719B">
        <w:t>bildningen inom my</w:t>
      </w:r>
      <w:r w:rsidRPr="009D719B">
        <w:t>n</w:t>
      </w:r>
      <w:r w:rsidRPr="009D719B">
        <w:t xml:space="preserve">digheten. </w:t>
      </w:r>
    </w:p>
    <w:p w:rsidR="001F14AF" w:rsidRPr="009D719B" w:rsidRDefault="001F14AF">
      <w:pPr>
        <w:pStyle w:val="Normaltindrag"/>
      </w:pPr>
      <w:r w:rsidRPr="009D719B">
        <w:t>Många av de problem som revisorerna uppmärksammat kan hänföras till en otydlig ansvarsfördelning inom Högkvarteret. Revisorerna anser att r</w:t>
      </w:r>
      <w:r w:rsidRPr="009D719B">
        <w:t>e</w:t>
      </w:r>
      <w:r w:rsidRPr="009D719B">
        <w:t>geringen bör ge Försvarsmakten i uppdrag att se över hur ansvaret för lön</w:t>
      </w:r>
      <w:r w:rsidRPr="009D719B">
        <w:t>e</w:t>
      </w:r>
      <w:r w:rsidRPr="009D719B">
        <w:t>bildningsfrågorna inom myndigheten kan tydliggöras så att motstridiga sty</w:t>
      </w:r>
      <w:r w:rsidRPr="009D719B">
        <w:t>r</w:t>
      </w:r>
      <w:r w:rsidRPr="009D719B">
        <w:t>signaler inom organisationen motverkas.</w:t>
      </w:r>
    </w:p>
    <w:p w:rsidR="001F14AF" w:rsidRPr="009D719B" w:rsidRDefault="001F14AF">
      <w:pPr>
        <w:pStyle w:val="Rubrik2"/>
      </w:pPr>
      <w:bookmarkStart w:id="212" w:name="_Toc27531349"/>
      <w:bookmarkStart w:id="213" w:name="_Toc32301677"/>
      <w:bookmarkStart w:id="214" w:name="_Toc38080868"/>
      <w:bookmarkStart w:id="215" w:name="_Toc38103379"/>
      <w:r w:rsidRPr="009D719B">
        <w:t xml:space="preserve">Styrningen av arbetsgivarfrågor är </w:t>
      </w:r>
      <w:bookmarkEnd w:id="212"/>
      <w:r w:rsidRPr="009D719B">
        <w:t>svag</w:t>
      </w:r>
      <w:bookmarkEnd w:id="213"/>
      <w:bookmarkEnd w:id="214"/>
      <w:bookmarkEnd w:id="215"/>
    </w:p>
    <w:p w:rsidR="001F14AF" w:rsidRPr="009D719B" w:rsidRDefault="001F14AF">
      <w:r w:rsidRPr="009D719B">
        <w:t>Försvarsmakten har sedan RRV påpekade brister i lönebildningen 1998 genomfört förändringar i styrningen av arbetsgivarpolitiken som har verkat för att stärka arbetsgivarrollen. Personalstaben har t.ex. utarbetat en tydlig lönepolicy och omförhandlat Försvarsmaktens löneavtal. I och med det nya löneavtalet har många av de lönetillägg som RRV kritiserade tagits bort. Trots detta framstår Försvarsmaktens styrning av arbetsgivarpolitiken som otydlig och svag. En viktig orsak till detta är den splittrade or</w:t>
      </w:r>
      <w:r w:rsidRPr="009D719B">
        <w:t xml:space="preserve">ganisationen och det otydliga ansvaret inom Högkvarteret som beskrivits ovan. </w:t>
      </w:r>
    </w:p>
    <w:p w:rsidR="001F14AF" w:rsidRPr="009D719B" w:rsidRDefault="001F14AF">
      <w:pPr>
        <w:pStyle w:val="Rubrik3-Utannumrering"/>
      </w:pPr>
      <w:bookmarkStart w:id="216" w:name="_Toc38080869"/>
      <w:r w:rsidRPr="009D719B">
        <w:t>Kompromisser med arbetstagarorganisationerna</w:t>
      </w:r>
      <w:bookmarkEnd w:id="216"/>
    </w:p>
    <w:p w:rsidR="001F14AF" w:rsidRPr="009D719B" w:rsidRDefault="001F14AF">
      <w:r w:rsidRPr="009D719B">
        <w:t>Otydligheter kan också uppkomma som en följd av meningsskiljaktigheter och kompromisslösningar mellan Försvarsmakten och arbetstagarorganis</w:t>
      </w:r>
      <w:r w:rsidRPr="009D719B">
        <w:t>a</w:t>
      </w:r>
      <w:r w:rsidRPr="009D719B">
        <w:t>tionerna. Det faktum att Försvarsmakten på viktiga punkter tvingats backa i förhandlingarna med facken kan ses som ett uttryck för att myndigheten har svårt att stå emot fackliga krav även på central nivå. I fallen med lönetillä</w:t>
      </w:r>
      <w:r w:rsidRPr="009D719B">
        <w:t>g</w:t>
      </w:r>
      <w:r w:rsidRPr="009D719B">
        <w:t xml:space="preserve">gen, ingångslönerna och lönerevisionsmandatet rör det sig om frågor där arbetsgivaren har en klar ståndpunkt om en fråga som anses vara viktig, men där man givit efter för de fackliga kraven. </w:t>
      </w:r>
    </w:p>
    <w:p w:rsidR="001F14AF" w:rsidRPr="009D719B" w:rsidRDefault="001F14AF">
      <w:pPr>
        <w:pStyle w:val="Normaltindrag"/>
      </w:pPr>
      <w:r w:rsidRPr="009D719B">
        <w:t>I kapitel 7 konstaterades att Försvarsmaktens höjda ingångslöner medfört problem vid löne</w:t>
      </w:r>
      <w:r w:rsidRPr="009D719B">
        <w:t>sättning på förbanden. Den kraftiga höjningen av ingång</w:t>
      </w:r>
      <w:r w:rsidRPr="009D719B">
        <w:t>s</w:t>
      </w:r>
      <w:r w:rsidRPr="009D719B">
        <w:t>lönerna försämrade möjligheterna att påverka lönespridningen vid förbandet. Ingångslönernas relevans kunde enligt förbandscheferna också ifrågasättas. Högkvarterets beslut att även upplysa arbetstagarorganisationerna om vilket utrymme för lönerevision som tilldelats förbanden för lönerevisionen under 2002 upplevde förbandscheferna försvagade deras möjligheter att agera i enlighet med verksamhetsintresset.</w:t>
      </w:r>
    </w:p>
    <w:p w:rsidR="001F14AF" w:rsidRPr="009D719B" w:rsidRDefault="001F14AF">
      <w:pPr>
        <w:pStyle w:val="Normaltindrag"/>
      </w:pPr>
      <w:r w:rsidRPr="009D719B">
        <w:t>Här bör dock framhållas att Försvarsmakten i vi</w:t>
      </w:r>
      <w:r w:rsidRPr="009D719B">
        <w:t>ssa viktiga frågor också lyckats genomdriva förändringar som man anser gynna verksamheten. Det nya befattningsvärderingssystemet började tas i bruk under 2002 trots att Officersförbundet protesterat kraftigt mot systemet.</w:t>
      </w:r>
    </w:p>
    <w:p w:rsidR="001F14AF" w:rsidRPr="009D719B" w:rsidRDefault="001F14AF">
      <w:pPr>
        <w:pStyle w:val="Rubrik4-Utannumrering"/>
      </w:pPr>
      <w:bookmarkStart w:id="217" w:name="_Toc38080870"/>
      <w:r w:rsidRPr="009D719B">
        <w:t>Lönetilläggen</w:t>
      </w:r>
      <w:bookmarkEnd w:id="217"/>
    </w:p>
    <w:p w:rsidR="001F14AF" w:rsidRPr="009D719B" w:rsidRDefault="001F14AF">
      <w:r w:rsidRPr="009D719B">
        <w:t>Med Försvarsmaktens nya löneavtal som slöts 2001 har merparten av de befattningsgrundade lönetilläggen för yrkesofficerare förhandlats bort. I praktiken överfördes värdet på lönetilläggen till den anställdes grundlön. Yrkesofficerare har således, i olika stor utsträckning, fått permanent högre grundlöner, vilket skapat omotiverade löneskillnader inom organisationen. Det är också oklart om sådana kriterier som tidigare varit grund för löneti</w:t>
      </w:r>
      <w:r w:rsidRPr="009D719B">
        <w:t>l</w:t>
      </w:r>
      <w:r w:rsidRPr="009D719B">
        <w:t>lägg fortfarande ska vara grund för den anställdes lön. Varken Försvarsma</w:t>
      </w:r>
      <w:r w:rsidRPr="009D719B">
        <w:t>k</w:t>
      </w:r>
      <w:r w:rsidRPr="009D719B">
        <w:t>tens lön</w:t>
      </w:r>
      <w:r w:rsidRPr="009D719B">
        <w:t>e</w:t>
      </w:r>
      <w:r w:rsidRPr="009D719B">
        <w:t>policy eller löneavtal ger ett tydligt svar på denna fråga.</w:t>
      </w:r>
    </w:p>
    <w:p w:rsidR="001F14AF" w:rsidRPr="009D719B" w:rsidRDefault="001F14AF">
      <w:pPr>
        <w:pStyle w:val="Normaltindrag"/>
      </w:pPr>
      <w:r w:rsidRPr="009D719B">
        <w:t>RRV:s kritik av lönetilläggen gällde den kostnad som den flitiga använ</w:t>
      </w:r>
      <w:r w:rsidRPr="009D719B">
        <w:t>d</w:t>
      </w:r>
      <w:r w:rsidRPr="009D719B">
        <w:t>ningen av lönetilläggen ledde till. Inlösningen av lönetilläggen har resulterat i att yrkesofficerarnas löner blivit tydligare för de egna arbetsgivarföretr</w:t>
      </w:r>
      <w:r w:rsidRPr="009D719B">
        <w:t>ä</w:t>
      </w:r>
      <w:r w:rsidRPr="009D719B">
        <w:t>darna och för utomstående granskare. Däremot finns det en risk att lönekos</w:t>
      </w:r>
      <w:r w:rsidRPr="009D719B">
        <w:t>t</w:t>
      </w:r>
      <w:r w:rsidRPr="009D719B">
        <w:t>naderna ökar på grund av denna förändring, eftersom faktorer som tidigare var grund för lönetillägg kan användas som motiv för den anställdes grun</w:t>
      </w:r>
      <w:r w:rsidRPr="009D719B">
        <w:t>d</w:t>
      </w:r>
      <w:r w:rsidRPr="009D719B">
        <w:t xml:space="preserve">lön. Verksamhet som tidigare resulterat i en tillfällig lönehöjning genom ett lönetillägg kan nu resultera i en permanent högre lön </w:t>
      </w:r>
      <w:r w:rsidRPr="009D719B">
        <w:t>för yrkesoffic</w:t>
      </w:r>
      <w:r w:rsidRPr="009D719B">
        <w:t>e</w:t>
      </w:r>
      <w:r w:rsidRPr="009D719B">
        <w:t>ren.</w:t>
      </w:r>
    </w:p>
    <w:p w:rsidR="001F14AF" w:rsidRPr="009D719B" w:rsidRDefault="001F14AF">
      <w:pPr>
        <w:pStyle w:val="Rubrik3-Utannumrering"/>
      </w:pPr>
      <w:bookmarkStart w:id="218" w:name="_Toc38080871"/>
      <w:r w:rsidRPr="009D719B">
        <w:t>Styrning i omstruktureringsskeden</w:t>
      </w:r>
      <w:bookmarkEnd w:id="218"/>
    </w:p>
    <w:p w:rsidR="001F14AF" w:rsidRPr="009D719B" w:rsidRDefault="001F14AF">
      <w:r w:rsidRPr="009D719B">
        <w:t>I kapitel 4 konstaterades att löneutvecklingen inom Försvarsmakten uppvis</w:t>
      </w:r>
      <w:r w:rsidRPr="009D719B">
        <w:t>a</w:t>
      </w:r>
      <w:r w:rsidRPr="009D719B">
        <w:t>de två anmärkningsvärda avvikelser från trenden i den statliga löneutvec</w:t>
      </w:r>
      <w:r w:rsidRPr="009D719B">
        <w:t>k</w:t>
      </w:r>
      <w:r w:rsidRPr="009D719B">
        <w:t>lingen i stort. År 1998 var löneökningen inom Försvarsmakten betydligt mindre än för staten i övrigt, och år 2000 var löneökningen betydligt större. Båda dessa perioder kan kopplas till omfattande omstruktureringar och ne</w:t>
      </w:r>
      <w:r w:rsidRPr="009D719B">
        <w:t>d</w:t>
      </w:r>
      <w:r w:rsidRPr="009D719B">
        <w:t>läggningar inom Försvarsmakten.</w:t>
      </w:r>
    </w:p>
    <w:p w:rsidR="001F14AF" w:rsidRPr="009D719B" w:rsidRDefault="001F14AF">
      <w:pPr>
        <w:pStyle w:val="Normaltindrag"/>
      </w:pPr>
      <w:r w:rsidRPr="009D719B">
        <w:t>Omstruktureringen efter 1996 års försvarsbeslut verkar ha genomförts utan att lönerna dragit i väg inom Försvarsmakten. Den sänkning av yrkesoffic</w:t>
      </w:r>
      <w:r w:rsidRPr="009D719B">
        <w:t>e</w:t>
      </w:r>
      <w:r w:rsidRPr="009D719B">
        <w:t>rarnas lön som kan observeras kan ha att göra med en minskad utbetalning av verksamhetsrelaterade lön</w:t>
      </w:r>
      <w:r w:rsidRPr="009D719B">
        <w:t>e</w:t>
      </w:r>
      <w:r w:rsidRPr="009D719B">
        <w:t xml:space="preserve">tillägg under omstruktureringsperioden. </w:t>
      </w:r>
    </w:p>
    <w:p w:rsidR="001F14AF" w:rsidRPr="009D719B" w:rsidRDefault="001F14AF">
      <w:pPr>
        <w:pStyle w:val="Normaltindrag"/>
      </w:pPr>
      <w:r w:rsidRPr="009D719B">
        <w:t>Under år 2000 ökade dock lönerna kraftigt inom Försvarsmakten. Det bör ses mot bakgrund av att omstruktureringarna under år 2000 var mycket o</w:t>
      </w:r>
      <w:r w:rsidRPr="009D719B">
        <w:t>m</w:t>
      </w:r>
      <w:r w:rsidRPr="009D719B">
        <w:t>fattande i jämförelse med de under 1998. Förbandscheferna har under denna omvälvande period haft svårt att stå emot olika krav, vilket fått konsekvenser för både löneutvecklingen och kompetensförsörjningen. Under en period av så omfattande omstruktureringar fanns det således ett behov av en tillfälligt starkare styrning från Högkvarteret. Revisorerna kan konstatera att Hö</w:t>
      </w:r>
      <w:r w:rsidRPr="009D719B">
        <w:t>g</w:t>
      </w:r>
      <w:r w:rsidRPr="009D719B">
        <w:t>kvarteret inte tillräckligt förmått styra organisationen under denna period, vilket resulterat i ökande personalkos</w:t>
      </w:r>
      <w:r w:rsidRPr="009D719B">
        <w:t>t</w:t>
      </w:r>
      <w:r w:rsidRPr="009D719B">
        <w:t>nader och kompetensb</w:t>
      </w:r>
      <w:r w:rsidRPr="009D719B">
        <w:t>rist.</w:t>
      </w:r>
    </w:p>
    <w:p w:rsidR="001F14AF" w:rsidRPr="009D719B" w:rsidRDefault="001F14AF">
      <w:pPr>
        <w:pStyle w:val="Rubrik3-Utannumrering"/>
      </w:pPr>
      <w:bookmarkStart w:id="219" w:name="_Toc38080872"/>
      <w:r w:rsidRPr="009D719B">
        <w:t>Bristfällig styrning av kompetensförsörjningen</w:t>
      </w:r>
      <w:bookmarkEnd w:id="219"/>
    </w:p>
    <w:p w:rsidR="001F14AF" w:rsidRPr="009D719B" w:rsidRDefault="001F14AF">
      <w:r w:rsidRPr="009D719B">
        <w:t>I kapitel 2 konstaterades att Försvarsmakten är inne i ett tämligen besynne</w:t>
      </w:r>
      <w:r w:rsidRPr="009D719B">
        <w:t>r</w:t>
      </w:r>
      <w:r w:rsidRPr="009D719B">
        <w:t>ligt kompetensläge. Samtidigt som Försvarsmakten ska skära ned antalet officerare med ytterligare 1 800 officerare fram till utgången av år 2004 finns det betydande vakanser vid flera förband, främst inom armén.</w:t>
      </w:r>
    </w:p>
    <w:p w:rsidR="001F14AF" w:rsidRPr="009D719B" w:rsidRDefault="001F14AF">
      <w:pPr>
        <w:pStyle w:val="Normaltindrag"/>
      </w:pPr>
      <w:r w:rsidRPr="009D719B">
        <w:t>Kompetensförsörjningsläget vid förbanden är en för arbetsgivarrollen fö</w:t>
      </w:r>
      <w:r w:rsidRPr="009D719B">
        <w:t>r</w:t>
      </w:r>
      <w:r w:rsidRPr="009D719B">
        <w:t>svagande faktor. Den personalbrist som förbanden upplever gör det svårare för förbandschefen att t.ex. stå emot krav på generella löneökningar från fackförbunden. Personalbristen ger också upphov till en risk för lönekonku</w:t>
      </w:r>
      <w:r w:rsidRPr="009D719B">
        <w:t>r</w:t>
      </w:r>
      <w:r w:rsidRPr="009D719B">
        <w:t xml:space="preserve">rens inom myndigheten.   </w:t>
      </w:r>
    </w:p>
    <w:p w:rsidR="001F14AF" w:rsidRPr="009D719B" w:rsidRDefault="001F14AF">
      <w:pPr>
        <w:pStyle w:val="Normaltindrag"/>
      </w:pPr>
      <w:r w:rsidRPr="009D719B">
        <w:t>Orsaken till den obalans i kompetensförsörjningen som råder inom Fö</w:t>
      </w:r>
      <w:r w:rsidRPr="009D719B">
        <w:t>r</w:t>
      </w:r>
      <w:r w:rsidRPr="009D719B">
        <w:t>svarsmakten är de omstruktureringar som genomförts under senare år. Till viss del är inte heller den övertaliga kompetens som finns vid vissa organis</w:t>
      </w:r>
      <w:r w:rsidRPr="009D719B">
        <w:t>a</w:t>
      </w:r>
      <w:r w:rsidRPr="009D719B">
        <w:t>tionsenheter möjlig att föra över till enheter med kompetensbrist. Inom Fö</w:t>
      </w:r>
      <w:r w:rsidRPr="009D719B">
        <w:t>r</w:t>
      </w:r>
      <w:r w:rsidRPr="009D719B">
        <w:t>svarsmaktens logistik (FMLOG) finns t.ex. en övertalighet på nästan 300 yrkesofficerare. Dessa yrkesofficerare kan inte i någon större utsträckning flyttas över till andra förband för att täcka vakanser då de inte har den utbil</w:t>
      </w:r>
      <w:r w:rsidRPr="009D719B">
        <w:t>d</w:t>
      </w:r>
      <w:r w:rsidRPr="009D719B">
        <w:t>ning som krävs för dessa befattningar.</w:t>
      </w:r>
    </w:p>
    <w:p w:rsidR="001F14AF" w:rsidRPr="009D719B" w:rsidRDefault="001F14AF">
      <w:pPr>
        <w:pStyle w:val="Normaltindrag"/>
      </w:pPr>
      <w:r w:rsidRPr="009D719B">
        <w:t>Revisorerna kan doc</w:t>
      </w:r>
      <w:r w:rsidRPr="009D719B">
        <w:t>k konstatera att kompetensförsörjningsläget inom Fö</w:t>
      </w:r>
      <w:r w:rsidRPr="009D719B">
        <w:t>r</w:t>
      </w:r>
      <w:r w:rsidRPr="009D719B">
        <w:t>svarsmakten hade kunnat förbättras betydligt med en aktiv styrning av ko</w:t>
      </w:r>
      <w:r w:rsidRPr="009D719B">
        <w:t>m</w:t>
      </w:r>
      <w:r w:rsidRPr="009D719B">
        <w:t xml:space="preserve">petensen från Högkvarteret. Det finns ett visst utrymme för omfördelning av kompetens, inom t.ex. armén, vilket åtminstone skulle minska problemet med kompetensbristen vid vissa förband. </w:t>
      </w:r>
    </w:p>
    <w:p w:rsidR="001F14AF" w:rsidRPr="009D719B" w:rsidRDefault="001F14AF">
      <w:pPr>
        <w:pStyle w:val="Normaltindrag"/>
      </w:pPr>
      <w:r w:rsidRPr="009D719B">
        <w:t>Såväl Riksdagens revisorer som RRV har tidigare konstaterat att Fö</w:t>
      </w:r>
      <w:r w:rsidRPr="009D719B">
        <w:t>r</w:t>
      </w:r>
      <w:r w:rsidRPr="009D719B">
        <w:t>svarsmakten inte tillräckligt följt upp kompetensläget inom organisationen. Revisorerna har i denna granskning fått ytterligare belägg för detta. Intervj</w:t>
      </w:r>
      <w:r w:rsidRPr="009D719B">
        <w:t>u</w:t>
      </w:r>
      <w:r w:rsidRPr="009D719B">
        <w:t>er som gjorts under granskningen tyder på att Försvarsmakten har låtit offic</w:t>
      </w:r>
      <w:r w:rsidRPr="009D719B">
        <w:t>e</w:t>
      </w:r>
      <w:r w:rsidRPr="009D719B">
        <w:t>rare få ta del av kostsamma avvecklingsinsatser trots att de hade kompetens som var värdefull för organisationen. I stället för att ta obekväma beslut om omplacering av personal har man i vissa fall valt att låta yrkesofficerare, med kompetens som Försvarsmakten vill behålla, avg</w:t>
      </w:r>
      <w:r w:rsidRPr="009D719B">
        <w:t>å med avgångsvederlag. Detta innebär dels att kompetensbristen inom myndigheten förvärras, dels att kostnaderna för avvecklingsinsatserna blir högre än nö</w:t>
      </w:r>
      <w:r w:rsidRPr="009D719B">
        <w:t>d</w:t>
      </w:r>
      <w:r w:rsidRPr="009D719B">
        <w:t>vändigt.</w:t>
      </w:r>
    </w:p>
    <w:p w:rsidR="001F14AF" w:rsidRPr="009D719B" w:rsidRDefault="001F14AF">
      <w:pPr>
        <w:pStyle w:val="Normaltindrag"/>
      </w:pPr>
      <w:r w:rsidRPr="009D719B">
        <w:t xml:space="preserve"> Genom beslutet att inte säga upp yrkesofficerare kan Försvarsmakten heller inte fullt ut utnyttja Trygghetsstiftelsen för avvecklingen av militär personal. </w:t>
      </w:r>
    </w:p>
    <w:p w:rsidR="001F14AF" w:rsidRPr="009D719B" w:rsidRDefault="001F14AF">
      <w:pPr>
        <w:pStyle w:val="Rubrik3-Utannumrering"/>
      </w:pPr>
      <w:bookmarkStart w:id="220" w:name="_Toc38080873"/>
      <w:r w:rsidRPr="009D719B">
        <w:t>Bemanningsuppdrag</w:t>
      </w:r>
      <w:bookmarkEnd w:id="220"/>
    </w:p>
    <w:p w:rsidR="001F14AF" w:rsidRPr="009D719B" w:rsidRDefault="001F14AF">
      <w:r w:rsidRPr="009D719B">
        <w:t>Förbanden bemannar Försvarsmaktens olika skolor, centrum och ledningso</w:t>
      </w:r>
      <w:r w:rsidRPr="009D719B">
        <w:t>r</w:t>
      </w:r>
      <w:r w:rsidRPr="009D719B">
        <w:t>gan genom s.k. bemanningsuppdrag. I kapitel 7 framkom att det finns två problem förknippade med bemanningsuppdragen. Dels innebär fördelningen av bemanningsuppdrag att vissa förband som redan har vakanser får ett ännu besvärligare kompetensförsörjningsläge, dels fungerar bemanningsuppdragen lönedrivande inom Försvar</w:t>
      </w:r>
      <w:r w:rsidRPr="009D719B">
        <w:t>s</w:t>
      </w:r>
      <w:r w:rsidRPr="009D719B">
        <w:t>makten.</w:t>
      </w:r>
    </w:p>
    <w:p w:rsidR="001F14AF" w:rsidRPr="009D719B" w:rsidRDefault="001F14AF">
      <w:pPr>
        <w:pStyle w:val="Normaltindrag"/>
      </w:pPr>
      <w:r w:rsidRPr="009D719B">
        <w:t>Fördelningen av personer på bemanningsuppdrag fungerar olika i armén, marinen och flygvapnet. Inom armén finns, till skillnad från de övriga fö</w:t>
      </w:r>
      <w:r w:rsidRPr="009D719B">
        <w:t>r</w:t>
      </w:r>
      <w:r w:rsidRPr="009D719B">
        <w:t>svarsgrenarna, ingen samordning mellan förbanden vad gäller bemanning</w:t>
      </w:r>
      <w:r w:rsidRPr="009D719B">
        <w:t>s</w:t>
      </w:r>
      <w:r w:rsidRPr="009D719B">
        <w:t>uppdragen. Armén har också betydligt större problem med kompetensbrist än de övriga försvarsgrenarna. Bemanningsuppdragen inom armén bidrar därför till att förvärra kompetensbristen och försvaga förbandschefens möjligheter att agera som arbetsgivare. Genom en högre grad av samordning mellan förbanden borde situationen åtminstone underlättas inom armén.</w:t>
      </w:r>
    </w:p>
    <w:p w:rsidR="001F14AF" w:rsidRPr="009D719B" w:rsidRDefault="001F14AF">
      <w:pPr>
        <w:pStyle w:val="Normaltindrag"/>
      </w:pPr>
      <w:r w:rsidRPr="009D719B">
        <w:t>Den genomsnittliga lönen för en yrkesofficerare vid Försvarsmaktens skolor och centrum</w:t>
      </w:r>
      <w:r w:rsidRPr="009D719B">
        <w:t xml:space="preserve"> ligger omkring 3 000 kr högre än för en yrkesofficerare i allmänhet. Jämfört med en arméofficer är skillnaden ännu större. </w:t>
      </w:r>
    </w:p>
    <w:p w:rsidR="001F14AF" w:rsidRPr="009D719B" w:rsidRDefault="001F14AF">
      <w:pPr>
        <w:pStyle w:val="Normaltindrag"/>
      </w:pPr>
      <w:r w:rsidRPr="009D719B">
        <w:t>Tjänstgöring vid en skola eller ett centrum kan ses som kompetensutvec</w:t>
      </w:r>
      <w:r w:rsidRPr="009D719B">
        <w:t>k</w:t>
      </w:r>
      <w:r w:rsidRPr="009D719B">
        <w:t>ling för individen. Detta anser Försvarsmakten vara positivt för organisati</w:t>
      </w:r>
      <w:r w:rsidRPr="009D719B">
        <w:t>o</w:t>
      </w:r>
      <w:r w:rsidRPr="009D719B">
        <w:t>nen och det bör därför premieras. Rent formellt finns dock inget behov av att motivera anställda att tjänstgöra på bemanningsuppdrag, eftersom Försvar</w:t>
      </w:r>
      <w:r w:rsidRPr="009D719B">
        <w:t>s</w:t>
      </w:r>
      <w:r w:rsidRPr="009D719B">
        <w:t>makten som arbetsgivare beordrar anställda på bemanningsuppdrag. Enligt Försvarsmaktens egen lönepolicy är det dessutom inte individens kunskaper som ska premieras, utan den befattning som personen innehar och personens prestationer på denna befat</w:t>
      </w:r>
      <w:r w:rsidRPr="009D719B">
        <w:t>t</w:t>
      </w:r>
      <w:r w:rsidRPr="009D719B">
        <w:t>ning.</w:t>
      </w:r>
    </w:p>
    <w:p w:rsidR="001F14AF" w:rsidRPr="009D719B" w:rsidRDefault="001F14AF">
      <w:pPr>
        <w:pStyle w:val="Rubrik3-Utannumrering"/>
      </w:pPr>
      <w:bookmarkStart w:id="221" w:name="_Toc38080874"/>
      <w:r w:rsidRPr="009D719B">
        <w:t>Revisorernas överväganden</w:t>
      </w:r>
      <w:bookmarkEnd w:id="221"/>
    </w:p>
    <w:p w:rsidR="001F14AF" w:rsidRPr="009D719B" w:rsidRDefault="001F14AF">
      <w:r w:rsidRPr="009D719B">
        <w:t>Revisorerna anser att Försvarsmakten i större utsträckning bör styra komp</w:t>
      </w:r>
      <w:r w:rsidRPr="009D719B">
        <w:t>e</w:t>
      </w:r>
      <w:r w:rsidRPr="009D719B">
        <w:t>tensförsörjningen. På så sätt kan problemen med vakanser på kort sikt u</w:t>
      </w:r>
      <w:r w:rsidRPr="009D719B">
        <w:t>n</w:t>
      </w:r>
      <w:r w:rsidRPr="009D719B">
        <w:t>derlättas. En lärdom från den period av omstrukturering och nedläggning som inträffade under år 2000, är att Försvarsmakten i sådana skeden i ännu större utsträckning måste styra lönebildnings- och bemanningsfrågor centralt.</w:t>
      </w:r>
    </w:p>
    <w:p w:rsidR="001F14AF" w:rsidRPr="009D719B" w:rsidRDefault="001F14AF">
      <w:pPr>
        <w:pStyle w:val="Normaltindrag"/>
      </w:pPr>
      <w:r w:rsidRPr="009D719B">
        <w:t>Revisorerna kan konstatera att inlösningen av yrkesofficerarnas befat</w:t>
      </w:r>
      <w:r w:rsidRPr="009D719B">
        <w:t>t</w:t>
      </w:r>
      <w:r w:rsidRPr="009D719B">
        <w:t>ningsgrundade lönetillägg resulterat i problem med lönebilden inom my</w:t>
      </w:r>
      <w:r w:rsidRPr="009D719B">
        <w:t>n</w:t>
      </w:r>
      <w:r w:rsidRPr="009D719B">
        <w:t xml:space="preserve">digheten, samt att lönekostnaderna riskerar att öka på grund av förändringen. Revisorerna anser därför att Försvarsmakten noggrant bör följa upp den genomförda ändringen. </w:t>
      </w:r>
    </w:p>
    <w:p w:rsidR="001F14AF" w:rsidRPr="009D719B" w:rsidRDefault="001F14AF">
      <w:pPr>
        <w:pStyle w:val="Normaltindrag"/>
      </w:pPr>
      <w:r w:rsidRPr="009D719B">
        <w:t>Revisorerna kan också konstatera att Försvarsmaktens personalkostnader inte sjunkit under en period då antalet anställda minskat med en fjärdedel. Kostnaderna för avvecklingen av yrkesofficerare är dessutom mycket hög. Högkvarteret bör därför ta ett större ansvar för a</w:t>
      </w:r>
      <w:r w:rsidRPr="009D719B">
        <w:t xml:space="preserve">vvecklingsinsatserna. De höga personalkostnaderna föranleder enligt revisorerna också en särskilt noggrann uppföljning från regeringen. </w:t>
      </w:r>
      <w:bookmarkStart w:id="222" w:name="_Toc27531350"/>
    </w:p>
    <w:p w:rsidR="001F14AF" w:rsidRPr="009D719B" w:rsidRDefault="001F14AF">
      <w:pPr>
        <w:pStyle w:val="Rubrik2"/>
      </w:pPr>
      <w:bookmarkStart w:id="223" w:name="_Toc32301678"/>
      <w:bookmarkStart w:id="224" w:name="_Toc38080875"/>
      <w:bookmarkStart w:id="225" w:name="_Toc38103380"/>
      <w:r w:rsidRPr="009D719B">
        <w:t>Uppföljningen är otillräc</w:t>
      </w:r>
      <w:r w:rsidRPr="009D719B">
        <w:t>k</w:t>
      </w:r>
      <w:r w:rsidRPr="009D719B">
        <w:t>lig</w:t>
      </w:r>
      <w:bookmarkEnd w:id="222"/>
      <w:bookmarkEnd w:id="223"/>
      <w:bookmarkEnd w:id="224"/>
      <w:bookmarkEnd w:id="225"/>
    </w:p>
    <w:p w:rsidR="001F14AF" w:rsidRPr="009D719B" w:rsidRDefault="001F14AF">
      <w:r w:rsidRPr="009D719B">
        <w:t>Det finns ett antal givna förutsättningar som försämrar Försvarsmaktens möjligheter att bedriva en verksamhetsanpassad arbetsgivarpolitik. Faktorer som t.ex. kårandan, organisationens struktur och omorganiseringar har di</w:t>
      </w:r>
      <w:r w:rsidRPr="009D719B">
        <w:t>s</w:t>
      </w:r>
      <w:r w:rsidRPr="009D719B">
        <w:t>kuterats tidigare i denna rapport. På grund av bl.a. dessa faktorer finns det ett särskilt behov av uppföljning inom just Försvar</w:t>
      </w:r>
      <w:r w:rsidRPr="009D719B">
        <w:t>s</w:t>
      </w:r>
      <w:r w:rsidRPr="009D719B">
        <w:t xml:space="preserve">makten. </w:t>
      </w:r>
    </w:p>
    <w:p w:rsidR="001F14AF" w:rsidRPr="009D719B" w:rsidRDefault="001F14AF">
      <w:pPr>
        <w:pStyle w:val="Normaltindrag"/>
      </w:pPr>
      <w:r w:rsidRPr="009D719B">
        <w:t>Förutsättningarna för uppföljning av Försvarsmaktens arbetsgivarpolitik har också successivt förbättrats genom personalstabens arbete. Myndighetens nya lönepolicy och löneavtalet från år 2001 är exempel på detta. Försvar</w:t>
      </w:r>
      <w:r w:rsidRPr="009D719B">
        <w:t>s</w:t>
      </w:r>
      <w:r w:rsidRPr="009D719B">
        <w:t>maktens lönepolicy är relativt konkret utformad med mål som bör vara lätta att följa upp. Under 2002 har förbanden i varierande omfattning börjat ti</w:t>
      </w:r>
      <w:r w:rsidRPr="009D719B">
        <w:t>l</w:t>
      </w:r>
      <w:r w:rsidRPr="009D719B">
        <w:t>lämpa det system för befattningsvärdering som Försvarsmakten utarbetat tillsammans med de fackliga organisationerna. Befattningsvärderingssyst</w:t>
      </w:r>
      <w:r w:rsidRPr="009D719B">
        <w:t>e</w:t>
      </w:r>
      <w:r w:rsidRPr="009D719B">
        <w:t>met kommer, när det är fullt genomfört, bl.a. att fungera som ett hjälpmedel för att följa upp löneförändringar vid befat</w:t>
      </w:r>
      <w:r w:rsidRPr="009D719B">
        <w:t>t</w:t>
      </w:r>
      <w:r w:rsidRPr="009D719B">
        <w:t xml:space="preserve">ningsbyten. </w:t>
      </w:r>
    </w:p>
    <w:p w:rsidR="001F14AF" w:rsidRPr="009D719B" w:rsidRDefault="001F14AF">
      <w:pPr>
        <w:pStyle w:val="Normaltindrag"/>
      </w:pPr>
      <w:r w:rsidRPr="009D719B">
        <w:t>Trots dessa förbättringar vad gäller förutsättningarna för uppföljning finns det all</w:t>
      </w:r>
      <w:r w:rsidRPr="009D719B">
        <w:t xml:space="preserve">varliga brister i genomförandet av Försvarsmaktens uppföljning av lönebildningen. </w:t>
      </w:r>
    </w:p>
    <w:p w:rsidR="001F14AF" w:rsidRPr="009D719B" w:rsidRDefault="001F14AF">
      <w:pPr>
        <w:pStyle w:val="Rubrik3-Utannumrering"/>
      </w:pPr>
      <w:bookmarkStart w:id="226" w:name="_Toc38080876"/>
      <w:r w:rsidRPr="009D719B">
        <w:t>Uppföljningen är splittrad</w:t>
      </w:r>
      <w:bookmarkEnd w:id="226"/>
    </w:p>
    <w:p w:rsidR="001F14AF" w:rsidRPr="009D719B" w:rsidRDefault="001F14AF">
      <w:r w:rsidRPr="009D719B">
        <w:t>Under de förbandsintervjuer som genomförts för denna granskning har det framkommit att regler för lönebildningen kan vara motstridiga. Vissa fö</w:t>
      </w:r>
      <w:r w:rsidRPr="009D719B">
        <w:t>r</w:t>
      </w:r>
      <w:r w:rsidRPr="009D719B">
        <w:t>band meddelar t.ex. att de överskrider gränsen för ökningen av den totala lönesumman. Vid lönesättning i samband med befattningsbyten ska förba</w:t>
      </w:r>
      <w:r w:rsidRPr="009D719B">
        <w:t>n</w:t>
      </w:r>
      <w:r w:rsidRPr="009D719B">
        <w:t>det samråda med Högkvarterets personalstab. Genom detta samråd kan de ansvariga vid förbandet uppleva att Högkvarteret gett sitt godkännande till lönehöjningen, även om den innebär att den totala lönesumman, utöver lön</w:t>
      </w:r>
      <w:r w:rsidRPr="009D719B">
        <w:t>e</w:t>
      </w:r>
      <w:r w:rsidRPr="009D719B">
        <w:t>rev</w:t>
      </w:r>
      <w:r w:rsidRPr="009D719B">
        <w:t>i</w:t>
      </w:r>
      <w:r w:rsidRPr="009D719B">
        <w:t>sionen, ökar med mer än 0,8 % under året.</w:t>
      </w:r>
    </w:p>
    <w:p w:rsidR="001F14AF" w:rsidRPr="009D719B" w:rsidRDefault="001F14AF">
      <w:pPr>
        <w:pStyle w:val="Normaltindrag"/>
      </w:pPr>
      <w:r w:rsidRPr="009D719B">
        <w:t>Lönebildningen följs upp av personalstaben, medan lönekostnader och fö</w:t>
      </w:r>
      <w:r w:rsidRPr="009D719B">
        <w:t>r</w:t>
      </w:r>
      <w:r w:rsidRPr="009D719B">
        <w:t>bandens ekonomi följs upp av grundorganisationsledningen. Genom att olika delar av Högkvarteret på detta vis följer upp förbanden i olika avseenden, riskerar man att de signaler som up</w:t>
      </w:r>
      <w:r w:rsidRPr="009D719B">
        <w:t>p</w:t>
      </w:r>
      <w:r w:rsidRPr="009D719B">
        <w:t>följningen ger blir motsägelsefulla.</w:t>
      </w:r>
    </w:p>
    <w:p w:rsidR="001F14AF" w:rsidRPr="009D719B" w:rsidRDefault="001F14AF">
      <w:pPr>
        <w:pStyle w:val="Normaltindrag"/>
      </w:pPr>
      <w:r w:rsidRPr="009D719B">
        <w:t>Det uppstår också ett problem med vem som i praktiken har ansvaret för uppföljningen. Vid grundorganisationsledningen menar man att uppföljnin</w:t>
      </w:r>
      <w:r w:rsidRPr="009D719B">
        <w:t>g</w:t>
      </w:r>
      <w:r w:rsidRPr="009D719B">
        <w:t>en av förbandens ekonomi i huvudsak inriktas mot förbandens ekonomiska ramar. Man har inte resurser att i detalj följa upp lönekostnaderna vid de enskilda förbanden. Uppföljningen från personalstabens sida är inte heller inriktad på lönekostnaderna utan på lönebildningen. Resultatet av detta är att uppföljningen av förbandens lönekostnader fallit mellan två stolar och sål</w:t>
      </w:r>
      <w:r w:rsidRPr="009D719B">
        <w:t>e</w:t>
      </w:r>
      <w:r w:rsidRPr="009D719B">
        <w:t>des i mycket begränsad utsträckning varit föremål för uppföl</w:t>
      </w:r>
      <w:r w:rsidRPr="009D719B">
        <w:t>j</w:t>
      </w:r>
      <w:r w:rsidRPr="009D719B">
        <w:t>ning.</w:t>
      </w:r>
    </w:p>
    <w:p w:rsidR="001F14AF" w:rsidRPr="009D719B" w:rsidRDefault="001F14AF">
      <w:pPr>
        <w:pStyle w:val="Rubrik3-Utannumrering"/>
      </w:pPr>
      <w:bookmarkStart w:id="227" w:name="_Toc38080877"/>
      <w:r w:rsidRPr="009D719B">
        <w:t>Uppföljningen är otillräcklig</w:t>
      </w:r>
      <w:bookmarkEnd w:id="227"/>
    </w:p>
    <w:p w:rsidR="001F14AF" w:rsidRPr="009D719B" w:rsidRDefault="001F14AF">
      <w:r w:rsidRPr="009D719B">
        <w:t>Varken inom personalstaben eller inom grundorganisationsledningen finns tillräckliga resurser avsatta för uppföljning av lönebildningen. Inom pers</w:t>
      </w:r>
      <w:r w:rsidRPr="009D719B">
        <w:t>o</w:t>
      </w:r>
      <w:r w:rsidRPr="009D719B">
        <w:t>nalstaben finns villkorssektionen och arbetsgivarrollsfunktionen som har totalt sex anställda. Dessa ska dels fungera som förhandlingspart i lönefö</w:t>
      </w:r>
      <w:r w:rsidRPr="009D719B">
        <w:t>r</w:t>
      </w:r>
      <w:r w:rsidRPr="009D719B">
        <w:t>handlingar m.m. och utarbeta långsiktiga strategier för arbetsgivarpolitiken inom myndigheten, dels följa upp hur arbetsgivarpolitiken bedrivs i en org</w:t>
      </w:r>
      <w:r w:rsidRPr="009D719B">
        <w:t>a</w:t>
      </w:r>
      <w:r w:rsidRPr="009D719B">
        <w:t>nisation med nästan 20 000 anställda och 65 olika organisation</w:t>
      </w:r>
      <w:r w:rsidRPr="009D719B">
        <w:t>s</w:t>
      </w:r>
      <w:r w:rsidRPr="009D719B">
        <w:t>enheter.</w:t>
      </w:r>
    </w:p>
    <w:p w:rsidR="001F14AF" w:rsidRPr="009D719B" w:rsidRDefault="001F14AF">
      <w:pPr>
        <w:pStyle w:val="Normaltindrag"/>
      </w:pPr>
      <w:r w:rsidRPr="009D719B">
        <w:t>Resursbristen inom personalstaben har lett till att samrådet med förbanden i samband med befattningsbyten har avskaffats fr.o.m. år 2003. E</w:t>
      </w:r>
      <w:r w:rsidRPr="009D719B">
        <w:t>nligt för</w:t>
      </w:r>
      <w:r w:rsidRPr="009D719B">
        <w:t>e</w:t>
      </w:r>
      <w:r w:rsidRPr="009D719B">
        <w:t>trädare för de olika förbanden har det hitillsvarande samrådet mellan förba</w:t>
      </w:r>
      <w:r w:rsidRPr="009D719B">
        <w:t>n</w:t>
      </w:r>
      <w:r w:rsidRPr="009D719B">
        <w:t>den och personalstaben vid Högkvarteret mest uppfattats som en formalitet. Ett förband kan ha mellan 50 och 100 ansökningar om löneförändring i sa</w:t>
      </w:r>
      <w:r w:rsidRPr="009D719B">
        <w:t>m</w:t>
      </w:r>
      <w:r w:rsidRPr="009D719B">
        <w:t>band med befattningsbyte på ett år. Personalstaben hade ingen praktisk mö</w:t>
      </w:r>
      <w:r w:rsidRPr="009D719B">
        <w:t>j</w:t>
      </w:r>
      <w:r w:rsidRPr="009D719B">
        <w:t>lighet att kontrollera befattningsbytena. I detta perspektiv kan avskaffandet av samrådet vara den näst bästa lösningen, eftersom det fanns en risk att det icke fungerande samrådet sände ut fel styrsignale</w:t>
      </w:r>
      <w:r w:rsidRPr="009D719B">
        <w:t xml:space="preserve">r till förbanden. Samtidigt ger Högkvarteret upp sitt enda instrument för att följa upp befattningsbyten. </w:t>
      </w:r>
    </w:p>
    <w:p w:rsidR="001F14AF" w:rsidRPr="009D719B" w:rsidRDefault="001F14AF">
      <w:pPr>
        <w:pStyle w:val="Normaltindrag"/>
        <w:rPr>
          <w:b/>
        </w:rPr>
      </w:pPr>
      <w:r w:rsidRPr="009D719B">
        <w:t>Enligt samtliga personer som intervjuats under denna granskning spelar befattningsbyten inom Försvarsmakten en stor, om inte avgörande, roll för löneglidning och brister i lönebildningen. Dessutom indikerar den lönestat</w:t>
      </w:r>
      <w:r w:rsidRPr="009D719B">
        <w:t>i</w:t>
      </w:r>
      <w:r w:rsidRPr="009D719B">
        <w:t>stik som tagits fram för denna granskning, tillsammans med intervjuerna, att befattningsbyten kan leda till en allmän höjning av yrkesofficerarnas lön.</w:t>
      </w:r>
    </w:p>
    <w:p w:rsidR="001F14AF" w:rsidRPr="009D719B" w:rsidRDefault="001F14AF">
      <w:pPr>
        <w:pStyle w:val="Normaltindrag"/>
      </w:pPr>
      <w:r w:rsidRPr="009D719B">
        <w:t>Det mått som används för att styra löneökningarna vid förbanden medför också problem. Förbandens totala lönesumma får enligt Högkvarterets ver</w:t>
      </w:r>
      <w:r w:rsidRPr="009D719B">
        <w:t>k</w:t>
      </w:r>
      <w:r w:rsidRPr="009D719B">
        <w:t>samhetsuppdrag till förbanden inte öka mer än 0,8 %, utöver RALS, under året. Detta tar varken hänsyn till förband som ökar eller som minskar sin personal under året. Förband med vakanser som anställer under året kommer att få en ökning på mer än 0,8 %. Vid förband som däremot minskar sin personalstyrka under året får de kvarvarande anställda mer lönemedel att dela på. Att mäta och begränsa förbandens löneökningar med avseende på förbandens totala lön</w:t>
      </w:r>
      <w:r w:rsidRPr="009D719B">
        <w:t>e</w:t>
      </w:r>
      <w:r w:rsidRPr="009D719B">
        <w:t>summa är således missvisande.</w:t>
      </w:r>
    </w:p>
    <w:p w:rsidR="001F14AF" w:rsidRPr="009D719B" w:rsidRDefault="001F14AF">
      <w:pPr>
        <w:pStyle w:val="Normaltindrag"/>
      </w:pPr>
      <w:r w:rsidRPr="009D719B">
        <w:t>Från personalstaben uppge</w:t>
      </w:r>
      <w:r w:rsidRPr="009D719B">
        <w:t>r man också att Försvarsmakten ännu inte har ett personaladministrativt stödsystem som motsvarar de behov av uppföl</w:t>
      </w:r>
      <w:r w:rsidRPr="009D719B">
        <w:t>j</w:t>
      </w:r>
      <w:r w:rsidRPr="009D719B">
        <w:t>ning som finns. Försvarsmakten har heller inte kunnat leva upp till jä</w:t>
      </w:r>
      <w:r w:rsidRPr="009D719B">
        <w:t>m</w:t>
      </w:r>
      <w:r w:rsidRPr="009D719B">
        <w:t>ställdhetslagens krav på lönekartläggningar. Sammantaget innebär detta att uppföljningens omfattning och kvalitet blir lida</w:t>
      </w:r>
      <w:r w:rsidRPr="009D719B">
        <w:t>n</w:t>
      </w:r>
      <w:r w:rsidRPr="009D719B">
        <w:t>de.</w:t>
      </w:r>
    </w:p>
    <w:p w:rsidR="001F14AF" w:rsidRPr="009D719B" w:rsidRDefault="001F14AF">
      <w:pPr>
        <w:pStyle w:val="Rubrik3-Utannumrering"/>
      </w:pPr>
      <w:bookmarkStart w:id="228" w:name="_Toc38080878"/>
      <w:r w:rsidRPr="009D719B">
        <w:t>Revisorernas överväganden</w:t>
      </w:r>
      <w:bookmarkEnd w:id="228"/>
    </w:p>
    <w:p w:rsidR="001F14AF" w:rsidRPr="009D719B" w:rsidRDefault="001F14AF">
      <w:r w:rsidRPr="009D719B">
        <w:t>Enligt revisorerna är uppföljningen en av kärnfrågorna för att Försvarsma</w:t>
      </w:r>
      <w:r w:rsidRPr="009D719B">
        <w:t>k</w:t>
      </w:r>
      <w:r w:rsidRPr="009D719B">
        <w:t>ten ska kunna stärka sin roll som arbetsgivare. För att kunna dra nytta av de fördelar som ett så delegerat system som Försvarsmakten tillämpar, krävs det att den centrala myndighetsled</w:t>
      </w:r>
      <w:r w:rsidRPr="009D719B">
        <w:softHyphen/>
        <w:t>ningen aktivt följer upp såväl arbetsgivarpol</w:t>
      </w:r>
      <w:r w:rsidRPr="009D719B">
        <w:t>i</w:t>
      </w:r>
      <w:r w:rsidRPr="009D719B">
        <w:t>tik som verksa</w:t>
      </w:r>
      <w:r w:rsidRPr="009D719B">
        <w:t>m</w:t>
      </w:r>
      <w:r w:rsidRPr="009D719B">
        <w:t xml:space="preserve">het och ekonomi vid de olika organisationsenheterna. </w:t>
      </w:r>
    </w:p>
    <w:p w:rsidR="001F14AF" w:rsidRPr="009D719B" w:rsidRDefault="001F14AF">
      <w:pPr>
        <w:pStyle w:val="Normaltindrag"/>
      </w:pPr>
      <w:r w:rsidRPr="009D719B">
        <w:t>I kapitel 8 konstaterades att uppföljning är ett sätt att styra verksamheten. En bristfällig uppföljning ger också vissa signaler till de som ska följas upp, dvs. förbanden. Under intervjuerna har vissa företrä</w:t>
      </w:r>
      <w:r w:rsidRPr="009D719B">
        <w:t>dare för förbanden u</w:t>
      </w:r>
      <w:r w:rsidRPr="009D719B">
        <w:t>t</w:t>
      </w:r>
      <w:r w:rsidRPr="009D719B">
        <w:t>tryckt att uppföljningen inte är tillräcklig. Uppföljningen, och den styrning som uppföljningen innebär, kan vara ett stöd för förbandschefen i förhan</w:t>
      </w:r>
      <w:r w:rsidRPr="009D719B">
        <w:t>d</w:t>
      </w:r>
      <w:r w:rsidRPr="009D719B">
        <w:t>lingen med arbetstagarorgan</w:t>
      </w:r>
      <w:r w:rsidRPr="009D719B">
        <w:t>i</w:t>
      </w:r>
      <w:r w:rsidRPr="009D719B">
        <w:t>sationerna på förbandsnivån.</w:t>
      </w:r>
    </w:p>
    <w:p w:rsidR="001F14AF" w:rsidRPr="009D719B" w:rsidRDefault="001F14AF">
      <w:pPr>
        <w:pStyle w:val="Normaltindrag"/>
      </w:pPr>
      <w:r w:rsidRPr="009D719B">
        <w:t>Revisorerna föreslår därför att regeringen ger Försvarsmakten i uppdrag att utveckla sin uppföljning av arbetsgivarpoliti</w:t>
      </w:r>
      <w:r w:rsidRPr="009D719B">
        <w:softHyphen/>
        <w:t xml:space="preserve">ken. Det är av största vikt att uppföljningsfunktionen ges tillräckligt med resurser och har en stark och tydlig ställning inom organisationen. </w:t>
      </w:r>
    </w:p>
    <w:p w:rsidR="001F14AF" w:rsidRPr="009D719B" w:rsidRDefault="001F14AF">
      <w:pPr>
        <w:pStyle w:val="Rubrik2"/>
      </w:pPr>
      <w:r w:rsidRPr="009D719B">
        <w:t xml:space="preserve"> </w:t>
      </w:r>
      <w:bookmarkStart w:id="229" w:name="_Toc27531353"/>
      <w:bookmarkStart w:id="230" w:name="_Toc32301679"/>
      <w:bookmarkStart w:id="231" w:name="_Toc38080879"/>
      <w:bookmarkStart w:id="232" w:name="_Toc38103381"/>
      <w:r w:rsidRPr="009D719B">
        <w:t>Regering</w:t>
      </w:r>
      <w:bookmarkEnd w:id="229"/>
      <w:r w:rsidRPr="009D719B">
        <w:t>ens ansvar</w:t>
      </w:r>
      <w:bookmarkEnd w:id="230"/>
      <w:bookmarkEnd w:id="231"/>
      <w:bookmarkEnd w:id="232"/>
    </w:p>
    <w:p w:rsidR="001F14AF" w:rsidRPr="009D719B" w:rsidRDefault="001F14AF">
      <w:r w:rsidRPr="009D719B">
        <w:t>Genom tidigare utvärderingar av det delegerade arbetsgivaransvaret kan man sluta sig till att regeringen förväntas dels ställa krav på myndighetens arbet</w:t>
      </w:r>
      <w:r w:rsidRPr="009D719B">
        <w:t>s</w:t>
      </w:r>
      <w:r w:rsidRPr="009D719B">
        <w:t>givarpolitik, dels följa upp den. I denna granskning har det framkommit att Försvarsdepartementet brister i båda dessa hänseenden.</w:t>
      </w:r>
    </w:p>
    <w:p w:rsidR="001F14AF" w:rsidRPr="009D719B" w:rsidRDefault="001F14AF">
      <w:pPr>
        <w:pStyle w:val="Normaltindrag"/>
      </w:pPr>
      <w:r w:rsidRPr="009D719B">
        <w:t>I ett system med delegerat arbetsgivaransvar är det inte regeringens uppgift att styra arbetsgivarpolitiken inom myndigheten. Däremot måste depart</w:t>
      </w:r>
      <w:r w:rsidRPr="009D719B">
        <w:t>e</w:t>
      </w:r>
      <w:r w:rsidRPr="009D719B">
        <w:t>mentet kunna ställa krav på att myndigheten, i detta fall Försvarsmakten, utövar sin arbetsgivarpolitik på ett effektivt sätt. Granskningen har visat att Försvarsdepartementet inte har ställt tillräckliga krav på Försvarsmaktens arbetsgivarpolitik. I två för arbetsgivarpolitikens genomförande och uppföl</w:t>
      </w:r>
      <w:r w:rsidRPr="009D719B">
        <w:t>j</w:t>
      </w:r>
      <w:r w:rsidRPr="009D719B">
        <w:t>ning så viktiga frågor som befattningstid och personalredovisning har Fö</w:t>
      </w:r>
      <w:r w:rsidRPr="009D719B">
        <w:t>r</w:t>
      </w:r>
      <w:r w:rsidRPr="009D719B">
        <w:t>svarsdepartementet haft en klar uppfattning om hur myndigheten borde ag</w:t>
      </w:r>
      <w:r w:rsidRPr="009D719B">
        <w:t>e</w:t>
      </w:r>
      <w:r w:rsidRPr="009D719B">
        <w:t>ra, men inte kunnat framställa detta som krav till Försvarsma</w:t>
      </w:r>
      <w:r w:rsidRPr="009D719B">
        <w:t>kten. En föru</w:t>
      </w:r>
      <w:r w:rsidRPr="009D719B">
        <w:t>t</w:t>
      </w:r>
      <w:r w:rsidRPr="009D719B">
        <w:t>sättning för att regeringen ska kunna bedriva en fungerande uppföljning av Försvarsmaktens arbetsgivarpolitik är också att man kan erhålla de uppgifter man anser sig behöva från Försvarsma</w:t>
      </w:r>
      <w:r w:rsidRPr="009D719B">
        <w:t>k</w:t>
      </w:r>
      <w:r w:rsidRPr="009D719B">
        <w:t>ten.</w:t>
      </w:r>
    </w:p>
    <w:p w:rsidR="001F14AF" w:rsidRPr="009D719B" w:rsidRDefault="001F14AF">
      <w:pPr>
        <w:pStyle w:val="Normaltindrag"/>
      </w:pPr>
      <w:r w:rsidRPr="009D719B">
        <w:t>Det faktum att regeringen, som RRV uppmärksammat, tilldelat Försvar</w:t>
      </w:r>
      <w:r w:rsidRPr="009D719B">
        <w:t>s</w:t>
      </w:r>
      <w:r w:rsidRPr="009D719B">
        <w:t>makten ett omställningsbidrag på 3 miljarder kr för år 2002, utan att ställa några krav på återrapportering av hur dessa medel använts, ser revisorerna som myc</w:t>
      </w:r>
      <w:r w:rsidRPr="009D719B">
        <w:t>k</w:t>
      </w:r>
      <w:r w:rsidRPr="009D719B">
        <w:t>et allvarligt.</w:t>
      </w:r>
    </w:p>
    <w:p w:rsidR="001F14AF" w:rsidRPr="009D719B" w:rsidRDefault="001F14AF">
      <w:pPr>
        <w:pStyle w:val="Normaltindrag"/>
      </w:pPr>
      <w:r w:rsidRPr="009D719B">
        <w:t>Sammantaget uppvisar Försvarsmakten en rad olika tecken som skulle motivera en särskilt noggrann uppföljning av arbetsgivarpolitiken och lön</w:t>
      </w:r>
      <w:r w:rsidRPr="009D719B">
        <w:t>e</w:t>
      </w:r>
      <w:r w:rsidRPr="009D719B">
        <w:t>bildningen i synnerhet. Försvarsmakten har under senare år uppvisat kraftiga löneökningar, samtidigt som man rapporterat kompetensbrister. Även den pågående omstruktureringen ser revisorerna som ett mycket viktigt argument för att noggrant följa arbetsgivarpolitiken vid Försvarsmakten. Omstruktur</w:t>
      </w:r>
      <w:r w:rsidRPr="009D719B">
        <w:t>e</w:t>
      </w:r>
      <w:r w:rsidRPr="009D719B">
        <w:t>ringen bör inte användas som en undanflykt för att skjuta upp en uppföljning av myndigheten.</w:t>
      </w:r>
    </w:p>
    <w:p w:rsidR="001F14AF" w:rsidRPr="009D719B" w:rsidRDefault="001F14AF">
      <w:pPr>
        <w:pStyle w:val="Normaltindrag"/>
      </w:pPr>
      <w:r w:rsidRPr="009D719B">
        <w:t>I revisorernas granskning av styrningen av försvarets materielförsörjning (2001/02:RR7) konstaterades att Försvarsdepart</w:t>
      </w:r>
      <w:r w:rsidRPr="009D719B">
        <w:t>ementet inte hade tillräcklig kompetens för att fatta strategiska beslut eller för att ompröva myndighete</w:t>
      </w:r>
      <w:r w:rsidRPr="009D719B">
        <w:t>r</w:t>
      </w:r>
      <w:r w:rsidRPr="009D719B">
        <w:t xml:space="preserve">nas beslutsunderlag. Revisorerna kan nu konstatera att departementet även vad gäller arbetsgivarpolitiken saknar kompetens och resurser. Riksdagens revisorer vill poängtera att regeringen har ett ansvar för arbetsgivarpolitiken vid myndigheterna. I detta ansvar ingår att ställa krav på myndigheten och att följa upp att kraven efterlevs. </w:t>
      </w:r>
    </w:p>
    <w:p w:rsidR="001F14AF" w:rsidRPr="009D719B" w:rsidRDefault="001F14AF">
      <w:pPr>
        <w:pStyle w:val="Rubrik3-Utannumrering"/>
      </w:pPr>
      <w:bookmarkStart w:id="233" w:name="_Toc38080880"/>
      <w:r w:rsidRPr="009D719B">
        <w:t>Revisorernas överväganden</w:t>
      </w:r>
      <w:bookmarkEnd w:id="233"/>
    </w:p>
    <w:p w:rsidR="001F14AF" w:rsidRPr="009D719B" w:rsidRDefault="001F14AF">
      <w:r w:rsidRPr="009D719B">
        <w:t>Riksdagens revisorer har tidigare, i likhet med utredningen om den arbetsg</w:t>
      </w:r>
      <w:r w:rsidRPr="009D719B">
        <w:t>i</w:t>
      </w:r>
      <w:r w:rsidRPr="009D719B">
        <w:t>varpolitiska delegeringen i staten (SOU 2002:32), förespråkat en fördjupad uppföljning av myndigheternas arbetsgivarpolitik från regeringens sida (2002/03:RR2). Arbetsgivarpolitikutredningen föreslog att denna uppföljning samlas i en stabsmyndighet under regeringen. Granskningen av arbetsgiva</w:t>
      </w:r>
      <w:r w:rsidRPr="009D719B">
        <w:t>r</w:t>
      </w:r>
      <w:r w:rsidRPr="009D719B">
        <w:t>politiken inom Försvarsmakten understryker enligt revisorerna behovet av en sådan uppföljning.</w:t>
      </w:r>
    </w:p>
    <w:p w:rsidR="001F14AF" w:rsidRPr="009D719B" w:rsidRDefault="001F14AF">
      <w:pPr>
        <w:pStyle w:val="Normaltindrag"/>
      </w:pPr>
      <w:r w:rsidRPr="009D719B">
        <w:t>Revisorerna vill även påpeka vikten av att såväl Försvarsdepartementet som övriga departement har tillräcklig kompetens fö</w:t>
      </w:r>
      <w:r w:rsidRPr="009D719B">
        <w:t>r att kunna hantera den information som en fristående uppföljning av arbetsgivarpolitiken vid my</w:t>
      </w:r>
      <w:r w:rsidRPr="009D719B">
        <w:t>n</w:t>
      </w:r>
      <w:r w:rsidRPr="009D719B">
        <w:t>digheterna skulle generera. Även om uppföljningen görs utanför Regering</w:t>
      </w:r>
      <w:r w:rsidRPr="009D719B">
        <w:t>s</w:t>
      </w:r>
      <w:r w:rsidRPr="009D719B">
        <w:t>kansliet måste departementen ha kompetens att ställa krav på myndigh</w:t>
      </w:r>
      <w:r w:rsidRPr="009D719B">
        <w:t>e</w:t>
      </w:r>
      <w:r w:rsidRPr="009D719B">
        <w:t xml:space="preserve">terna. </w:t>
      </w:r>
    </w:p>
    <w:p w:rsidR="001F14AF" w:rsidRPr="009D719B" w:rsidRDefault="001F14AF">
      <w:r w:rsidRPr="009D719B">
        <w:t>Inom Försvarsdepartementet råder också en långtgående växeltjänstgöring mellan myndighetens och departementets tjänstemän. Revisorerna kan se att det finns vissa fördelar med detta, men att det även finns nackdelar och u</w:t>
      </w:r>
      <w:r w:rsidRPr="009D719B">
        <w:t>p</w:t>
      </w:r>
      <w:r w:rsidRPr="009D719B">
        <w:t>penbara risker, speciellt med tanke på departementets ovilja att styra och följa upp Försvarsmakten. Revisorerna föreslår att regeringen noggrant öve</w:t>
      </w:r>
      <w:r w:rsidRPr="009D719B">
        <w:t>r</w:t>
      </w:r>
      <w:r w:rsidRPr="009D719B">
        <w:t>väger fördelar och nackdelar med det nuvarande personalsamarbetet med Försvarsmakten.</w:t>
      </w:r>
    </w:p>
    <w:p w:rsidR="001F14AF" w:rsidRPr="009D719B" w:rsidRDefault="001F14AF">
      <w:pPr>
        <w:pStyle w:val="Rubrik2"/>
      </w:pPr>
      <w:bookmarkStart w:id="234" w:name="_Toc32301680"/>
      <w:bookmarkStart w:id="235" w:name="_Toc38080881"/>
      <w:bookmarkStart w:id="236" w:name="_Toc38103382"/>
      <w:r w:rsidRPr="009D719B">
        <w:t>Sammanfattning av revisorernas slutsatser</w:t>
      </w:r>
      <w:bookmarkEnd w:id="234"/>
      <w:bookmarkEnd w:id="235"/>
      <w:bookmarkEnd w:id="236"/>
    </w:p>
    <w:p w:rsidR="001F14AF" w:rsidRPr="009D719B" w:rsidRDefault="001F14AF">
      <w:pPr>
        <w:numPr>
          <w:ilvl w:val="0"/>
          <w:numId w:val="47"/>
        </w:numPr>
      </w:pPr>
      <w:r w:rsidRPr="009D719B">
        <w:t>Högkvarterets organisation är splittrad vad gäller arbetsgivarfrågor. Detta leder till oklara ansvarsområden och motstridiga styrsignaler. R</w:t>
      </w:r>
      <w:r w:rsidRPr="009D719B">
        <w:t>e</w:t>
      </w:r>
      <w:r w:rsidRPr="009D719B">
        <w:t>geringen bör ge Försvarsmakten i uppdrag att se över hur ansvaret för lönebildningen inom myndigheten kan tydligg</w:t>
      </w:r>
      <w:r w:rsidRPr="009D719B">
        <w:t>ö</w:t>
      </w:r>
      <w:r w:rsidRPr="009D719B">
        <w:t xml:space="preserve">ras. </w:t>
      </w:r>
    </w:p>
    <w:p w:rsidR="001F14AF" w:rsidRPr="009D719B" w:rsidRDefault="001F14AF">
      <w:pPr>
        <w:numPr>
          <w:ilvl w:val="0"/>
          <w:numId w:val="47"/>
        </w:numPr>
      </w:pPr>
      <w:r w:rsidRPr="009D719B">
        <w:t>Försvarsmaktens styrning av arbetsgivarpolitiken är svag, framför allt vad gäller kompetens- och bemanningsfrågor. Revisorerna anser att Fö</w:t>
      </w:r>
      <w:r w:rsidRPr="009D719B">
        <w:t>r</w:t>
      </w:r>
      <w:r w:rsidRPr="009D719B">
        <w:t>svarsmakten i större utsträckning bör styra kompetensförsörjningen. V</w:t>
      </w:r>
      <w:r w:rsidRPr="009D719B">
        <w:t>i</w:t>
      </w:r>
      <w:r w:rsidRPr="009D719B">
        <w:t>dare bör Försvarsmakten och regeringen noga följa Försvarsmaktens höga personalkostnader, framför allt med tanke på avvecklingskostn</w:t>
      </w:r>
      <w:r w:rsidRPr="009D719B">
        <w:t>a</w:t>
      </w:r>
      <w:r w:rsidRPr="009D719B">
        <w:t>derna för yrkesoff</w:t>
      </w:r>
      <w:r w:rsidRPr="009D719B">
        <w:t>i</w:t>
      </w:r>
      <w:r w:rsidRPr="009D719B">
        <w:t>cerarna samt de avskaffade lönetilläggen.</w:t>
      </w:r>
    </w:p>
    <w:p w:rsidR="001F14AF" w:rsidRPr="009D719B" w:rsidRDefault="001F14AF">
      <w:pPr>
        <w:numPr>
          <w:ilvl w:val="0"/>
          <w:numId w:val="47"/>
        </w:numPr>
      </w:pPr>
      <w:r w:rsidRPr="009D719B">
        <w:t>Revisorerna anser att uppföljningen av arbetsgivarpolitiken är en kär</w:t>
      </w:r>
      <w:r w:rsidRPr="009D719B">
        <w:t>n</w:t>
      </w:r>
      <w:r w:rsidRPr="009D719B">
        <w:t>fråga för Försvarsmakten. Uppföljningen är bristfällig bl.a. på grund av splittringen inom Högkvarteret och otillräckliga resurser för uppföljning inom personalstaben och grundorganisationsledningen. Regeringen bör ge Försvarsmakten i uppdrag att utveckla uppföljningen av arbetsgiva</w:t>
      </w:r>
      <w:r w:rsidRPr="009D719B">
        <w:t>r</w:t>
      </w:r>
      <w:r w:rsidRPr="009D719B">
        <w:t>politiken. Uppföljningsfunktionen inom myndigheten bör ha tillräckligt med resurser samt ha en stark och tydlig ställning inom org</w:t>
      </w:r>
      <w:r w:rsidRPr="009D719B">
        <w:t>a</w:t>
      </w:r>
      <w:r w:rsidRPr="009D719B">
        <w:t xml:space="preserve">nisationen. </w:t>
      </w:r>
    </w:p>
    <w:p w:rsidR="001F14AF" w:rsidRPr="009D719B" w:rsidRDefault="001F14AF">
      <w:pPr>
        <w:numPr>
          <w:ilvl w:val="0"/>
          <w:numId w:val="49"/>
        </w:numPr>
      </w:pPr>
      <w:r w:rsidRPr="009D719B">
        <w:t>Försvarsdepartementet har brustit i sitt ansvar att följa upp och ställa krav på Fö</w:t>
      </w:r>
      <w:r w:rsidRPr="009D719B">
        <w:t>rsvarsmaktens arbetsgivarpolitik. Regeringen bör agera u</w:t>
      </w:r>
      <w:r w:rsidRPr="009D719B">
        <w:t>t</w:t>
      </w:r>
      <w:r w:rsidRPr="009D719B">
        <w:t>ifrån tidigare förslag från revisorerna (2002/03:RR2) och Arbetsgiva</w:t>
      </w:r>
      <w:r w:rsidRPr="009D719B">
        <w:t>r</w:t>
      </w:r>
      <w:r w:rsidRPr="009D719B">
        <w:t>politikutredningen (SOU 2002:32) om fördjupad uppföljning av arbet</w:t>
      </w:r>
      <w:r w:rsidRPr="009D719B">
        <w:t>s</w:t>
      </w:r>
      <w:r w:rsidRPr="009D719B">
        <w:t>givarpolitiken vid myndigheterna. Dessutom bör såväl Försvarsdepa</w:t>
      </w:r>
      <w:r w:rsidRPr="009D719B">
        <w:t>r</w:t>
      </w:r>
      <w:r w:rsidRPr="009D719B">
        <w:t>tementet som övriga departement ha tillräcklig kompetens för att kunna hantera den inform</w:t>
      </w:r>
      <w:r w:rsidRPr="009D719B">
        <w:t>a</w:t>
      </w:r>
      <w:r w:rsidRPr="009D719B">
        <w:t>tion som uppföljningen kan generera.</w:t>
      </w:r>
    </w:p>
    <w:p w:rsidR="001F14AF" w:rsidRPr="009D719B" w:rsidRDefault="001F14AF">
      <w:pPr>
        <w:pStyle w:val="Rubrik1-Utannumrering"/>
      </w:pPr>
      <w:r w:rsidRPr="009D719B">
        <w:br w:type="page"/>
      </w:r>
      <w:bookmarkStart w:id="237" w:name="_Toc32301681"/>
      <w:bookmarkStart w:id="238" w:name="_Toc38080882"/>
      <w:bookmarkStart w:id="239" w:name="_Toc38103383"/>
      <w:r w:rsidRPr="009D719B">
        <w:t>Referenser</w:t>
      </w:r>
      <w:bookmarkEnd w:id="237"/>
      <w:bookmarkEnd w:id="238"/>
      <w:bookmarkEnd w:id="239"/>
    </w:p>
    <w:p w:rsidR="001F14AF" w:rsidRPr="009D719B" w:rsidRDefault="001F14AF">
      <w:pPr>
        <w:jc w:val="left"/>
      </w:pPr>
      <w:r w:rsidRPr="009D719B">
        <w:t xml:space="preserve">Arbetsgivarverket 2002, </w:t>
      </w:r>
      <w:r w:rsidRPr="009D719B">
        <w:rPr>
          <w:i/>
        </w:rPr>
        <w:t>Att sätta lön – Stöd för chefer i statlig verksamhet</w:t>
      </w:r>
    </w:p>
    <w:p w:rsidR="001F14AF" w:rsidRPr="009D719B" w:rsidRDefault="001F14AF">
      <w:r w:rsidRPr="009D719B">
        <w:t xml:space="preserve">Betänkande 1991/92:FöU12, </w:t>
      </w:r>
      <w:r w:rsidRPr="009D719B">
        <w:rPr>
          <w:i/>
        </w:rPr>
        <w:t>Totalförsvarets fortsatta utveckling 1992/93–1996/97</w:t>
      </w:r>
      <w:r w:rsidRPr="009D719B">
        <w:t xml:space="preserve"> </w:t>
      </w:r>
    </w:p>
    <w:p w:rsidR="001F14AF" w:rsidRPr="009D719B" w:rsidRDefault="001F14AF">
      <w:r w:rsidRPr="009D719B">
        <w:t xml:space="preserve">Betänkande 1996/97:FöU1, </w:t>
      </w:r>
      <w:r w:rsidRPr="009D719B">
        <w:rPr>
          <w:i/>
        </w:rPr>
        <w:t>Sveriges försvarspolitik mot sekel-skiftet</w:t>
      </w:r>
      <w:r w:rsidRPr="009D719B">
        <w:t xml:space="preserve"> </w:t>
      </w:r>
    </w:p>
    <w:p w:rsidR="001F14AF" w:rsidRPr="009D719B" w:rsidRDefault="001F14AF">
      <w:r w:rsidRPr="009D719B">
        <w:t xml:space="preserve">Betänkande 1997/98:FöU10, </w:t>
      </w:r>
      <w:r w:rsidRPr="009D719B">
        <w:rPr>
          <w:i/>
        </w:rPr>
        <w:t>Förändrad styrning av Försvars-makten</w:t>
      </w:r>
      <w:r w:rsidRPr="009D719B">
        <w:t xml:space="preserve"> </w:t>
      </w:r>
    </w:p>
    <w:p w:rsidR="001F14AF" w:rsidRPr="009D719B" w:rsidRDefault="001F14AF">
      <w:r w:rsidRPr="009D719B">
        <w:t xml:space="preserve">Betänkande 1999/2000:FöU2, </w:t>
      </w:r>
      <w:r w:rsidRPr="009D719B">
        <w:rPr>
          <w:i/>
        </w:rPr>
        <w:t>Det nya försvaret</w:t>
      </w:r>
    </w:p>
    <w:p w:rsidR="001F14AF" w:rsidRPr="009D719B" w:rsidRDefault="001F14AF">
      <w:r w:rsidRPr="009D719B">
        <w:t xml:space="preserve">Betänkande 2001/02:FöU2, </w:t>
      </w:r>
      <w:r w:rsidRPr="009D719B">
        <w:rPr>
          <w:i/>
        </w:rPr>
        <w:t xml:space="preserve">Försvarsbeslut för 2002–2004 </w:t>
      </w:r>
    </w:p>
    <w:p w:rsidR="001F14AF" w:rsidRPr="009D719B" w:rsidRDefault="001F14AF">
      <w:r w:rsidRPr="009D719B">
        <w:t xml:space="preserve">Betänkande 2001/02:FöU7, </w:t>
      </w:r>
      <w:r w:rsidRPr="009D719B">
        <w:rPr>
          <w:i/>
        </w:rPr>
        <w:t>Försvarsmaktens personal</w:t>
      </w:r>
    </w:p>
    <w:p w:rsidR="001F14AF" w:rsidRPr="009D719B" w:rsidRDefault="001F14AF">
      <w:r w:rsidRPr="009D719B">
        <w:t xml:space="preserve">Ds 2001:45 (ESO), </w:t>
      </w:r>
      <w:r w:rsidRPr="009D719B">
        <w:rPr>
          <w:i/>
        </w:rPr>
        <w:t>I rikets tjänst</w:t>
      </w:r>
    </w:p>
    <w:p w:rsidR="001F14AF" w:rsidRPr="009D719B" w:rsidRDefault="001F14AF">
      <w:pPr>
        <w:rPr>
          <w:i/>
        </w:rPr>
      </w:pPr>
      <w:r w:rsidRPr="009D719B">
        <w:t xml:space="preserve">Ekonomistyrningsverket 2001-06-01, </w:t>
      </w:r>
      <w:r w:rsidRPr="009D719B">
        <w:rPr>
          <w:i/>
        </w:rPr>
        <w:t>Förstudie om Försvars-maktens ek</w:t>
      </w:r>
      <w:r w:rsidRPr="009D719B">
        <w:rPr>
          <w:i/>
        </w:rPr>
        <w:t>o</w:t>
      </w:r>
      <w:r w:rsidRPr="009D719B">
        <w:rPr>
          <w:i/>
        </w:rPr>
        <w:t>nomiska läge m.m.</w:t>
      </w:r>
    </w:p>
    <w:p w:rsidR="001F14AF" w:rsidRPr="009D719B" w:rsidRDefault="001F14AF">
      <w:r w:rsidRPr="009D719B">
        <w:t xml:space="preserve">Förordning (1976:1021) om statliga kollektivavtal, m.m. </w:t>
      </w:r>
    </w:p>
    <w:p w:rsidR="001F14AF" w:rsidRPr="009D719B" w:rsidRDefault="001F14AF">
      <w:r w:rsidRPr="009D719B">
        <w:t xml:space="preserve">Förordning (1995:1322) – Verksförordning </w:t>
      </w:r>
    </w:p>
    <w:p w:rsidR="001F14AF" w:rsidRPr="009D719B" w:rsidRDefault="001F14AF">
      <w:pPr>
        <w:jc w:val="left"/>
      </w:pPr>
      <w:r w:rsidRPr="009D719B">
        <w:t xml:space="preserve">Försvarsmakten 2002-03-01, </w:t>
      </w:r>
      <w:r w:rsidRPr="009D719B">
        <w:rPr>
          <w:i/>
        </w:rPr>
        <w:t>Försvarsmaktens Budgetunderlag för år 2003 med Särskilda redovisningar</w:t>
      </w:r>
    </w:p>
    <w:p w:rsidR="001F14AF" w:rsidRPr="009D719B" w:rsidRDefault="001F14AF">
      <w:pPr>
        <w:jc w:val="left"/>
      </w:pPr>
      <w:r w:rsidRPr="009D719B">
        <w:t xml:space="preserve">Försvarsmakten, Högkvarteret PERS 2002-02-25, </w:t>
      </w:r>
      <w:r w:rsidRPr="009D719B">
        <w:rPr>
          <w:i/>
        </w:rPr>
        <w:t>Uppföljning av FM o</w:t>
      </w:r>
      <w:r w:rsidRPr="009D719B">
        <w:rPr>
          <w:i/>
        </w:rPr>
        <w:t>m</w:t>
      </w:r>
      <w:r w:rsidRPr="009D719B">
        <w:rPr>
          <w:i/>
        </w:rPr>
        <w:t>struktur</w:t>
      </w:r>
      <w:r w:rsidRPr="009D719B">
        <w:rPr>
          <w:i/>
        </w:rPr>
        <w:t>e</w:t>
      </w:r>
      <w:r w:rsidRPr="009D719B">
        <w:rPr>
          <w:i/>
        </w:rPr>
        <w:t>ring, Personal. Utfall januari–december 2002</w:t>
      </w:r>
    </w:p>
    <w:p w:rsidR="001F14AF" w:rsidRPr="009D719B" w:rsidRDefault="001F14AF">
      <w:pPr>
        <w:rPr>
          <w:i/>
        </w:rPr>
      </w:pPr>
      <w:r w:rsidRPr="009D719B">
        <w:t xml:space="preserve">Försvarsmakten, rapport 2002-06-27, </w:t>
      </w:r>
      <w:r w:rsidRPr="009D719B">
        <w:rPr>
          <w:i/>
        </w:rPr>
        <w:t>Utredningen 2002 om Försvarsma</w:t>
      </w:r>
      <w:r w:rsidRPr="009D719B">
        <w:rPr>
          <w:i/>
        </w:rPr>
        <w:t>k</w:t>
      </w:r>
      <w:r w:rsidRPr="009D719B">
        <w:rPr>
          <w:i/>
        </w:rPr>
        <w:t>tens centrala ledning LU 02</w:t>
      </w:r>
    </w:p>
    <w:p w:rsidR="001F14AF" w:rsidRPr="009D719B" w:rsidRDefault="001F14AF">
      <w:r w:rsidRPr="009D719B">
        <w:t>Försvarsmaktens årsredovisningar 1996–2001</w:t>
      </w:r>
    </w:p>
    <w:p w:rsidR="001F14AF" w:rsidRPr="009D719B" w:rsidRDefault="001F14AF">
      <w:r w:rsidRPr="009D719B">
        <w:t xml:space="preserve">Offentliganställdas förhandlingsråd (OFR) 2002, </w:t>
      </w:r>
      <w:r w:rsidRPr="009D719B">
        <w:rPr>
          <w:i/>
        </w:rPr>
        <w:t>Rals 2001 – Signalfel i avtalsspåret</w:t>
      </w:r>
    </w:p>
    <w:p w:rsidR="001F14AF" w:rsidRPr="009D719B" w:rsidRDefault="001F14AF">
      <w:r w:rsidRPr="009D719B">
        <w:t xml:space="preserve">Officersförbundet 2000-05-18, </w:t>
      </w:r>
      <w:r w:rsidRPr="009D719B">
        <w:rPr>
          <w:i/>
        </w:rPr>
        <w:t>Yttrande över Riksrevisionsverkets rapport ”Former för lönebildning m m inom Försvarsmakten” och Försvarsmaktens yttrande</w:t>
      </w:r>
    </w:p>
    <w:p w:rsidR="001F14AF" w:rsidRPr="009D719B" w:rsidRDefault="001F14AF">
      <w:r w:rsidRPr="009D719B">
        <w:t xml:space="preserve">Pliktverket 2002, </w:t>
      </w:r>
      <w:r w:rsidRPr="009D719B">
        <w:rPr>
          <w:i/>
        </w:rPr>
        <w:t>Statistikrapport för 2001</w:t>
      </w:r>
    </w:p>
    <w:p w:rsidR="001F14AF" w:rsidRPr="009D719B" w:rsidRDefault="001F14AF">
      <w:pPr>
        <w:jc w:val="left"/>
      </w:pPr>
      <w:r w:rsidRPr="009D719B">
        <w:t xml:space="preserve">Proposition 1991/92:102, </w:t>
      </w:r>
      <w:r w:rsidRPr="009D719B">
        <w:rPr>
          <w:i/>
        </w:rPr>
        <w:t>Totalförsvarets utveckling till och med budgetåret 1996/97 samt anslag för budgetåret 1992/93</w:t>
      </w:r>
    </w:p>
    <w:p w:rsidR="001F14AF" w:rsidRPr="009D719B" w:rsidRDefault="001F14AF">
      <w:pPr>
        <w:jc w:val="left"/>
      </w:pPr>
      <w:r w:rsidRPr="009D719B">
        <w:t xml:space="preserve">Proposition 1995/96:12, </w:t>
      </w:r>
      <w:r w:rsidRPr="009D719B">
        <w:rPr>
          <w:i/>
        </w:rPr>
        <w:t>Totalförsvar i förnyelse</w:t>
      </w:r>
    </w:p>
    <w:p w:rsidR="001F14AF" w:rsidRPr="009D719B" w:rsidRDefault="001F14AF">
      <w:pPr>
        <w:jc w:val="left"/>
      </w:pPr>
      <w:r w:rsidRPr="009D719B">
        <w:t xml:space="preserve">Proposition 1996/97:4, </w:t>
      </w:r>
      <w:r w:rsidRPr="009D719B">
        <w:rPr>
          <w:i/>
        </w:rPr>
        <w:t>Totalförsvar i förnyelse – etapp 2</w:t>
      </w:r>
    </w:p>
    <w:p w:rsidR="001F14AF" w:rsidRPr="009D719B" w:rsidRDefault="001F14AF">
      <w:pPr>
        <w:jc w:val="left"/>
      </w:pPr>
      <w:r w:rsidRPr="009D719B">
        <w:t xml:space="preserve">Proposition 1997/98:83, </w:t>
      </w:r>
      <w:r w:rsidRPr="009D719B">
        <w:rPr>
          <w:i/>
        </w:rPr>
        <w:t>Förändrad styrning av Försvarsmakten m.m.</w:t>
      </w:r>
    </w:p>
    <w:p w:rsidR="001F14AF" w:rsidRPr="009D719B" w:rsidRDefault="001F14AF">
      <w:pPr>
        <w:jc w:val="left"/>
      </w:pPr>
      <w:r w:rsidRPr="009D719B">
        <w:t xml:space="preserve">Proposition 1999/2000:30, </w:t>
      </w:r>
      <w:r w:rsidRPr="009D719B">
        <w:rPr>
          <w:i/>
        </w:rPr>
        <w:t>Det nya försvaret</w:t>
      </w:r>
    </w:p>
    <w:p w:rsidR="001F14AF" w:rsidRPr="009D719B" w:rsidRDefault="001F14AF">
      <w:pPr>
        <w:jc w:val="left"/>
      </w:pPr>
      <w:r w:rsidRPr="009D719B">
        <w:t xml:space="preserve">Proposition 2001/02:10, </w:t>
      </w:r>
      <w:r w:rsidRPr="009D719B">
        <w:rPr>
          <w:i/>
        </w:rPr>
        <w:t>Fortsatt förnyelse av totalförsvaret</w:t>
      </w:r>
    </w:p>
    <w:p w:rsidR="001F14AF" w:rsidRPr="009D719B" w:rsidRDefault="001F14AF">
      <w:r w:rsidRPr="009D719B">
        <w:t xml:space="preserve">Riksdagens revisorer, förstudie 2001/02:20, </w:t>
      </w:r>
      <w:r w:rsidRPr="009D719B">
        <w:rPr>
          <w:i/>
        </w:rPr>
        <w:t>Arbetsgivarpolitiken inom Fö</w:t>
      </w:r>
      <w:r w:rsidRPr="009D719B">
        <w:rPr>
          <w:i/>
        </w:rPr>
        <w:t>r</w:t>
      </w:r>
      <w:r w:rsidRPr="009D719B">
        <w:rPr>
          <w:i/>
        </w:rPr>
        <w:t>svarsmakten</w:t>
      </w:r>
    </w:p>
    <w:p w:rsidR="001F14AF" w:rsidRPr="009D719B" w:rsidRDefault="001F14AF">
      <w:pPr>
        <w:jc w:val="left"/>
        <w:rPr>
          <w:i/>
        </w:rPr>
      </w:pPr>
      <w:r w:rsidRPr="009D719B">
        <w:t xml:space="preserve">Riksdagens revisorer, informationsrapport 2000/01:1, </w:t>
      </w:r>
      <w:r w:rsidRPr="009D719B">
        <w:rPr>
          <w:i/>
        </w:rPr>
        <w:t>Försvarsmaktens personalförsörjning</w:t>
      </w:r>
    </w:p>
    <w:p w:rsidR="001F14AF" w:rsidRPr="009D719B" w:rsidRDefault="001F14AF">
      <w:pPr>
        <w:jc w:val="left"/>
      </w:pPr>
      <w:r w:rsidRPr="009D719B">
        <w:t xml:space="preserve">Riksdagens revisorer, informationsrapport 2001/02:1, </w:t>
      </w:r>
      <w:r w:rsidRPr="009D719B">
        <w:rPr>
          <w:i/>
        </w:rPr>
        <w:t>Domarlöner</w:t>
      </w:r>
    </w:p>
    <w:p w:rsidR="001F14AF" w:rsidRPr="009D719B" w:rsidRDefault="001F14AF">
      <w:pPr>
        <w:jc w:val="left"/>
      </w:pPr>
      <w:r w:rsidRPr="009D719B">
        <w:t xml:space="preserve">Riksdagens revisorer, förslag 1995/96:RR7, </w:t>
      </w:r>
      <w:r w:rsidRPr="009D719B">
        <w:rPr>
          <w:i/>
        </w:rPr>
        <w:t>Riksdagens revisorers förslag angående den statliga personalpolitiken</w:t>
      </w:r>
    </w:p>
    <w:p w:rsidR="001F14AF" w:rsidRPr="009D719B" w:rsidRDefault="001F14AF">
      <w:pPr>
        <w:jc w:val="left"/>
      </w:pPr>
      <w:r w:rsidRPr="009D719B">
        <w:t xml:space="preserve">Riksdagens revisorer, förslag 1998/99:RR10, </w:t>
      </w:r>
      <w:r w:rsidRPr="009D719B">
        <w:rPr>
          <w:i/>
        </w:rPr>
        <w:t>Riksdagens revisorers förslag angående myndigheternas lönekostnader</w:t>
      </w:r>
    </w:p>
    <w:p w:rsidR="001F14AF" w:rsidRPr="009D719B" w:rsidRDefault="001F14AF">
      <w:pPr>
        <w:jc w:val="left"/>
      </w:pPr>
      <w:r w:rsidRPr="009D719B">
        <w:t xml:space="preserve">Riksdagens revisorer, förslag 2001/02:RR7, </w:t>
      </w:r>
      <w:r w:rsidRPr="009D719B">
        <w:rPr>
          <w:i/>
        </w:rPr>
        <w:t>Riksdagens revisorers förslag angående styrningen av försvarets materielförsörjning</w:t>
      </w:r>
    </w:p>
    <w:p w:rsidR="001F14AF" w:rsidRPr="009D719B" w:rsidRDefault="001F14AF">
      <w:pPr>
        <w:jc w:val="left"/>
        <w:rPr>
          <w:i/>
        </w:rPr>
      </w:pPr>
      <w:r w:rsidRPr="009D719B">
        <w:t xml:space="preserve">Riksdagens revisorer, förslag 2001/02:RR21, </w:t>
      </w:r>
      <w:r w:rsidRPr="009D719B">
        <w:rPr>
          <w:i/>
        </w:rPr>
        <w:t>Riksdagens revisorers förslag angående statens avtalsförsäkringar</w:t>
      </w:r>
    </w:p>
    <w:p w:rsidR="001F14AF" w:rsidRPr="009D719B" w:rsidRDefault="001F14AF">
      <w:pPr>
        <w:jc w:val="left"/>
      </w:pPr>
      <w:r w:rsidRPr="009D719B">
        <w:t xml:space="preserve">Riksdagens revisorer, förslag 2002/03:RR2, </w:t>
      </w:r>
      <w:r w:rsidRPr="009D719B">
        <w:rPr>
          <w:i/>
        </w:rPr>
        <w:t>Riksdagens revisorers förslag angående statens personalpolitik</w:t>
      </w:r>
    </w:p>
    <w:p w:rsidR="001F14AF" w:rsidRPr="009D719B" w:rsidRDefault="001F14AF">
      <w:pPr>
        <w:jc w:val="left"/>
      </w:pPr>
      <w:r w:rsidRPr="009D719B">
        <w:t xml:space="preserve">Riksdagens revisorer, förslag 2002/03:RR7, </w:t>
      </w:r>
      <w:r w:rsidRPr="009D719B">
        <w:rPr>
          <w:i/>
        </w:rPr>
        <w:t>Riksdagens revisorers förslag angående styrningen av försvarets fastigheter och anläg</w:t>
      </w:r>
      <w:r w:rsidRPr="009D719B">
        <w:rPr>
          <w:i/>
        </w:rPr>
        <w:t>g</w:t>
      </w:r>
      <w:r w:rsidRPr="009D719B">
        <w:rPr>
          <w:i/>
        </w:rPr>
        <w:t>ningar</w:t>
      </w:r>
    </w:p>
    <w:p w:rsidR="001F14AF" w:rsidRPr="009D719B" w:rsidRDefault="001F14AF">
      <w:pPr>
        <w:jc w:val="left"/>
      </w:pPr>
      <w:r w:rsidRPr="009D719B">
        <w:t xml:space="preserve">Riksrevisionsverket 1998:20, </w:t>
      </w:r>
      <w:r w:rsidRPr="009D719B">
        <w:rPr>
          <w:i/>
        </w:rPr>
        <w:t>Formerna för lönebildning med mera inom Försvarsmakten</w:t>
      </w:r>
    </w:p>
    <w:p w:rsidR="001F14AF" w:rsidRPr="009D719B" w:rsidRDefault="001F14AF">
      <w:pPr>
        <w:jc w:val="left"/>
      </w:pPr>
      <w:r w:rsidRPr="009D719B">
        <w:t xml:space="preserve">Riksrevisionsverket 2000:10, </w:t>
      </w:r>
      <w:r w:rsidRPr="009D719B">
        <w:rPr>
          <w:i/>
        </w:rPr>
        <w:t>Formerna för lönebildning m.m. inom Fö</w:t>
      </w:r>
      <w:r w:rsidRPr="009D719B">
        <w:rPr>
          <w:i/>
        </w:rPr>
        <w:t>r</w:t>
      </w:r>
      <w:r w:rsidRPr="009D719B">
        <w:rPr>
          <w:i/>
        </w:rPr>
        <w:t>svarsmakten</w:t>
      </w:r>
    </w:p>
    <w:p w:rsidR="001F14AF" w:rsidRPr="009D719B" w:rsidRDefault="001F14AF">
      <w:r w:rsidRPr="009D719B">
        <w:t xml:space="preserve">Riksrevisionsverket 2002:14, </w:t>
      </w:r>
      <w:r w:rsidRPr="009D719B">
        <w:rPr>
          <w:i/>
        </w:rPr>
        <w:t>Försvarets omstrukturering</w:t>
      </w:r>
    </w:p>
    <w:p w:rsidR="001F14AF" w:rsidRPr="009D719B" w:rsidRDefault="001F14AF">
      <w:r w:rsidRPr="009D719B">
        <w:t xml:space="preserve">SOU 1991:112 (LEMO), </w:t>
      </w:r>
      <w:r w:rsidRPr="009D719B">
        <w:rPr>
          <w:i/>
        </w:rPr>
        <w:t>Försvarsmaktens ledning</w:t>
      </w:r>
    </w:p>
    <w:p w:rsidR="001F14AF" w:rsidRPr="009D719B" w:rsidRDefault="001F14AF">
      <w:r w:rsidRPr="009D719B">
        <w:t xml:space="preserve">SOU 1996:98 (UTFÖR), </w:t>
      </w:r>
      <w:r w:rsidRPr="009D719B">
        <w:rPr>
          <w:i/>
        </w:rPr>
        <w:t>Vem styr försvaret?</w:t>
      </w:r>
    </w:p>
    <w:p w:rsidR="001F14AF" w:rsidRPr="009D719B" w:rsidRDefault="001F14AF">
      <w:r w:rsidRPr="009D719B">
        <w:t xml:space="preserve">SOU 1997:48, </w:t>
      </w:r>
      <w:r w:rsidRPr="009D719B">
        <w:rPr>
          <w:i/>
        </w:rPr>
        <w:t>Arbetsgivarpolitik i staten</w:t>
      </w:r>
    </w:p>
    <w:p w:rsidR="001F14AF" w:rsidRPr="009D719B" w:rsidRDefault="001F14AF">
      <w:r w:rsidRPr="009D719B">
        <w:t xml:space="preserve">SOU 2001:23, </w:t>
      </w:r>
      <w:r w:rsidRPr="009D719B">
        <w:rPr>
          <w:i/>
        </w:rPr>
        <w:t>Personal för ett nytt försvar</w:t>
      </w:r>
    </w:p>
    <w:p w:rsidR="001F14AF" w:rsidRPr="009D719B" w:rsidRDefault="001F14AF">
      <w:r w:rsidRPr="009D719B">
        <w:t xml:space="preserve">SOU 2002:32, </w:t>
      </w:r>
      <w:r w:rsidRPr="009D719B">
        <w:rPr>
          <w:i/>
        </w:rPr>
        <w:t>Den arbetsgivarpolitiska delegeringen i staten</w:t>
      </w:r>
    </w:p>
    <w:p w:rsidR="001F14AF" w:rsidRPr="009D719B" w:rsidRDefault="001F14AF">
      <w:pPr>
        <w:pStyle w:val="Normaltindrag"/>
        <w:rPr>
          <w:i/>
        </w:rPr>
      </w:pPr>
      <w:r w:rsidRPr="009D719B">
        <w:t xml:space="preserve">Statskontoret 2001:15, </w:t>
      </w:r>
      <w:r w:rsidRPr="009D719B">
        <w:rPr>
          <w:i/>
        </w:rPr>
        <w:t>Staten i omvandling 2001</w:t>
      </w:r>
    </w:p>
    <w:p w:rsidR="001F14AF" w:rsidRPr="009D719B" w:rsidRDefault="001F14AF">
      <w:pPr>
        <w:pStyle w:val="Normaltindrag"/>
        <w:rPr>
          <w:i/>
        </w:rPr>
      </w:pPr>
    </w:p>
    <w:p w:rsidR="001F14AF" w:rsidRPr="009D719B" w:rsidRDefault="001F14AF">
      <w:pPr>
        <w:pStyle w:val="Rubrik1-Utannumrering"/>
        <w:sectPr w:rsidR="00000000" w:rsidRPr="009D719B">
          <w:headerReference w:type="default" r:id="rId26"/>
          <w:footerReference w:type="default" r:id="rId27"/>
          <w:type w:val="oddPage"/>
          <w:pgSz w:w="11906" w:h="16838" w:code="9"/>
          <w:pgMar w:top="567" w:right="4876" w:bottom="4508" w:left="1134" w:header="227" w:footer="227" w:gutter="0"/>
          <w:cols w:space="720"/>
        </w:sectPr>
      </w:pPr>
    </w:p>
    <w:p w:rsidR="001F14AF" w:rsidRPr="009D719B" w:rsidRDefault="001F14AF">
      <w:pPr>
        <w:pStyle w:val="Rubrik1-Utannumrering"/>
        <w:spacing w:before="0"/>
      </w:pPr>
      <w:bookmarkStart w:id="240" w:name="_Toc32301682"/>
      <w:bookmarkStart w:id="241" w:name="_Toc38080883"/>
      <w:bookmarkStart w:id="242" w:name="_Toc38103384"/>
      <w:r w:rsidRPr="009D719B">
        <w:t>Bilaga – Lönestatistik</w:t>
      </w:r>
      <w:bookmarkEnd w:id="240"/>
      <w:bookmarkEnd w:id="241"/>
      <w:bookmarkEnd w:id="242"/>
    </w:p>
    <w:p w:rsidR="001F14AF" w:rsidRPr="009D719B" w:rsidRDefault="001F14AF">
      <w:r w:rsidRPr="009D719B">
        <w:t>I denna bilaga redovisas den statistik över personalkostnader och löneu</w:t>
      </w:r>
      <w:r w:rsidRPr="009D719B">
        <w:t>t</w:t>
      </w:r>
      <w:r w:rsidRPr="009D719B">
        <w:t>veckling som presenteras i kapitel 4. Statistiken är med undantag för tabell A framtagen av Statistiska centralbyrån för denna granskning. Uppgifterna i tabell A är dock hämtade från Försvarsma</w:t>
      </w:r>
      <w:r w:rsidRPr="009D719B">
        <w:t>k</w:t>
      </w:r>
      <w:r w:rsidRPr="009D719B">
        <w:t>tens årsredovisningar.</w:t>
      </w:r>
    </w:p>
    <w:p w:rsidR="001F14AF" w:rsidRPr="009D719B" w:rsidRDefault="001F14AF">
      <w:pPr>
        <w:pStyle w:val="Normaltindrag"/>
      </w:pPr>
    </w:p>
    <w:p w:rsidR="001F14AF" w:rsidRPr="009D719B" w:rsidRDefault="001F14AF">
      <w:pPr>
        <w:pStyle w:val="Beskrivning"/>
        <w:rPr>
          <w:b w:val="0"/>
        </w:rPr>
      </w:pPr>
      <w:r w:rsidRPr="009D719B">
        <w:t>Tabell A</w:t>
      </w:r>
      <w:r w:rsidRPr="009D719B">
        <w:tab/>
        <w:t>Försvarsmaktens personalkostnader 1996–2001</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1134"/>
        <w:gridCol w:w="1276"/>
        <w:gridCol w:w="1134"/>
        <w:gridCol w:w="851"/>
        <w:gridCol w:w="876"/>
      </w:tblGrid>
      <w:tr w:rsidR="00000000" w:rsidRPr="009D719B">
        <w:tblPrEx>
          <w:tblCellMar>
            <w:top w:w="0" w:type="dxa"/>
            <w:bottom w:w="0" w:type="dxa"/>
          </w:tblCellMar>
        </w:tblPrEx>
        <w:trPr>
          <w:cantSplit/>
          <w:trHeight w:val="240"/>
        </w:trPr>
        <w:tc>
          <w:tcPr>
            <w:tcW w:w="597" w:type="dxa"/>
            <w:shd w:val="pct15" w:color="auto" w:fill="FFFFFF"/>
          </w:tcPr>
          <w:p w:rsidR="001F14AF" w:rsidRPr="009D719B" w:rsidRDefault="001F14AF">
            <w:pPr>
              <w:pStyle w:val="Tabell"/>
              <w:rPr>
                <w:snapToGrid w:val="0"/>
                <w:lang w:eastAsia="sv-SE"/>
              </w:rPr>
            </w:pPr>
          </w:p>
        </w:tc>
        <w:tc>
          <w:tcPr>
            <w:tcW w:w="3544" w:type="dxa"/>
            <w:gridSpan w:val="3"/>
            <w:tcBorders>
              <w:right w:val="nil"/>
            </w:tcBorders>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Personalkostnad (tkr)</w:t>
            </w:r>
          </w:p>
        </w:tc>
        <w:tc>
          <w:tcPr>
            <w:tcW w:w="1727" w:type="dxa"/>
            <w:gridSpan w:val="2"/>
            <w:tcBorders>
              <w:left w:val="single" w:sz="18" w:space="0" w:color="auto"/>
              <w:right w:val="single" w:sz="18" w:space="0" w:color="auto"/>
            </w:tcBorders>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Anställda</w:t>
            </w:r>
          </w:p>
        </w:tc>
      </w:tr>
      <w:tr w:rsidR="00000000" w:rsidRPr="009D719B">
        <w:tblPrEx>
          <w:tblCellMar>
            <w:top w:w="0" w:type="dxa"/>
            <w:bottom w:w="0" w:type="dxa"/>
          </w:tblCellMar>
        </w:tblPrEx>
        <w:trPr>
          <w:cantSplit/>
          <w:trHeight w:val="240"/>
        </w:trPr>
        <w:tc>
          <w:tcPr>
            <w:tcW w:w="597" w:type="dxa"/>
            <w:tcBorders>
              <w:bottom w:val="single" w:sz="4" w:space="0" w:color="auto"/>
            </w:tcBorders>
            <w:shd w:val="pct15" w:color="auto" w:fill="FFFFFF"/>
            <w:vAlign w:val="center"/>
          </w:tcPr>
          <w:p w:rsidR="001F14AF" w:rsidRPr="009D719B" w:rsidRDefault="001F14AF">
            <w:pPr>
              <w:pStyle w:val="Tabell"/>
              <w:rPr>
                <w:snapToGrid w:val="0"/>
                <w:lang w:eastAsia="sv-SE"/>
              </w:rPr>
            </w:pPr>
          </w:p>
        </w:tc>
        <w:tc>
          <w:tcPr>
            <w:tcW w:w="1134" w:type="dxa"/>
            <w:shd w:val="pct15" w:color="auto" w:fill="FFFFFF"/>
            <w:vAlign w:val="center"/>
          </w:tcPr>
          <w:p w:rsidR="001F14AF" w:rsidRPr="009D719B" w:rsidRDefault="001F14AF">
            <w:pPr>
              <w:pStyle w:val="Tabell"/>
              <w:jc w:val="center"/>
              <w:rPr>
                <w:snapToGrid w:val="0"/>
                <w:lang w:eastAsia="sv-SE"/>
              </w:rPr>
            </w:pPr>
            <w:r w:rsidRPr="009D719B">
              <w:rPr>
                <w:snapToGrid w:val="0"/>
                <w:lang w:eastAsia="sv-SE"/>
              </w:rPr>
              <w:t>Löpande</w:t>
            </w:r>
          </w:p>
        </w:tc>
        <w:tc>
          <w:tcPr>
            <w:tcW w:w="1276" w:type="dxa"/>
            <w:shd w:val="pct15" w:color="auto" w:fill="FFFFFF"/>
            <w:vAlign w:val="center"/>
          </w:tcPr>
          <w:p w:rsidR="001F14AF" w:rsidRPr="009D719B" w:rsidRDefault="001F14AF">
            <w:pPr>
              <w:pStyle w:val="Tabell"/>
              <w:jc w:val="center"/>
              <w:rPr>
                <w:snapToGrid w:val="0"/>
                <w:lang w:eastAsia="sv-SE"/>
              </w:rPr>
            </w:pPr>
            <w:r w:rsidRPr="009D719B">
              <w:rPr>
                <w:snapToGrid w:val="0"/>
                <w:lang w:eastAsia="sv-SE"/>
              </w:rPr>
              <w:t>Fast (2001 års priser)</w:t>
            </w:r>
          </w:p>
        </w:tc>
        <w:tc>
          <w:tcPr>
            <w:tcW w:w="1134" w:type="dxa"/>
            <w:tcBorders>
              <w:right w:val="nil"/>
            </w:tcBorders>
            <w:shd w:val="pct15" w:color="auto" w:fill="FFFFFF"/>
            <w:vAlign w:val="center"/>
          </w:tcPr>
          <w:p w:rsidR="001F14AF" w:rsidRPr="009D719B" w:rsidRDefault="001F14AF">
            <w:pPr>
              <w:pStyle w:val="Tabell"/>
              <w:jc w:val="center"/>
              <w:rPr>
                <w:snapToGrid w:val="0"/>
                <w:lang w:eastAsia="sv-SE"/>
              </w:rPr>
            </w:pPr>
            <w:r w:rsidRPr="009D719B">
              <w:rPr>
                <w:snapToGrid w:val="0"/>
                <w:lang w:eastAsia="sv-SE"/>
              </w:rPr>
              <w:t>Index enligt 2001 års priser</w:t>
            </w:r>
          </w:p>
        </w:tc>
        <w:tc>
          <w:tcPr>
            <w:tcW w:w="851" w:type="dxa"/>
            <w:tcBorders>
              <w:left w:val="single" w:sz="18" w:space="0" w:color="auto"/>
            </w:tcBorders>
            <w:shd w:val="pct15" w:color="auto" w:fill="FFFFFF"/>
            <w:vAlign w:val="center"/>
          </w:tcPr>
          <w:p w:rsidR="001F14AF" w:rsidRPr="009D719B" w:rsidRDefault="001F14AF">
            <w:pPr>
              <w:pStyle w:val="Tabell"/>
              <w:jc w:val="center"/>
              <w:rPr>
                <w:snapToGrid w:val="0"/>
                <w:lang w:eastAsia="sv-SE"/>
              </w:rPr>
            </w:pPr>
            <w:r w:rsidRPr="009D719B">
              <w:rPr>
                <w:snapToGrid w:val="0"/>
                <w:lang w:eastAsia="sv-SE"/>
              </w:rPr>
              <w:t>Antal</w:t>
            </w:r>
          </w:p>
        </w:tc>
        <w:tc>
          <w:tcPr>
            <w:tcW w:w="876" w:type="dxa"/>
            <w:tcBorders>
              <w:right w:val="single" w:sz="18" w:space="0" w:color="auto"/>
            </w:tcBorders>
            <w:shd w:val="pct15" w:color="auto" w:fill="FFFFFF"/>
            <w:vAlign w:val="center"/>
          </w:tcPr>
          <w:p w:rsidR="001F14AF" w:rsidRPr="009D719B" w:rsidRDefault="001F14AF">
            <w:pPr>
              <w:pStyle w:val="Tabell"/>
              <w:jc w:val="center"/>
              <w:rPr>
                <w:snapToGrid w:val="0"/>
                <w:lang w:eastAsia="sv-SE"/>
              </w:rPr>
            </w:pPr>
            <w:r w:rsidRPr="009D719B">
              <w:rPr>
                <w:snapToGrid w:val="0"/>
                <w:lang w:eastAsia="sv-SE"/>
              </w:rPr>
              <w:t>Index</w:t>
            </w:r>
          </w:p>
        </w:tc>
      </w:tr>
      <w:tr w:rsidR="00000000" w:rsidRPr="009D719B">
        <w:tblPrEx>
          <w:tblCellMar>
            <w:top w:w="0" w:type="dxa"/>
            <w:bottom w:w="0" w:type="dxa"/>
          </w:tblCellMar>
        </w:tblPrEx>
        <w:trPr>
          <w:cantSplit/>
          <w:trHeight w:val="240"/>
        </w:trPr>
        <w:tc>
          <w:tcPr>
            <w:tcW w:w="597" w:type="dxa"/>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1996</w:t>
            </w:r>
          </w:p>
        </w:tc>
        <w:tc>
          <w:tcPr>
            <w:tcW w:w="1134" w:type="dxa"/>
            <w:vAlign w:val="center"/>
          </w:tcPr>
          <w:p w:rsidR="001F14AF" w:rsidRPr="009D719B" w:rsidRDefault="001F14AF">
            <w:pPr>
              <w:pStyle w:val="Tabell"/>
              <w:jc w:val="center"/>
              <w:rPr>
                <w:snapToGrid w:val="0"/>
                <w:lang w:eastAsia="sv-SE"/>
              </w:rPr>
            </w:pPr>
            <w:r w:rsidRPr="009D719B">
              <w:rPr>
                <w:snapToGrid w:val="0"/>
                <w:lang w:eastAsia="sv-SE"/>
              </w:rPr>
              <w:t>11 126 154</w:t>
            </w:r>
          </w:p>
        </w:tc>
        <w:tc>
          <w:tcPr>
            <w:tcW w:w="1276" w:type="dxa"/>
            <w:vAlign w:val="center"/>
          </w:tcPr>
          <w:p w:rsidR="001F14AF" w:rsidRPr="009D719B" w:rsidRDefault="001F14AF">
            <w:pPr>
              <w:pStyle w:val="Tabell"/>
              <w:jc w:val="center"/>
              <w:rPr>
                <w:snapToGrid w:val="0"/>
                <w:lang w:eastAsia="sv-SE"/>
              </w:rPr>
            </w:pPr>
            <w:r w:rsidRPr="009D719B">
              <w:rPr>
                <w:snapToGrid w:val="0"/>
                <w:lang w:eastAsia="sv-SE"/>
              </w:rPr>
              <w:t>11 608 577</w:t>
            </w:r>
          </w:p>
        </w:tc>
        <w:tc>
          <w:tcPr>
            <w:tcW w:w="1134" w:type="dxa"/>
            <w:tcBorders>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100</w:t>
            </w:r>
          </w:p>
        </w:tc>
        <w:tc>
          <w:tcPr>
            <w:tcW w:w="851" w:type="dxa"/>
            <w:tcBorders>
              <w:left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27 750</w:t>
            </w:r>
          </w:p>
        </w:tc>
        <w:tc>
          <w:tcPr>
            <w:tcW w:w="876" w:type="dxa"/>
            <w:tcBorders>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100</w:t>
            </w:r>
          </w:p>
        </w:tc>
      </w:tr>
      <w:tr w:rsidR="00000000" w:rsidRPr="009D719B">
        <w:tblPrEx>
          <w:tblCellMar>
            <w:top w:w="0" w:type="dxa"/>
            <w:bottom w:w="0" w:type="dxa"/>
          </w:tblCellMar>
        </w:tblPrEx>
        <w:trPr>
          <w:cantSplit/>
          <w:trHeight w:val="240"/>
        </w:trPr>
        <w:tc>
          <w:tcPr>
            <w:tcW w:w="597" w:type="dxa"/>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1997</w:t>
            </w:r>
          </w:p>
        </w:tc>
        <w:tc>
          <w:tcPr>
            <w:tcW w:w="1134" w:type="dxa"/>
            <w:vAlign w:val="center"/>
          </w:tcPr>
          <w:p w:rsidR="001F14AF" w:rsidRPr="009D719B" w:rsidRDefault="001F14AF">
            <w:pPr>
              <w:pStyle w:val="Tabell"/>
              <w:jc w:val="center"/>
              <w:rPr>
                <w:snapToGrid w:val="0"/>
                <w:lang w:eastAsia="sv-SE"/>
              </w:rPr>
            </w:pPr>
            <w:r w:rsidRPr="009D719B">
              <w:rPr>
                <w:snapToGrid w:val="0"/>
                <w:lang w:eastAsia="sv-SE"/>
              </w:rPr>
              <w:t>11 565 123</w:t>
            </w:r>
          </w:p>
        </w:tc>
        <w:tc>
          <w:tcPr>
            <w:tcW w:w="1276" w:type="dxa"/>
            <w:vAlign w:val="center"/>
          </w:tcPr>
          <w:p w:rsidR="001F14AF" w:rsidRPr="009D719B" w:rsidRDefault="001F14AF">
            <w:pPr>
              <w:pStyle w:val="Tabell"/>
              <w:jc w:val="center"/>
              <w:rPr>
                <w:snapToGrid w:val="0"/>
                <w:lang w:eastAsia="sv-SE"/>
              </w:rPr>
            </w:pPr>
            <w:r w:rsidRPr="009D719B">
              <w:rPr>
                <w:snapToGrid w:val="0"/>
                <w:lang w:eastAsia="sv-SE"/>
              </w:rPr>
              <w:t>12 005 613</w:t>
            </w:r>
          </w:p>
        </w:tc>
        <w:tc>
          <w:tcPr>
            <w:tcW w:w="1134" w:type="dxa"/>
            <w:tcBorders>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103</w:t>
            </w:r>
          </w:p>
        </w:tc>
        <w:tc>
          <w:tcPr>
            <w:tcW w:w="851" w:type="dxa"/>
            <w:tcBorders>
              <w:left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26 300</w:t>
            </w:r>
          </w:p>
        </w:tc>
        <w:tc>
          <w:tcPr>
            <w:tcW w:w="876" w:type="dxa"/>
            <w:tcBorders>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95</w:t>
            </w:r>
          </w:p>
        </w:tc>
      </w:tr>
      <w:tr w:rsidR="00000000" w:rsidRPr="009D719B">
        <w:tblPrEx>
          <w:tblCellMar>
            <w:top w:w="0" w:type="dxa"/>
            <w:bottom w:w="0" w:type="dxa"/>
          </w:tblCellMar>
        </w:tblPrEx>
        <w:trPr>
          <w:cantSplit/>
          <w:trHeight w:val="240"/>
        </w:trPr>
        <w:tc>
          <w:tcPr>
            <w:tcW w:w="597" w:type="dxa"/>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1998</w:t>
            </w:r>
          </w:p>
        </w:tc>
        <w:tc>
          <w:tcPr>
            <w:tcW w:w="1134" w:type="dxa"/>
            <w:vAlign w:val="center"/>
          </w:tcPr>
          <w:p w:rsidR="001F14AF" w:rsidRPr="009D719B" w:rsidRDefault="001F14AF">
            <w:pPr>
              <w:pStyle w:val="Tabell"/>
              <w:jc w:val="center"/>
              <w:rPr>
                <w:snapToGrid w:val="0"/>
                <w:lang w:eastAsia="sv-SE"/>
              </w:rPr>
            </w:pPr>
            <w:r w:rsidRPr="009D719B">
              <w:rPr>
                <w:snapToGrid w:val="0"/>
                <w:lang w:eastAsia="sv-SE"/>
              </w:rPr>
              <w:t>11 097 636</w:t>
            </w:r>
          </w:p>
        </w:tc>
        <w:tc>
          <w:tcPr>
            <w:tcW w:w="1276" w:type="dxa"/>
            <w:vAlign w:val="center"/>
          </w:tcPr>
          <w:p w:rsidR="001F14AF" w:rsidRPr="009D719B" w:rsidRDefault="001F14AF">
            <w:pPr>
              <w:pStyle w:val="Tabell"/>
              <w:jc w:val="center"/>
              <w:rPr>
                <w:snapToGrid w:val="0"/>
                <w:lang w:eastAsia="sv-SE"/>
              </w:rPr>
            </w:pPr>
            <w:r w:rsidRPr="009D719B">
              <w:rPr>
                <w:snapToGrid w:val="0"/>
                <w:lang w:eastAsia="sv-SE"/>
              </w:rPr>
              <w:t>11 533 769</w:t>
            </w:r>
          </w:p>
        </w:tc>
        <w:tc>
          <w:tcPr>
            <w:tcW w:w="1134" w:type="dxa"/>
            <w:tcBorders>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99</w:t>
            </w:r>
          </w:p>
        </w:tc>
        <w:tc>
          <w:tcPr>
            <w:tcW w:w="851" w:type="dxa"/>
            <w:tcBorders>
              <w:left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24 100</w:t>
            </w:r>
          </w:p>
        </w:tc>
        <w:tc>
          <w:tcPr>
            <w:tcW w:w="876" w:type="dxa"/>
            <w:tcBorders>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87</w:t>
            </w:r>
          </w:p>
        </w:tc>
      </w:tr>
      <w:tr w:rsidR="00000000" w:rsidRPr="009D719B">
        <w:tblPrEx>
          <w:tblCellMar>
            <w:top w:w="0" w:type="dxa"/>
            <w:bottom w:w="0" w:type="dxa"/>
          </w:tblCellMar>
        </w:tblPrEx>
        <w:trPr>
          <w:cantSplit/>
          <w:trHeight w:val="240"/>
        </w:trPr>
        <w:tc>
          <w:tcPr>
            <w:tcW w:w="597" w:type="dxa"/>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1999</w:t>
            </w:r>
          </w:p>
        </w:tc>
        <w:tc>
          <w:tcPr>
            <w:tcW w:w="1134" w:type="dxa"/>
            <w:vAlign w:val="center"/>
          </w:tcPr>
          <w:p w:rsidR="001F14AF" w:rsidRPr="009D719B" w:rsidRDefault="001F14AF">
            <w:pPr>
              <w:pStyle w:val="Tabell"/>
              <w:jc w:val="center"/>
              <w:rPr>
                <w:snapToGrid w:val="0"/>
                <w:lang w:eastAsia="sv-SE"/>
              </w:rPr>
            </w:pPr>
            <w:r w:rsidRPr="009D719B">
              <w:rPr>
                <w:snapToGrid w:val="0"/>
                <w:lang w:eastAsia="sv-SE"/>
              </w:rPr>
              <w:t>11 683 059</w:t>
            </w:r>
          </w:p>
        </w:tc>
        <w:tc>
          <w:tcPr>
            <w:tcW w:w="1276" w:type="dxa"/>
            <w:vAlign w:val="center"/>
          </w:tcPr>
          <w:p w:rsidR="001F14AF" w:rsidRPr="009D719B" w:rsidRDefault="001F14AF">
            <w:pPr>
              <w:pStyle w:val="Tabell"/>
              <w:jc w:val="center"/>
              <w:rPr>
                <w:snapToGrid w:val="0"/>
                <w:lang w:eastAsia="sv-SE"/>
              </w:rPr>
            </w:pPr>
            <w:r w:rsidRPr="009D719B">
              <w:rPr>
                <w:snapToGrid w:val="0"/>
                <w:lang w:eastAsia="sv-SE"/>
              </w:rPr>
              <w:t>12 090 450</w:t>
            </w:r>
          </w:p>
        </w:tc>
        <w:tc>
          <w:tcPr>
            <w:tcW w:w="1134" w:type="dxa"/>
            <w:tcBorders>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104</w:t>
            </w:r>
          </w:p>
        </w:tc>
        <w:tc>
          <w:tcPr>
            <w:tcW w:w="851" w:type="dxa"/>
            <w:tcBorders>
              <w:left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23 014</w:t>
            </w:r>
          </w:p>
        </w:tc>
        <w:tc>
          <w:tcPr>
            <w:tcW w:w="876" w:type="dxa"/>
            <w:tcBorders>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83</w:t>
            </w:r>
          </w:p>
        </w:tc>
      </w:tr>
      <w:tr w:rsidR="00000000" w:rsidRPr="009D719B">
        <w:tblPrEx>
          <w:tblCellMar>
            <w:top w:w="0" w:type="dxa"/>
            <w:bottom w:w="0" w:type="dxa"/>
          </w:tblCellMar>
        </w:tblPrEx>
        <w:trPr>
          <w:cantSplit/>
          <w:trHeight w:val="240"/>
        </w:trPr>
        <w:tc>
          <w:tcPr>
            <w:tcW w:w="597" w:type="dxa"/>
            <w:tcBorders>
              <w:bottom w:val="single" w:sz="4" w:space="0" w:color="auto"/>
            </w:tcBorders>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2000</w:t>
            </w:r>
          </w:p>
        </w:tc>
        <w:tc>
          <w:tcPr>
            <w:tcW w:w="1134" w:type="dxa"/>
            <w:tcBorders>
              <w:bottom w:val="single" w:sz="4" w:space="0" w:color="auto"/>
            </w:tcBorders>
            <w:vAlign w:val="center"/>
          </w:tcPr>
          <w:p w:rsidR="001F14AF" w:rsidRPr="009D719B" w:rsidRDefault="001F14AF">
            <w:pPr>
              <w:pStyle w:val="Tabell"/>
              <w:jc w:val="center"/>
              <w:rPr>
                <w:snapToGrid w:val="0"/>
                <w:lang w:eastAsia="sv-SE"/>
              </w:rPr>
            </w:pPr>
            <w:r w:rsidRPr="009D719B">
              <w:rPr>
                <w:snapToGrid w:val="0"/>
                <w:lang w:eastAsia="sv-SE"/>
              </w:rPr>
              <w:t>13 601 967</w:t>
            </w:r>
          </w:p>
        </w:tc>
        <w:tc>
          <w:tcPr>
            <w:tcW w:w="1276" w:type="dxa"/>
            <w:tcBorders>
              <w:bottom w:val="single" w:sz="4" w:space="0" w:color="auto"/>
            </w:tcBorders>
            <w:vAlign w:val="center"/>
          </w:tcPr>
          <w:p w:rsidR="001F14AF" w:rsidRPr="009D719B" w:rsidRDefault="001F14AF">
            <w:pPr>
              <w:pStyle w:val="Tabell"/>
              <w:jc w:val="center"/>
              <w:rPr>
                <w:snapToGrid w:val="0"/>
                <w:lang w:eastAsia="sv-SE"/>
              </w:rPr>
            </w:pPr>
            <w:r w:rsidRPr="009D719B">
              <w:rPr>
                <w:snapToGrid w:val="0"/>
                <w:lang w:eastAsia="sv-SE"/>
              </w:rPr>
              <w:t>13 935 886</w:t>
            </w:r>
          </w:p>
        </w:tc>
        <w:tc>
          <w:tcPr>
            <w:tcW w:w="1134" w:type="dxa"/>
            <w:tcBorders>
              <w:bottom w:val="single" w:sz="4" w:space="0" w:color="auto"/>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120</w:t>
            </w:r>
          </w:p>
        </w:tc>
        <w:tc>
          <w:tcPr>
            <w:tcW w:w="851" w:type="dxa"/>
            <w:tcBorders>
              <w:left w:val="single" w:sz="18" w:space="0" w:color="auto"/>
              <w:bottom w:val="single" w:sz="4" w:space="0" w:color="auto"/>
            </w:tcBorders>
            <w:vAlign w:val="center"/>
          </w:tcPr>
          <w:p w:rsidR="001F14AF" w:rsidRPr="009D719B" w:rsidRDefault="001F14AF">
            <w:pPr>
              <w:pStyle w:val="Tabell"/>
              <w:jc w:val="center"/>
              <w:rPr>
                <w:snapToGrid w:val="0"/>
                <w:lang w:eastAsia="sv-SE"/>
              </w:rPr>
            </w:pPr>
            <w:r w:rsidRPr="009D719B">
              <w:rPr>
                <w:snapToGrid w:val="0"/>
                <w:lang w:eastAsia="sv-SE"/>
              </w:rPr>
              <w:t>22 033</w:t>
            </w:r>
          </w:p>
        </w:tc>
        <w:tc>
          <w:tcPr>
            <w:tcW w:w="876" w:type="dxa"/>
            <w:tcBorders>
              <w:bottom w:val="single" w:sz="4" w:space="0" w:color="auto"/>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79</w:t>
            </w:r>
          </w:p>
        </w:tc>
      </w:tr>
      <w:tr w:rsidR="00000000" w:rsidRPr="009D719B">
        <w:tblPrEx>
          <w:tblCellMar>
            <w:top w:w="0" w:type="dxa"/>
            <w:bottom w:w="0" w:type="dxa"/>
          </w:tblCellMar>
        </w:tblPrEx>
        <w:trPr>
          <w:cantSplit/>
          <w:trHeight w:val="240"/>
        </w:trPr>
        <w:tc>
          <w:tcPr>
            <w:tcW w:w="597" w:type="dxa"/>
            <w:tcBorders>
              <w:bottom w:val="single" w:sz="18" w:space="0" w:color="auto"/>
            </w:tcBorders>
            <w:shd w:val="pct15" w:color="auto" w:fill="FFFFFF"/>
            <w:vAlign w:val="center"/>
          </w:tcPr>
          <w:p w:rsidR="001F14AF" w:rsidRPr="009D719B" w:rsidRDefault="001F14AF">
            <w:pPr>
              <w:pStyle w:val="Tabell"/>
              <w:jc w:val="center"/>
              <w:rPr>
                <w:b/>
                <w:snapToGrid w:val="0"/>
                <w:lang w:eastAsia="sv-SE"/>
              </w:rPr>
            </w:pPr>
            <w:r w:rsidRPr="009D719B">
              <w:rPr>
                <w:b/>
                <w:snapToGrid w:val="0"/>
                <w:lang w:eastAsia="sv-SE"/>
              </w:rPr>
              <w:t>2001</w:t>
            </w:r>
          </w:p>
        </w:tc>
        <w:tc>
          <w:tcPr>
            <w:tcW w:w="1134" w:type="dxa"/>
            <w:tcBorders>
              <w:bottom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12 016 599</w:t>
            </w:r>
          </w:p>
        </w:tc>
        <w:tc>
          <w:tcPr>
            <w:tcW w:w="1276" w:type="dxa"/>
            <w:tcBorders>
              <w:bottom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12 016 599</w:t>
            </w:r>
          </w:p>
        </w:tc>
        <w:tc>
          <w:tcPr>
            <w:tcW w:w="1134" w:type="dxa"/>
            <w:tcBorders>
              <w:bottom w:val="single" w:sz="18" w:space="0" w:color="auto"/>
              <w:right w:val="nil"/>
            </w:tcBorders>
            <w:vAlign w:val="center"/>
          </w:tcPr>
          <w:p w:rsidR="001F14AF" w:rsidRPr="009D719B" w:rsidRDefault="001F14AF">
            <w:pPr>
              <w:pStyle w:val="Tabell"/>
              <w:ind w:right="454"/>
              <w:jc w:val="right"/>
              <w:rPr>
                <w:snapToGrid w:val="0"/>
                <w:lang w:eastAsia="sv-SE"/>
              </w:rPr>
            </w:pPr>
            <w:r w:rsidRPr="009D719B">
              <w:rPr>
                <w:snapToGrid w:val="0"/>
                <w:lang w:eastAsia="sv-SE"/>
              </w:rPr>
              <w:t>104</w:t>
            </w:r>
          </w:p>
        </w:tc>
        <w:tc>
          <w:tcPr>
            <w:tcW w:w="851" w:type="dxa"/>
            <w:tcBorders>
              <w:left w:val="single" w:sz="18" w:space="0" w:color="auto"/>
              <w:bottom w:val="single" w:sz="18" w:space="0" w:color="auto"/>
            </w:tcBorders>
            <w:vAlign w:val="center"/>
          </w:tcPr>
          <w:p w:rsidR="001F14AF" w:rsidRPr="009D719B" w:rsidRDefault="001F14AF">
            <w:pPr>
              <w:pStyle w:val="Tabell"/>
              <w:jc w:val="center"/>
              <w:rPr>
                <w:snapToGrid w:val="0"/>
                <w:lang w:eastAsia="sv-SE"/>
              </w:rPr>
            </w:pPr>
            <w:r w:rsidRPr="009D719B">
              <w:rPr>
                <w:snapToGrid w:val="0"/>
                <w:lang w:eastAsia="sv-SE"/>
              </w:rPr>
              <w:t>20 951</w:t>
            </w:r>
          </w:p>
        </w:tc>
        <w:tc>
          <w:tcPr>
            <w:tcW w:w="876" w:type="dxa"/>
            <w:tcBorders>
              <w:bottom w:val="single" w:sz="18" w:space="0" w:color="auto"/>
              <w:right w:val="single" w:sz="18" w:space="0" w:color="auto"/>
            </w:tcBorders>
            <w:vAlign w:val="center"/>
          </w:tcPr>
          <w:p w:rsidR="001F14AF" w:rsidRPr="009D719B" w:rsidRDefault="001F14AF">
            <w:pPr>
              <w:pStyle w:val="Tabell"/>
              <w:ind w:right="284"/>
              <w:jc w:val="right"/>
              <w:rPr>
                <w:snapToGrid w:val="0"/>
                <w:lang w:eastAsia="sv-SE"/>
              </w:rPr>
            </w:pPr>
            <w:r w:rsidRPr="009D719B">
              <w:rPr>
                <w:snapToGrid w:val="0"/>
                <w:lang w:eastAsia="sv-SE"/>
              </w:rPr>
              <w:t>75</w:t>
            </w:r>
          </w:p>
        </w:tc>
      </w:tr>
    </w:tbl>
    <w:p w:rsidR="001F14AF" w:rsidRPr="009D719B" w:rsidRDefault="001F14AF">
      <w:pPr>
        <w:pStyle w:val="Tabell"/>
      </w:pPr>
      <w:r w:rsidRPr="009D719B">
        <w:t>Källa: FM årsredovisningar 1996-2001.</w:t>
      </w:r>
    </w:p>
    <w:p w:rsidR="001F14AF" w:rsidRPr="009D719B" w:rsidRDefault="001F14AF">
      <w:pPr>
        <w:pStyle w:val="Normaltindrag"/>
      </w:pPr>
    </w:p>
    <w:p w:rsidR="001F14AF" w:rsidRPr="009D719B" w:rsidRDefault="001F14AF">
      <w:pPr>
        <w:pStyle w:val="Beskrivning"/>
      </w:pPr>
      <w:r w:rsidRPr="009D719B">
        <w:t>Tabell B</w:t>
      </w:r>
      <w:r w:rsidRPr="009D719B">
        <w:tab/>
        <w:t>Genomsnittlig månadslön (inkl. fasta och rörliga tillägg), beräknat för respektive population som helhet och antal individer i respektive popul</w:t>
      </w:r>
      <w:r w:rsidRPr="009D719B">
        <w:t>a</w:t>
      </w:r>
      <w:r w:rsidRPr="009D719B">
        <w:t>tion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6"/>
        <w:gridCol w:w="936"/>
        <w:gridCol w:w="936"/>
        <w:gridCol w:w="936"/>
        <w:gridCol w:w="936"/>
        <w:gridCol w:w="936"/>
      </w:tblGrid>
      <w:tr w:rsidR="00000000" w:rsidRPr="009D719B">
        <w:tblPrEx>
          <w:tblCellMar>
            <w:top w:w="0" w:type="dxa"/>
            <w:bottom w:w="0" w:type="dxa"/>
          </w:tblCellMar>
        </w:tblPrEx>
        <w:trPr>
          <w:cantSplit/>
        </w:trPr>
        <w:tc>
          <w:tcPr>
            <w:tcW w:w="496" w:type="dxa"/>
            <w:shd w:val="pct15" w:color="auto" w:fill="FFFFFF"/>
            <w:vAlign w:val="center"/>
          </w:tcPr>
          <w:p w:rsidR="001F14AF" w:rsidRPr="009D719B" w:rsidRDefault="001F14AF">
            <w:pPr>
              <w:pStyle w:val="Tabell"/>
            </w:pPr>
          </w:p>
        </w:tc>
        <w:tc>
          <w:tcPr>
            <w:tcW w:w="1872" w:type="dxa"/>
            <w:gridSpan w:val="2"/>
            <w:tcBorders>
              <w:right w:val="single" w:sz="18" w:space="0" w:color="auto"/>
            </w:tcBorders>
            <w:shd w:val="pct15" w:color="auto" w:fill="FFFFFF"/>
            <w:vAlign w:val="center"/>
          </w:tcPr>
          <w:p w:rsidR="001F14AF" w:rsidRPr="009D719B" w:rsidRDefault="001F14AF">
            <w:pPr>
              <w:pStyle w:val="Tabell"/>
              <w:jc w:val="center"/>
              <w:rPr>
                <w:b/>
              </w:rPr>
            </w:pPr>
            <w:r w:rsidRPr="009D719B">
              <w:rPr>
                <w:b/>
              </w:rPr>
              <w:t>Yrkesoff</w:t>
            </w:r>
            <w:r w:rsidRPr="009D719B">
              <w:rPr>
                <w:b/>
              </w:rPr>
              <w:t>i</w:t>
            </w:r>
            <w:r w:rsidRPr="009D719B">
              <w:rPr>
                <w:b/>
              </w:rPr>
              <w:t>cerare</w:t>
            </w:r>
          </w:p>
        </w:tc>
        <w:tc>
          <w:tcPr>
            <w:tcW w:w="1872" w:type="dxa"/>
            <w:gridSpan w:val="2"/>
            <w:tcBorders>
              <w:left w:val="nil"/>
              <w:right w:val="single" w:sz="18" w:space="0" w:color="auto"/>
            </w:tcBorders>
            <w:shd w:val="pct15" w:color="auto" w:fill="FFFFFF"/>
            <w:vAlign w:val="center"/>
          </w:tcPr>
          <w:p w:rsidR="001F14AF" w:rsidRPr="009D719B" w:rsidRDefault="001F14AF">
            <w:pPr>
              <w:pStyle w:val="Tabell"/>
              <w:jc w:val="center"/>
              <w:rPr>
                <w:b/>
              </w:rPr>
            </w:pPr>
            <w:r w:rsidRPr="009D719B">
              <w:rPr>
                <w:b/>
              </w:rPr>
              <w:t>Civila</w:t>
            </w:r>
            <w:r w:rsidRPr="009D719B">
              <w:rPr>
                <w:b/>
              </w:rPr>
              <w:t>n</w:t>
            </w:r>
            <w:r w:rsidRPr="009D719B">
              <w:rPr>
                <w:b/>
              </w:rPr>
              <w:t>ställda</w:t>
            </w:r>
          </w:p>
        </w:tc>
        <w:tc>
          <w:tcPr>
            <w:tcW w:w="1872" w:type="dxa"/>
            <w:gridSpan w:val="2"/>
            <w:tcBorders>
              <w:left w:val="nil"/>
              <w:right w:val="single" w:sz="18" w:space="0" w:color="auto"/>
            </w:tcBorders>
            <w:shd w:val="pct15" w:color="auto" w:fill="FFFFFF"/>
            <w:vAlign w:val="center"/>
          </w:tcPr>
          <w:p w:rsidR="001F14AF" w:rsidRPr="009D719B" w:rsidRDefault="001F14AF">
            <w:pPr>
              <w:pStyle w:val="Tabell"/>
              <w:jc w:val="center"/>
              <w:rPr>
                <w:b/>
              </w:rPr>
            </w:pPr>
            <w:r w:rsidRPr="009D719B">
              <w:rPr>
                <w:b/>
              </w:rPr>
              <w:t>Statsa</w:t>
            </w:r>
            <w:r w:rsidRPr="009D719B">
              <w:rPr>
                <w:b/>
              </w:rPr>
              <w:t>n</w:t>
            </w:r>
            <w:r w:rsidRPr="009D719B">
              <w:rPr>
                <w:b/>
              </w:rPr>
              <w:t>ställda totalt</w:t>
            </w:r>
          </w:p>
        </w:tc>
      </w:tr>
      <w:tr w:rsidR="00000000" w:rsidRPr="009D719B">
        <w:tblPrEx>
          <w:tblCellMar>
            <w:top w:w="0" w:type="dxa"/>
            <w:bottom w:w="0" w:type="dxa"/>
          </w:tblCellMar>
        </w:tblPrEx>
        <w:tc>
          <w:tcPr>
            <w:tcW w:w="496" w:type="dxa"/>
            <w:tcBorders>
              <w:bottom w:val="single" w:sz="4" w:space="0" w:color="auto"/>
            </w:tcBorders>
            <w:shd w:val="pct15" w:color="auto" w:fill="FFFFFF"/>
            <w:vAlign w:val="center"/>
          </w:tcPr>
          <w:p w:rsidR="001F14AF" w:rsidRPr="009D719B" w:rsidRDefault="001F14AF">
            <w:pPr>
              <w:pStyle w:val="Tabell"/>
            </w:pPr>
          </w:p>
        </w:tc>
        <w:tc>
          <w:tcPr>
            <w:tcW w:w="936" w:type="dxa"/>
            <w:shd w:val="pct15" w:color="auto" w:fill="FFFFFF"/>
            <w:vAlign w:val="center"/>
          </w:tcPr>
          <w:p w:rsidR="001F14AF" w:rsidRPr="009D719B" w:rsidRDefault="001F14AF">
            <w:pPr>
              <w:pStyle w:val="Tabell"/>
              <w:jc w:val="center"/>
            </w:pPr>
            <w:r w:rsidRPr="009D719B">
              <w:t>Lön</w:t>
            </w:r>
          </w:p>
        </w:tc>
        <w:tc>
          <w:tcPr>
            <w:tcW w:w="936" w:type="dxa"/>
            <w:tcBorders>
              <w:right w:val="single" w:sz="18" w:space="0" w:color="auto"/>
            </w:tcBorders>
            <w:shd w:val="pct15" w:color="auto" w:fill="FFFFFF"/>
            <w:vAlign w:val="center"/>
          </w:tcPr>
          <w:p w:rsidR="001F14AF" w:rsidRPr="009D719B" w:rsidRDefault="001F14AF">
            <w:pPr>
              <w:pStyle w:val="Tabell"/>
              <w:jc w:val="center"/>
            </w:pPr>
            <w:r w:rsidRPr="009D719B">
              <w:t>Antal</w:t>
            </w:r>
          </w:p>
        </w:tc>
        <w:tc>
          <w:tcPr>
            <w:tcW w:w="936" w:type="dxa"/>
            <w:tcBorders>
              <w:left w:val="nil"/>
            </w:tcBorders>
            <w:shd w:val="pct15" w:color="auto" w:fill="FFFFFF"/>
            <w:vAlign w:val="center"/>
          </w:tcPr>
          <w:p w:rsidR="001F14AF" w:rsidRPr="009D719B" w:rsidRDefault="001F14AF">
            <w:pPr>
              <w:pStyle w:val="Tabell"/>
              <w:jc w:val="center"/>
            </w:pPr>
            <w:r w:rsidRPr="009D719B">
              <w:t>Lön</w:t>
            </w:r>
          </w:p>
        </w:tc>
        <w:tc>
          <w:tcPr>
            <w:tcW w:w="936" w:type="dxa"/>
            <w:tcBorders>
              <w:right w:val="single" w:sz="18" w:space="0" w:color="auto"/>
            </w:tcBorders>
            <w:shd w:val="pct15" w:color="auto" w:fill="FFFFFF"/>
            <w:vAlign w:val="center"/>
          </w:tcPr>
          <w:p w:rsidR="001F14AF" w:rsidRPr="009D719B" w:rsidRDefault="001F14AF">
            <w:pPr>
              <w:pStyle w:val="Tabell"/>
              <w:jc w:val="center"/>
            </w:pPr>
            <w:r w:rsidRPr="009D719B">
              <w:t>Antal</w:t>
            </w:r>
          </w:p>
        </w:tc>
        <w:tc>
          <w:tcPr>
            <w:tcW w:w="936" w:type="dxa"/>
            <w:tcBorders>
              <w:left w:val="nil"/>
            </w:tcBorders>
            <w:shd w:val="pct15" w:color="auto" w:fill="FFFFFF"/>
            <w:vAlign w:val="center"/>
          </w:tcPr>
          <w:p w:rsidR="001F14AF" w:rsidRPr="009D719B" w:rsidRDefault="001F14AF">
            <w:pPr>
              <w:pStyle w:val="Tabell"/>
              <w:jc w:val="center"/>
            </w:pPr>
            <w:r w:rsidRPr="009D719B">
              <w:t>Lön</w:t>
            </w:r>
          </w:p>
        </w:tc>
        <w:tc>
          <w:tcPr>
            <w:tcW w:w="936" w:type="dxa"/>
            <w:tcBorders>
              <w:right w:val="single" w:sz="18" w:space="0" w:color="auto"/>
            </w:tcBorders>
            <w:shd w:val="pct15" w:color="auto" w:fill="FFFFFF"/>
            <w:vAlign w:val="center"/>
          </w:tcPr>
          <w:p w:rsidR="001F14AF" w:rsidRPr="009D719B" w:rsidRDefault="001F14AF">
            <w:pPr>
              <w:pStyle w:val="Tabell"/>
              <w:jc w:val="center"/>
            </w:pPr>
            <w:r w:rsidRPr="009D719B">
              <w:t>Antal</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1993</w:t>
            </w:r>
          </w:p>
        </w:tc>
        <w:tc>
          <w:tcPr>
            <w:tcW w:w="936" w:type="dxa"/>
            <w:vAlign w:val="center"/>
          </w:tcPr>
          <w:p w:rsidR="001F14AF" w:rsidRPr="009D719B" w:rsidRDefault="001F14AF">
            <w:pPr>
              <w:pStyle w:val="Tabell"/>
              <w:ind w:right="170"/>
              <w:jc w:val="right"/>
            </w:pPr>
            <w:r w:rsidRPr="009D719B">
              <w:t>18 705</w:t>
            </w:r>
          </w:p>
        </w:tc>
        <w:tc>
          <w:tcPr>
            <w:tcW w:w="936" w:type="dxa"/>
            <w:tcBorders>
              <w:right w:val="single" w:sz="18" w:space="0" w:color="auto"/>
            </w:tcBorders>
            <w:vAlign w:val="center"/>
          </w:tcPr>
          <w:p w:rsidR="001F14AF" w:rsidRPr="009D719B" w:rsidRDefault="001F14AF">
            <w:pPr>
              <w:pStyle w:val="Tabell"/>
              <w:ind w:right="170"/>
              <w:jc w:val="right"/>
            </w:pPr>
            <w:r w:rsidRPr="009D719B">
              <w:t>15 941</w:t>
            </w:r>
          </w:p>
        </w:tc>
        <w:tc>
          <w:tcPr>
            <w:tcW w:w="936" w:type="dxa"/>
            <w:tcBorders>
              <w:left w:val="nil"/>
            </w:tcBorders>
            <w:vAlign w:val="center"/>
          </w:tcPr>
          <w:p w:rsidR="001F14AF" w:rsidRPr="009D719B" w:rsidRDefault="001F14AF">
            <w:pPr>
              <w:pStyle w:val="Tabell"/>
              <w:ind w:right="170"/>
              <w:jc w:val="right"/>
            </w:pPr>
            <w:r w:rsidRPr="009D719B">
              <w:t>13 985</w:t>
            </w:r>
          </w:p>
        </w:tc>
        <w:tc>
          <w:tcPr>
            <w:tcW w:w="936" w:type="dxa"/>
            <w:tcBorders>
              <w:right w:val="single" w:sz="18" w:space="0" w:color="auto"/>
            </w:tcBorders>
            <w:vAlign w:val="center"/>
          </w:tcPr>
          <w:p w:rsidR="001F14AF" w:rsidRPr="009D719B" w:rsidRDefault="001F14AF">
            <w:pPr>
              <w:pStyle w:val="Tabell"/>
              <w:ind w:right="170"/>
              <w:jc w:val="right"/>
            </w:pPr>
            <w:r w:rsidRPr="009D719B">
              <w:t>11 563</w:t>
            </w:r>
          </w:p>
        </w:tc>
        <w:tc>
          <w:tcPr>
            <w:tcW w:w="936" w:type="dxa"/>
            <w:tcBorders>
              <w:left w:val="nil"/>
            </w:tcBorders>
            <w:vAlign w:val="center"/>
          </w:tcPr>
          <w:p w:rsidR="001F14AF" w:rsidRPr="009D719B" w:rsidRDefault="001F14AF">
            <w:pPr>
              <w:pStyle w:val="Tabell"/>
              <w:ind w:right="170"/>
              <w:jc w:val="right"/>
            </w:pPr>
            <w:r w:rsidRPr="009D719B">
              <w:t>16 025</w:t>
            </w:r>
          </w:p>
        </w:tc>
        <w:tc>
          <w:tcPr>
            <w:tcW w:w="936" w:type="dxa"/>
            <w:tcBorders>
              <w:right w:val="single" w:sz="18" w:space="0" w:color="auto"/>
            </w:tcBorders>
            <w:vAlign w:val="center"/>
          </w:tcPr>
          <w:p w:rsidR="001F14AF" w:rsidRPr="009D719B" w:rsidRDefault="001F14AF">
            <w:pPr>
              <w:pStyle w:val="Tabell"/>
              <w:ind w:right="170"/>
              <w:jc w:val="right"/>
            </w:pPr>
            <w:r w:rsidRPr="009D719B">
              <w:t>289 733</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1994</w:t>
            </w:r>
          </w:p>
        </w:tc>
        <w:tc>
          <w:tcPr>
            <w:tcW w:w="936" w:type="dxa"/>
            <w:vAlign w:val="center"/>
          </w:tcPr>
          <w:p w:rsidR="001F14AF" w:rsidRPr="009D719B" w:rsidRDefault="001F14AF">
            <w:pPr>
              <w:pStyle w:val="Tabell"/>
              <w:ind w:right="170"/>
              <w:jc w:val="right"/>
            </w:pPr>
            <w:r w:rsidRPr="009D719B">
              <w:t>19 540</w:t>
            </w:r>
          </w:p>
        </w:tc>
        <w:tc>
          <w:tcPr>
            <w:tcW w:w="936" w:type="dxa"/>
            <w:tcBorders>
              <w:right w:val="single" w:sz="18" w:space="0" w:color="auto"/>
            </w:tcBorders>
            <w:vAlign w:val="center"/>
          </w:tcPr>
          <w:p w:rsidR="001F14AF" w:rsidRPr="009D719B" w:rsidRDefault="001F14AF">
            <w:pPr>
              <w:pStyle w:val="Tabell"/>
              <w:ind w:right="170"/>
              <w:jc w:val="right"/>
            </w:pPr>
            <w:r w:rsidRPr="009D719B">
              <w:t>15 405</w:t>
            </w:r>
          </w:p>
        </w:tc>
        <w:tc>
          <w:tcPr>
            <w:tcW w:w="936" w:type="dxa"/>
            <w:tcBorders>
              <w:left w:val="nil"/>
            </w:tcBorders>
            <w:vAlign w:val="center"/>
          </w:tcPr>
          <w:p w:rsidR="001F14AF" w:rsidRPr="009D719B" w:rsidRDefault="001F14AF">
            <w:pPr>
              <w:pStyle w:val="Tabell"/>
              <w:ind w:right="170"/>
              <w:jc w:val="right"/>
            </w:pPr>
            <w:r w:rsidRPr="009D719B">
              <w:t>14 729</w:t>
            </w:r>
          </w:p>
        </w:tc>
        <w:tc>
          <w:tcPr>
            <w:tcW w:w="936" w:type="dxa"/>
            <w:tcBorders>
              <w:right w:val="single" w:sz="18" w:space="0" w:color="auto"/>
            </w:tcBorders>
            <w:vAlign w:val="center"/>
          </w:tcPr>
          <w:p w:rsidR="001F14AF" w:rsidRPr="009D719B" w:rsidRDefault="001F14AF">
            <w:pPr>
              <w:pStyle w:val="Tabell"/>
              <w:ind w:right="170"/>
              <w:jc w:val="right"/>
            </w:pPr>
            <w:r w:rsidRPr="009D719B">
              <w:t>12 078</w:t>
            </w:r>
          </w:p>
        </w:tc>
        <w:tc>
          <w:tcPr>
            <w:tcW w:w="936" w:type="dxa"/>
            <w:tcBorders>
              <w:left w:val="nil"/>
            </w:tcBorders>
            <w:vAlign w:val="center"/>
          </w:tcPr>
          <w:p w:rsidR="001F14AF" w:rsidRPr="009D719B" w:rsidRDefault="001F14AF">
            <w:pPr>
              <w:pStyle w:val="Tabell"/>
              <w:ind w:right="170"/>
              <w:jc w:val="right"/>
            </w:pPr>
            <w:r w:rsidRPr="009D719B">
              <w:t>17 069</w:t>
            </w:r>
          </w:p>
        </w:tc>
        <w:tc>
          <w:tcPr>
            <w:tcW w:w="936" w:type="dxa"/>
            <w:tcBorders>
              <w:right w:val="single" w:sz="18" w:space="0" w:color="auto"/>
            </w:tcBorders>
            <w:vAlign w:val="center"/>
          </w:tcPr>
          <w:p w:rsidR="001F14AF" w:rsidRPr="009D719B" w:rsidRDefault="001F14AF">
            <w:pPr>
              <w:pStyle w:val="Tabell"/>
              <w:ind w:right="170"/>
              <w:jc w:val="right"/>
            </w:pPr>
            <w:r w:rsidRPr="009D719B">
              <w:t>235 259</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1995</w:t>
            </w:r>
          </w:p>
        </w:tc>
        <w:tc>
          <w:tcPr>
            <w:tcW w:w="936" w:type="dxa"/>
            <w:vAlign w:val="center"/>
          </w:tcPr>
          <w:p w:rsidR="001F14AF" w:rsidRPr="009D719B" w:rsidRDefault="001F14AF">
            <w:pPr>
              <w:pStyle w:val="Tabell"/>
              <w:ind w:right="170"/>
              <w:jc w:val="right"/>
            </w:pPr>
            <w:r w:rsidRPr="009D719B">
              <w:t>19 994</w:t>
            </w:r>
          </w:p>
        </w:tc>
        <w:tc>
          <w:tcPr>
            <w:tcW w:w="936" w:type="dxa"/>
            <w:tcBorders>
              <w:right w:val="single" w:sz="18" w:space="0" w:color="auto"/>
            </w:tcBorders>
            <w:vAlign w:val="center"/>
          </w:tcPr>
          <w:p w:rsidR="001F14AF" w:rsidRPr="009D719B" w:rsidRDefault="001F14AF">
            <w:pPr>
              <w:pStyle w:val="Tabell"/>
              <w:ind w:right="170"/>
              <w:jc w:val="right"/>
            </w:pPr>
            <w:r w:rsidRPr="009D719B">
              <w:t>14 916</w:t>
            </w:r>
          </w:p>
        </w:tc>
        <w:tc>
          <w:tcPr>
            <w:tcW w:w="936" w:type="dxa"/>
            <w:tcBorders>
              <w:left w:val="nil"/>
            </w:tcBorders>
            <w:vAlign w:val="center"/>
          </w:tcPr>
          <w:p w:rsidR="001F14AF" w:rsidRPr="009D719B" w:rsidRDefault="001F14AF">
            <w:pPr>
              <w:pStyle w:val="Tabell"/>
              <w:ind w:right="170"/>
              <w:jc w:val="right"/>
            </w:pPr>
            <w:r w:rsidRPr="009D719B">
              <w:t>14 838</w:t>
            </w:r>
          </w:p>
        </w:tc>
        <w:tc>
          <w:tcPr>
            <w:tcW w:w="936" w:type="dxa"/>
            <w:tcBorders>
              <w:right w:val="single" w:sz="18" w:space="0" w:color="auto"/>
            </w:tcBorders>
            <w:vAlign w:val="center"/>
          </w:tcPr>
          <w:p w:rsidR="001F14AF" w:rsidRPr="009D719B" w:rsidRDefault="001F14AF">
            <w:pPr>
              <w:pStyle w:val="Tabell"/>
              <w:ind w:right="170"/>
              <w:jc w:val="right"/>
            </w:pPr>
            <w:r w:rsidRPr="009D719B">
              <w:t>11 675</w:t>
            </w:r>
          </w:p>
        </w:tc>
        <w:tc>
          <w:tcPr>
            <w:tcW w:w="936" w:type="dxa"/>
            <w:tcBorders>
              <w:left w:val="nil"/>
            </w:tcBorders>
            <w:vAlign w:val="center"/>
          </w:tcPr>
          <w:p w:rsidR="001F14AF" w:rsidRPr="009D719B" w:rsidRDefault="001F14AF">
            <w:pPr>
              <w:pStyle w:val="Tabell"/>
              <w:ind w:right="170"/>
              <w:jc w:val="right"/>
            </w:pPr>
            <w:r w:rsidRPr="009D719B">
              <w:t>17 306</w:t>
            </w:r>
          </w:p>
        </w:tc>
        <w:tc>
          <w:tcPr>
            <w:tcW w:w="936" w:type="dxa"/>
            <w:tcBorders>
              <w:right w:val="single" w:sz="18" w:space="0" w:color="auto"/>
            </w:tcBorders>
            <w:vAlign w:val="center"/>
          </w:tcPr>
          <w:p w:rsidR="001F14AF" w:rsidRPr="009D719B" w:rsidRDefault="001F14AF">
            <w:pPr>
              <w:pStyle w:val="Tabell"/>
              <w:ind w:right="170"/>
              <w:jc w:val="right"/>
            </w:pPr>
            <w:r w:rsidRPr="009D719B">
              <w:t>230 707</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1996</w:t>
            </w:r>
          </w:p>
        </w:tc>
        <w:tc>
          <w:tcPr>
            <w:tcW w:w="936" w:type="dxa"/>
            <w:vAlign w:val="center"/>
          </w:tcPr>
          <w:p w:rsidR="001F14AF" w:rsidRPr="009D719B" w:rsidRDefault="001F14AF">
            <w:pPr>
              <w:pStyle w:val="Tabell"/>
              <w:ind w:right="170"/>
              <w:jc w:val="right"/>
            </w:pPr>
            <w:r w:rsidRPr="009D719B">
              <w:t>21 426</w:t>
            </w:r>
          </w:p>
        </w:tc>
        <w:tc>
          <w:tcPr>
            <w:tcW w:w="936" w:type="dxa"/>
            <w:tcBorders>
              <w:right w:val="single" w:sz="18" w:space="0" w:color="auto"/>
            </w:tcBorders>
            <w:vAlign w:val="center"/>
          </w:tcPr>
          <w:p w:rsidR="001F14AF" w:rsidRPr="009D719B" w:rsidRDefault="001F14AF">
            <w:pPr>
              <w:pStyle w:val="Tabell"/>
              <w:ind w:right="170"/>
              <w:jc w:val="right"/>
            </w:pPr>
            <w:r w:rsidRPr="009D719B">
              <w:t>15 111</w:t>
            </w:r>
          </w:p>
        </w:tc>
        <w:tc>
          <w:tcPr>
            <w:tcW w:w="936" w:type="dxa"/>
            <w:tcBorders>
              <w:left w:val="nil"/>
            </w:tcBorders>
            <w:vAlign w:val="center"/>
          </w:tcPr>
          <w:p w:rsidR="001F14AF" w:rsidRPr="009D719B" w:rsidRDefault="001F14AF">
            <w:pPr>
              <w:pStyle w:val="Tabell"/>
              <w:ind w:right="170"/>
              <w:jc w:val="right"/>
            </w:pPr>
            <w:r w:rsidRPr="009D719B">
              <w:t>15 819</w:t>
            </w:r>
          </w:p>
        </w:tc>
        <w:tc>
          <w:tcPr>
            <w:tcW w:w="936" w:type="dxa"/>
            <w:tcBorders>
              <w:right w:val="single" w:sz="18" w:space="0" w:color="auto"/>
            </w:tcBorders>
            <w:vAlign w:val="center"/>
          </w:tcPr>
          <w:p w:rsidR="001F14AF" w:rsidRPr="009D719B" w:rsidRDefault="001F14AF">
            <w:pPr>
              <w:pStyle w:val="Tabell"/>
              <w:ind w:right="170"/>
              <w:jc w:val="right"/>
            </w:pPr>
            <w:r w:rsidRPr="009D719B">
              <w:t>11 992</w:t>
            </w:r>
          </w:p>
        </w:tc>
        <w:tc>
          <w:tcPr>
            <w:tcW w:w="936" w:type="dxa"/>
            <w:tcBorders>
              <w:left w:val="nil"/>
            </w:tcBorders>
            <w:vAlign w:val="center"/>
          </w:tcPr>
          <w:p w:rsidR="001F14AF" w:rsidRPr="009D719B" w:rsidRDefault="001F14AF">
            <w:pPr>
              <w:pStyle w:val="Tabell"/>
              <w:ind w:right="170"/>
              <w:jc w:val="right"/>
            </w:pPr>
            <w:r w:rsidRPr="009D719B">
              <w:t>18 625</w:t>
            </w:r>
          </w:p>
        </w:tc>
        <w:tc>
          <w:tcPr>
            <w:tcW w:w="936" w:type="dxa"/>
            <w:tcBorders>
              <w:right w:val="single" w:sz="18" w:space="0" w:color="auto"/>
            </w:tcBorders>
            <w:vAlign w:val="center"/>
          </w:tcPr>
          <w:p w:rsidR="001F14AF" w:rsidRPr="009D719B" w:rsidRDefault="001F14AF">
            <w:pPr>
              <w:pStyle w:val="Tabell"/>
              <w:ind w:right="170"/>
              <w:jc w:val="right"/>
            </w:pPr>
            <w:r w:rsidRPr="009D719B">
              <w:t>227 550</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1997</w:t>
            </w:r>
          </w:p>
        </w:tc>
        <w:tc>
          <w:tcPr>
            <w:tcW w:w="936" w:type="dxa"/>
            <w:vAlign w:val="center"/>
          </w:tcPr>
          <w:p w:rsidR="001F14AF" w:rsidRPr="009D719B" w:rsidRDefault="001F14AF">
            <w:pPr>
              <w:pStyle w:val="Tabell"/>
              <w:ind w:right="170"/>
              <w:jc w:val="right"/>
            </w:pPr>
            <w:r w:rsidRPr="009D719B">
              <w:t>22 421</w:t>
            </w:r>
          </w:p>
        </w:tc>
        <w:tc>
          <w:tcPr>
            <w:tcW w:w="936" w:type="dxa"/>
            <w:tcBorders>
              <w:right w:val="single" w:sz="18" w:space="0" w:color="auto"/>
            </w:tcBorders>
            <w:vAlign w:val="center"/>
          </w:tcPr>
          <w:p w:rsidR="001F14AF" w:rsidRPr="009D719B" w:rsidRDefault="001F14AF">
            <w:pPr>
              <w:pStyle w:val="Tabell"/>
              <w:ind w:right="170"/>
              <w:jc w:val="right"/>
            </w:pPr>
            <w:r w:rsidRPr="009D719B">
              <w:t>14 448</w:t>
            </w:r>
          </w:p>
        </w:tc>
        <w:tc>
          <w:tcPr>
            <w:tcW w:w="936" w:type="dxa"/>
            <w:tcBorders>
              <w:left w:val="nil"/>
            </w:tcBorders>
            <w:vAlign w:val="center"/>
          </w:tcPr>
          <w:p w:rsidR="001F14AF" w:rsidRPr="009D719B" w:rsidRDefault="001F14AF">
            <w:pPr>
              <w:pStyle w:val="Tabell"/>
              <w:ind w:right="170"/>
              <w:jc w:val="right"/>
            </w:pPr>
            <w:r w:rsidRPr="009D719B">
              <w:t>16 399</w:t>
            </w:r>
          </w:p>
        </w:tc>
        <w:tc>
          <w:tcPr>
            <w:tcW w:w="936" w:type="dxa"/>
            <w:tcBorders>
              <w:right w:val="single" w:sz="18" w:space="0" w:color="auto"/>
            </w:tcBorders>
            <w:vAlign w:val="center"/>
          </w:tcPr>
          <w:p w:rsidR="001F14AF" w:rsidRPr="009D719B" w:rsidRDefault="001F14AF">
            <w:pPr>
              <w:pStyle w:val="Tabell"/>
              <w:ind w:right="170"/>
              <w:jc w:val="right"/>
            </w:pPr>
            <w:r w:rsidRPr="009D719B">
              <w:t>10 251</w:t>
            </w:r>
          </w:p>
        </w:tc>
        <w:tc>
          <w:tcPr>
            <w:tcW w:w="936" w:type="dxa"/>
            <w:tcBorders>
              <w:left w:val="nil"/>
            </w:tcBorders>
            <w:vAlign w:val="center"/>
          </w:tcPr>
          <w:p w:rsidR="001F14AF" w:rsidRPr="009D719B" w:rsidRDefault="001F14AF">
            <w:pPr>
              <w:pStyle w:val="Tabell"/>
              <w:ind w:right="170"/>
              <w:jc w:val="right"/>
            </w:pPr>
            <w:r w:rsidRPr="009D719B">
              <w:t>19 510</w:t>
            </w:r>
          </w:p>
        </w:tc>
        <w:tc>
          <w:tcPr>
            <w:tcW w:w="936" w:type="dxa"/>
            <w:tcBorders>
              <w:right w:val="single" w:sz="18" w:space="0" w:color="auto"/>
            </w:tcBorders>
            <w:vAlign w:val="center"/>
          </w:tcPr>
          <w:p w:rsidR="001F14AF" w:rsidRPr="009D719B" w:rsidRDefault="001F14AF">
            <w:pPr>
              <w:pStyle w:val="Tabell"/>
              <w:ind w:right="170"/>
              <w:jc w:val="right"/>
            </w:pPr>
            <w:r w:rsidRPr="009D719B">
              <w:t>226 380</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1998</w:t>
            </w:r>
          </w:p>
        </w:tc>
        <w:tc>
          <w:tcPr>
            <w:tcW w:w="936" w:type="dxa"/>
            <w:vAlign w:val="center"/>
          </w:tcPr>
          <w:p w:rsidR="001F14AF" w:rsidRPr="009D719B" w:rsidRDefault="001F14AF">
            <w:pPr>
              <w:pStyle w:val="Tabell"/>
              <w:ind w:right="170"/>
              <w:jc w:val="right"/>
            </w:pPr>
            <w:r w:rsidRPr="009D719B">
              <w:t>22 394</w:t>
            </w:r>
          </w:p>
        </w:tc>
        <w:tc>
          <w:tcPr>
            <w:tcW w:w="936" w:type="dxa"/>
            <w:tcBorders>
              <w:right w:val="single" w:sz="18" w:space="0" w:color="auto"/>
            </w:tcBorders>
            <w:vAlign w:val="center"/>
          </w:tcPr>
          <w:p w:rsidR="001F14AF" w:rsidRPr="009D719B" w:rsidRDefault="001F14AF">
            <w:pPr>
              <w:pStyle w:val="Tabell"/>
              <w:ind w:right="170"/>
              <w:jc w:val="right"/>
            </w:pPr>
            <w:r w:rsidRPr="009D719B">
              <w:t>13 361</w:t>
            </w:r>
          </w:p>
        </w:tc>
        <w:tc>
          <w:tcPr>
            <w:tcW w:w="936" w:type="dxa"/>
            <w:tcBorders>
              <w:left w:val="nil"/>
            </w:tcBorders>
            <w:vAlign w:val="center"/>
          </w:tcPr>
          <w:p w:rsidR="001F14AF" w:rsidRPr="009D719B" w:rsidRDefault="001F14AF">
            <w:pPr>
              <w:pStyle w:val="Tabell"/>
              <w:ind w:right="170"/>
              <w:jc w:val="right"/>
            </w:pPr>
            <w:r w:rsidRPr="009D719B">
              <w:t>16 580</w:t>
            </w:r>
          </w:p>
        </w:tc>
        <w:tc>
          <w:tcPr>
            <w:tcW w:w="936" w:type="dxa"/>
            <w:tcBorders>
              <w:right w:val="single" w:sz="18" w:space="0" w:color="auto"/>
            </w:tcBorders>
            <w:vAlign w:val="center"/>
          </w:tcPr>
          <w:p w:rsidR="001F14AF" w:rsidRPr="009D719B" w:rsidRDefault="001F14AF">
            <w:pPr>
              <w:pStyle w:val="Tabell"/>
              <w:ind w:right="170"/>
              <w:jc w:val="right"/>
            </w:pPr>
            <w:r w:rsidRPr="009D719B">
              <w:t>9 350</w:t>
            </w:r>
          </w:p>
        </w:tc>
        <w:tc>
          <w:tcPr>
            <w:tcW w:w="936" w:type="dxa"/>
            <w:tcBorders>
              <w:left w:val="nil"/>
            </w:tcBorders>
            <w:vAlign w:val="center"/>
          </w:tcPr>
          <w:p w:rsidR="001F14AF" w:rsidRPr="009D719B" w:rsidRDefault="001F14AF">
            <w:pPr>
              <w:pStyle w:val="Tabell"/>
              <w:ind w:right="170"/>
              <w:jc w:val="right"/>
            </w:pPr>
            <w:r w:rsidRPr="009D719B">
              <w:t>19 786</w:t>
            </w:r>
          </w:p>
        </w:tc>
        <w:tc>
          <w:tcPr>
            <w:tcW w:w="936" w:type="dxa"/>
            <w:tcBorders>
              <w:right w:val="single" w:sz="18" w:space="0" w:color="auto"/>
            </w:tcBorders>
            <w:vAlign w:val="center"/>
          </w:tcPr>
          <w:p w:rsidR="001F14AF" w:rsidRPr="009D719B" w:rsidRDefault="001F14AF">
            <w:pPr>
              <w:pStyle w:val="Tabell"/>
              <w:ind w:right="170"/>
              <w:jc w:val="right"/>
            </w:pPr>
            <w:r w:rsidRPr="009D719B">
              <w:t>222 633</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rPr>
                <w:b/>
              </w:rPr>
            </w:pPr>
            <w:r w:rsidRPr="009D719B">
              <w:rPr>
                <w:b/>
              </w:rPr>
              <w:t>1999</w:t>
            </w:r>
          </w:p>
        </w:tc>
        <w:tc>
          <w:tcPr>
            <w:tcW w:w="936" w:type="dxa"/>
            <w:vAlign w:val="center"/>
          </w:tcPr>
          <w:p w:rsidR="001F14AF" w:rsidRPr="009D719B" w:rsidRDefault="001F14AF">
            <w:pPr>
              <w:pStyle w:val="Tabell"/>
              <w:ind w:right="170"/>
              <w:jc w:val="right"/>
            </w:pPr>
            <w:r w:rsidRPr="009D719B">
              <w:t>23 628</w:t>
            </w:r>
          </w:p>
        </w:tc>
        <w:tc>
          <w:tcPr>
            <w:tcW w:w="936" w:type="dxa"/>
            <w:tcBorders>
              <w:right w:val="single" w:sz="18" w:space="0" w:color="auto"/>
            </w:tcBorders>
            <w:vAlign w:val="center"/>
          </w:tcPr>
          <w:p w:rsidR="001F14AF" w:rsidRPr="009D719B" w:rsidRDefault="001F14AF">
            <w:pPr>
              <w:pStyle w:val="Tabell"/>
              <w:ind w:right="170"/>
              <w:jc w:val="right"/>
            </w:pPr>
            <w:r w:rsidRPr="009D719B">
              <w:t>12 811</w:t>
            </w:r>
          </w:p>
        </w:tc>
        <w:tc>
          <w:tcPr>
            <w:tcW w:w="936" w:type="dxa"/>
            <w:tcBorders>
              <w:left w:val="nil"/>
            </w:tcBorders>
            <w:vAlign w:val="center"/>
          </w:tcPr>
          <w:p w:rsidR="001F14AF" w:rsidRPr="009D719B" w:rsidRDefault="001F14AF">
            <w:pPr>
              <w:pStyle w:val="Tabell"/>
              <w:ind w:right="170"/>
              <w:jc w:val="right"/>
            </w:pPr>
            <w:r w:rsidRPr="009D719B">
              <w:t>17 316</w:t>
            </w:r>
          </w:p>
        </w:tc>
        <w:tc>
          <w:tcPr>
            <w:tcW w:w="936" w:type="dxa"/>
            <w:tcBorders>
              <w:right w:val="single" w:sz="18" w:space="0" w:color="auto"/>
            </w:tcBorders>
            <w:vAlign w:val="center"/>
          </w:tcPr>
          <w:p w:rsidR="001F14AF" w:rsidRPr="009D719B" w:rsidRDefault="001F14AF">
            <w:pPr>
              <w:pStyle w:val="Tabell"/>
              <w:ind w:right="170"/>
              <w:jc w:val="right"/>
            </w:pPr>
            <w:r w:rsidRPr="009D719B">
              <w:t>9 282</w:t>
            </w:r>
          </w:p>
        </w:tc>
        <w:tc>
          <w:tcPr>
            <w:tcW w:w="936" w:type="dxa"/>
            <w:tcBorders>
              <w:left w:val="nil"/>
            </w:tcBorders>
            <w:vAlign w:val="center"/>
          </w:tcPr>
          <w:p w:rsidR="001F14AF" w:rsidRPr="009D719B" w:rsidRDefault="001F14AF">
            <w:pPr>
              <w:pStyle w:val="Tabell"/>
              <w:ind w:right="170"/>
              <w:jc w:val="right"/>
            </w:pPr>
            <w:r w:rsidRPr="009D719B">
              <w:t>20 885</w:t>
            </w:r>
          </w:p>
        </w:tc>
        <w:tc>
          <w:tcPr>
            <w:tcW w:w="936" w:type="dxa"/>
            <w:tcBorders>
              <w:right w:val="single" w:sz="18" w:space="0" w:color="auto"/>
            </w:tcBorders>
            <w:vAlign w:val="center"/>
          </w:tcPr>
          <w:p w:rsidR="001F14AF" w:rsidRPr="009D719B" w:rsidRDefault="001F14AF">
            <w:pPr>
              <w:pStyle w:val="Tabell"/>
              <w:ind w:right="170"/>
              <w:jc w:val="right"/>
            </w:pPr>
            <w:r w:rsidRPr="009D719B">
              <w:t>222 179</w:t>
            </w:r>
          </w:p>
        </w:tc>
      </w:tr>
      <w:tr w:rsidR="00000000" w:rsidRPr="009D719B">
        <w:tblPrEx>
          <w:tblCellMar>
            <w:top w:w="0" w:type="dxa"/>
            <w:bottom w:w="0" w:type="dxa"/>
          </w:tblCellMar>
        </w:tblPrEx>
        <w:trPr>
          <w:trHeight w:val="240"/>
        </w:trPr>
        <w:tc>
          <w:tcPr>
            <w:tcW w:w="496" w:type="dxa"/>
            <w:tcBorders>
              <w:bottom w:val="single" w:sz="4" w:space="0" w:color="auto"/>
            </w:tcBorders>
            <w:shd w:val="pct15" w:color="auto" w:fill="FFFFFF"/>
            <w:vAlign w:val="center"/>
          </w:tcPr>
          <w:p w:rsidR="001F14AF" w:rsidRPr="009D719B" w:rsidRDefault="001F14AF">
            <w:pPr>
              <w:pStyle w:val="Tabell"/>
              <w:rPr>
                <w:b/>
              </w:rPr>
            </w:pPr>
            <w:r w:rsidRPr="009D719B">
              <w:rPr>
                <w:b/>
              </w:rPr>
              <w:t>2000</w:t>
            </w:r>
          </w:p>
        </w:tc>
        <w:tc>
          <w:tcPr>
            <w:tcW w:w="936" w:type="dxa"/>
            <w:tcBorders>
              <w:bottom w:val="single" w:sz="4" w:space="0" w:color="auto"/>
            </w:tcBorders>
            <w:vAlign w:val="center"/>
          </w:tcPr>
          <w:p w:rsidR="001F14AF" w:rsidRPr="009D719B" w:rsidRDefault="001F14AF">
            <w:pPr>
              <w:pStyle w:val="Tabell"/>
              <w:ind w:right="170"/>
              <w:jc w:val="right"/>
            </w:pPr>
            <w:r w:rsidRPr="009D719B">
              <w:t>25 655</w:t>
            </w:r>
          </w:p>
        </w:tc>
        <w:tc>
          <w:tcPr>
            <w:tcW w:w="936" w:type="dxa"/>
            <w:tcBorders>
              <w:bottom w:val="single" w:sz="4" w:space="0" w:color="auto"/>
              <w:right w:val="single" w:sz="18" w:space="0" w:color="auto"/>
            </w:tcBorders>
            <w:vAlign w:val="center"/>
          </w:tcPr>
          <w:p w:rsidR="001F14AF" w:rsidRPr="009D719B" w:rsidRDefault="001F14AF">
            <w:pPr>
              <w:pStyle w:val="Tabell"/>
              <w:ind w:right="170"/>
              <w:jc w:val="right"/>
            </w:pPr>
            <w:r w:rsidRPr="009D719B">
              <w:t>12 022</w:t>
            </w:r>
          </w:p>
        </w:tc>
        <w:tc>
          <w:tcPr>
            <w:tcW w:w="936" w:type="dxa"/>
            <w:tcBorders>
              <w:left w:val="nil"/>
              <w:bottom w:val="single" w:sz="4" w:space="0" w:color="auto"/>
            </w:tcBorders>
            <w:vAlign w:val="center"/>
          </w:tcPr>
          <w:p w:rsidR="001F14AF" w:rsidRPr="009D719B" w:rsidRDefault="001F14AF">
            <w:pPr>
              <w:pStyle w:val="Tabell"/>
              <w:ind w:right="170"/>
              <w:jc w:val="right"/>
            </w:pPr>
            <w:r w:rsidRPr="009D719B">
              <w:t>18 587</w:t>
            </w:r>
          </w:p>
        </w:tc>
        <w:tc>
          <w:tcPr>
            <w:tcW w:w="936" w:type="dxa"/>
            <w:tcBorders>
              <w:bottom w:val="single" w:sz="4" w:space="0" w:color="auto"/>
              <w:right w:val="single" w:sz="18" w:space="0" w:color="auto"/>
            </w:tcBorders>
            <w:vAlign w:val="center"/>
          </w:tcPr>
          <w:p w:rsidR="001F14AF" w:rsidRPr="009D719B" w:rsidRDefault="001F14AF">
            <w:pPr>
              <w:pStyle w:val="Tabell"/>
              <w:ind w:right="170"/>
              <w:jc w:val="right"/>
            </w:pPr>
            <w:r w:rsidRPr="009D719B">
              <w:t>9 038</w:t>
            </w:r>
          </w:p>
        </w:tc>
        <w:tc>
          <w:tcPr>
            <w:tcW w:w="936" w:type="dxa"/>
            <w:tcBorders>
              <w:left w:val="nil"/>
              <w:bottom w:val="single" w:sz="4" w:space="0" w:color="auto"/>
            </w:tcBorders>
            <w:vAlign w:val="center"/>
          </w:tcPr>
          <w:p w:rsidR="001F14AF" w:rsidRPr="009D719B" w:rsidRDefault="001F14AF">
            <w:pPr>
              <w:pStyle w:val="Tabell"/>
              <w:ind w:right="170"/>
              <w:jc w:val="right"/>
            </w:pPr>
            <w:r w:rsidRPr="009D719B">
              <w:t>21 866</w:t>
            </w:r>
          </w:p>
        </w:tc>
        <w:tc>
          <w:tcPr>
            <w:tcW w:w="936" w:type="dxa"/>
            <w:tcBorders>
              <w:bottom w:val="single" w:sz="4" w:space="0" w:color="auto"/>
              <w:right w:val="single" w:sz="18" w:space="0" w:color="auto"/>
            </w:tcBorders>
            <w:vAlign w:val="center"/>
          </w:tcPr>
          <w:p w:rsidR="001F14AF" w:rsidRPr="009D719B" w:rsidRDefault="001F14AF">
            <w:pPr>
              <w:pStyle w:val="Tabell"/>
              <w:ind w:right="170"/>
              <w:jc w:val="right"/>
            </w:pPr>
            <w:r w:rsidRPr="009D719B">
              <w:t>218 843</w:t>
            </w:r>
          </w:p>
        </w:tc>
      </w:tr>
      <w:tr w:rsidR="00000000" w:rsidRPr="009D719B">
        <w:tblPrEx>
          <w:tblCellMar>
            <w:top w:w="0" w:type="dxa"/>
            <w:bottom w:w="0" w:type="dxa"/>
          </w:tblCellMar>
        </w:tblPrEx>
        <w:trPr>
          <w:trHeight w:val="240"/>
        </w:trPr>
        <w:tc>
          <w:tcPr>
            <w:tcW w:w="496" w:type="dxa"/>
            <w:tcBorders>
              <w:bottom w:val="single" w:sz="18" w:space="0" w:color="auto"/>
            </w:tcBorders>
            <w:shd w:val="pct15" w:color="auto" w:fill="FFFFFF"/>
            <w:vAlign w:val="center"/>
          </w:tcPr>
          <w:p w:rsidR="001F14AF" w:rsidRPr="009D719B" w:rsidRDefault="001F14AF">
            <w:pPr>
              <w:pStyle w:val="Tabell"/>
              <w:rPr>
                <w:b/>
              </w:rPr>
            </w:pPr>
            <w:r w:rsidRPr="009D719B">
              <w:rPr>
                <w:b/>
              </w:rPr>
              <w:t>2001</w:t>
            </w:r>
          </w:p>
        </w:tc>
        <w:tc>
          <w:tcPr>
            <w:tcW w:w="936" w:type="dxa"/>
            <w:tcBorders>
              <w:bottom w:val="single" w:sz="18" w:space="0" w:color="auto"/>
            </w:tcBorders>
            <w:vAlign w:val="center"/>
          </w:tcPr>
          <w:p w:rsidR="001F14AF" w:rsidRPr="009D719B" w:rsidRDefault="001F14AF">
            <w:pPr>
              <w:pStyle w:val="Tabell"/>
              <w:ind w:right="170"/>
              <w:jc w:val="right"/>
            </w:pPr>
            <w:r w:rsidRPr="009D719B">
              <w:t>26 157</w:t>
            </w:r>
          </w:p>
        </w:tc>
        <w:tc>
          <w:tcPr>
            <w:tcW w:w="936" w:type="dxa"/>
            <w:tcBorders>
              <w:bottom w:val="single" w:sz="18" w:space="0" w:color="auto"/>
              <w:right w:val="single" w:sz="18" w:space="0" w:color="auto"/>
            </w:tcBorders>
            <w:vAlign w:val="center"/>
          </w:tcPr>
          <w:p w:rsidR="001F14AF" w:rsidRPr="009D719B" w:rsidRDefault="001F14AF">
            <w:pPr>
              <w:pStyle w:val="Tabell"/>
              <w:ind w:right="170"/>
              <w:jc w:val="right"/>
            </w:pPr>
            <w:r w:rsidRPr="009D719B">
              <w:t>11 256</w:t>
            </w:r>
          </w:p>
        </w:tc>
        <w:tc>
          <w:tcPr>
            <w:tcW w:w="936" w:type="dxa"/>
            <w:tcBorders>
              <w:left w:val="nil"/>
              <w:bottom w:val="single" w:sz="18" w:space="0" w:color="auto"/>
            </w:tcBorders>
            <w:vAlign w:val="center"/>
          </w:tcPr>
          <w:p w:rsidR="001F14AF" w:rsidRPr="009D719B" w:rsidRDefault="001F14AF">
            <w:pPr>
              <w:pStyle w:val="Tabell"/>
              <w:ind w:right="170"/>
              <w:jc w:val="right"/>
            </w:pPr>
            <w:r w:rsidRPr="009D719B">
              <w:t>19 178</w:t>
            </w:r>
          </w:p>
        </w:tc>
        <w:tc>
          <w:tcPr>
            <w:tcW w:w="936" w:type="dxa"/>
            <w:tcBorders>
              <w:bottom w:val="single" w:sz="18" w:space="0" w:color="auto"/>
              <w:right w:val="single" w:sz="18" w:space="0" w:color="auto"/>
            </w:tcBorders>
            <w:vAlign w:val="center"/>
          </w:tcPr>
          <w:p w:rsidR="001F14AF" w:rsidRPr="009D719B" w:rsidRDefault="001F14AF">
            <w:pPr>
              <w:pStyle w:val="Tabell"/>
              <w:ind w:right="170"/>
              <w:jc w:val="right"/>
            </w:pPr>
            <w:r w:rsidRPr="009D719B">
              <w:t>8 992</w:t>
            </w:r>
          </w:p>
        </w:tc>
        <w:tc>
          <w:tcPr>
            <w:tcW w:w="936" w:type="dxa"/>
            <w:tcBorders>
              <w:left w:val="nil"/>
              <w:bottom w:val="single" w:sz="18" w:space="0" w:color="auto"/>
            </w:tcBorders>
            <w:vAlign w:val="center"/>
          </w:tcPr>
          <w:p w:rsidR="001F14AF" w:rsidRPr="009D719B" w:rsidRDefault="001F14AF">
            <w:pPr>
              <w:pStyle w:val="Tabell"/>
              <w:ind w:right="170"/>
              <w:jc w:val="right"/>
            </w:pPr>
            <w:r w:rsidRPr="009D719B">
              <w:t>22 707</w:t>
            </w:r>
          </w:p>
        </w:tc>
        <w:tc>
          <w:tcPr>
            <w:tcW w:w="936" w:type="dxa"/>
            <w:tcBorders>
              <w:bottom w:val="single" w:sz="18" w:space="0" w:color="auto"/>
              <w:right w:val="single" w:sz="18" w:space="0" w:color="auto"/>
            </w:tcBorders>
            <w:vAlign w:val="center"/>
          </w:tcPr>
          <w:p w:rsidR="001F14AF" w:rsidRPr="009D719B" w:rsidRDefault="001F14AF">
            <w:pPr>
              <w:pStyle w:val="Tabell"/>
              <w:ind w:right="170"/>
              <w:jc w:val="right"/>
            </w:pPr>
            <w:r w:rsidRPr="009D719B">
              <w:t>206 512</w:t>
            </w:r>
          </w:p>
        </w:tc>
      </w:tr>
    </w:tbl>
    <w:p w:rsidR="001F14AF" w:rsidRPr="009D719B" w:rsidRDefault="001F14AF">
      <w:pPr>
        <w:pStyle w:val="Tabell"/>
      </w:pPr>
      <w:r w:rsidRPr="009D719B">
        <w:t>Källa: SCB</w:t>
      </w:r>
    </w:p>
    <w:p w:rsidR="001F14AF" w:rsidRPr="009D719B" w:rsidRDefault="001F14AF">
      <w:pPr>
        <w:pStyle w:val="Normaltindrag"/>
      </w:pPr>
    </w:p>
    <w:p w:rsidR="001F14AF" w:rsidRPr="009D719B" w:rsidRDefault="001F14AF">
      <w:pPr>
        <w:pStyle w:val="Beskrivning"/>
      </w:pPr>
      <w:r w:rsidRPr="009D719B">
        <w:br w:type="page"/>
        <w:t>Tabell C</w:t>
      </w:r>
      <w:r w:rsidRPr="009D719B">
        <w:tab/>
        <w:t xml:space="preserve">Genomsnittlig månadslön, beräknat för identiska individer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842"/>
        <w:gridCol w:w="1843"/>
        <w:gridCol w:w="1855"/>
      </w:tblGrid>
      <w:tr w:rsidR="00000000" w:rsidRPr="009D719B">
        <w:tblPrEx>
          <w:tblCellMar>
            <w:top w:w="0" w:type="dxa"/>
            <w:bottom w:w="0" w:type="dxa"/>
          </w:tblCellMar>
        </w:tblPrEx>
        <w:trPr>
          <w:trHeight w:val="240"/>
        </w:trPr>
        <w:tc>
          <w:tcPr>
            <w:tcW w:w="496" w:type="dxa"/>
            <w:shd w:val="pct15" w:color="auto" w:fill="FFFFFF"/>
          </w:tcPr>
          <w:p w:rsidR="001F14AF" w:rsidRPr="009D719B" w:rsidRDefault="001F14AF">
            <w:pPr>
              <w:pStyle w:val="Tabell"/>
              <w:jc w:val="left"/>
              <w:rPr>
                <w:b/>
              </w:rPr>
            </w:pPr>
          </w:p>
        </w:tc>
        <w:tc>
          <w:tcPr>
            <w:tcW w:w="1842" w:type="dxa"/>
            <w:shd w:val="pct15" w:color="auto" w:fill="FFFFFF"/>
            <w:vAlign w:val="center"/>
          </w:tcPr>
          <w:p w:rsidR="001F14AF" w:rsidRPr="009D719B" w:rsidRDefault="001F14AF">
            <w:pPr>
              <w:pStyle w:val="Tabell"/>
              <w:jc w:val="center"/>
              <w:rPr>
                <w:b/>
              </w:rPr>
            </w:pPr>
            <w:r w:rsidRPr="009D719B">
              <w:rPr>
                <w:b/>
              </w:rPr>
              <w:t>Yrkesoff</w:t>
            </w:r>
            <w:r w:rsidRPr="009D719B">
              <w:rPr>
                <w:b/>
              </w:rPr>
              <w:t>i</w:t>
            </w:r>
            <w:r w:rsidRPr="009D719B">
              <w:rPr>
                <w:b/>
              </w:rPr>
              <w:t>cerare</w:t>
            </w:r>
          </w:p>
        </w:tc>
        <w:tc>
          <w:tcPr>
            <w:tcW w:w="1843" w:type="dxa"/>
            <w:shd w:val="pct15" w:color="auto" w:fill="FFFFFF"/>
            <w:vAlign w:val="center"/>
          </w:tcPr>
          <w:p w:rsidR="001F14AF" w:rsidRPr="009D719B" w:rsidRDefault="001F14AF">
            <w:pPr>
              <w:pStyle w:val="Tabell"/>
              <w:jc w:val="center"/>
              <w:rPr>
                <w:b/>
              </w:rPr>
            </w:pPr>
            <w:r w:rsidRPr="009D719B">
              <w:rPr>
                <w:b/>
              </w:rPr>
              <w:t>Civila</w:t>
            </w:r>
            <w:r w:rsidRPr="009D719B">
              <w:rPr>
                <w:b/>
              </w:rPr>
              <w:t>n</w:t>
            </w:r>
            <w:r w:rsidRPr="009D719B">
              <w:rPr>
                <w:b/>
              </w:rPr>
              <w:t>ställda</w:t>
            </w:r>
          </w:p>
        </w:tc>
        <w:tc>
          <w:tcPr>
            <w:tcW w:w="1855" w:type="dxa"/>
            <w:tcBorders>
              <w:right w:val="single" w:sz="18" w:space="0" w:color="auto"/>
            </w:tcBorders>
            <w:shd w:val="pct15" w:color="auto" w:fill="FFFFFF"/>
            <w:vAlign w:val="center"/>
          </w:tcPr>
          <w:p w:rsidR="001F14AF" w:rsidRPr="009D719B" w:rsidRDefault="001F14AF">
            <w:pPr>
              <w:pStyle w:val="Tabell"/>
              <w:jc w:val="center"/>
              <w:rPr>
                <w:b/>
              </w:rPr>
            </w:pPr>
            <w:r w:rsidRPr="009D719B">
              <w:rPr>
                <w:b/>
              </w:rPr>
              <w:t>Statsa</w:t>
            </w:r>
            <w:r w:rsidRPr="009D719B">
              <w:rPr>
                <w:b/>
              </w:rPr>
              <w:t>n</w:t>
            </w:r>
            <w:r w:rsidRPr="009D719B">
              <w:rPr>
                <w:b/>
              </w:rPr>
              <w:t>ställda totalt</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jc w:val="left"/>
              <w:rPr>
                <w:b/>
              </w:rPr>
            </w:pPr>
            <w:r w:rsidRPr="009D719B">
              <w:rPr>
                <w:b/>
              </w:rPr>
              <w:t>1995</w:t>
            </w:r>
          </w:p>
        </w:tc>
        <w:tc>
          <w:tcPr>
            <w:tcW w:w="1842" w:type="dxa"/>
            <w:vAlign w:val="center"/>
          </w:tcPr>
          <w:p w:rsidR="001F14AF" w:rsidRPr="009D719B" w:rsidRDefault="001F14AF">
            <w:pPr>
              <w:pStyle w:val="Tabell"/>
              <w:jc w:val="center"/>
            </w:pPr>
            <w:r w:rsidRPr="009D719B">
              <w:t>20 071</w:t>
            </w:r>
          </w:p>
        </w:tc>
        <w:tc>
          <w:tcPr>
            <w:tcW w:w="1843" w:type="dxa"/>
            <w:vAlign w:val="center"/>
          </w:tcPr>
          <w:p w:rsidR="001F14AF" w:rsidRPr="009D719B" w:rsidRDefault="001F14AF">
            <w:pPr>
              <w:pStyle w:val="Tabell"/>
              <w:jc w:val="center"/>
            </w:pPr>
            <w:r w:rsidRPr="009D719B">
              <w:t>14 850</w:t>
            </w:r>
          </w:p>
        </w:tc>
        <w:tc>
          <w:tcPr>
            <w:tcW w:w="1855" w:type="dxa"/>
            <w:tcBorders>
              <w:right w:val="single" w:sz="18" w:space="0" w:color="auto"/>
            </w:tcBorders>
            <w:vAlign w:val="center"/>
          </w:tcPr>
          <w:p w:rsidR="001F14AF" w:rsidRPr="009D719B" w:rsidRDefault="001F14AF">
            <w:pPr>
              <w:pStyle w:val="Tabell"/>
              <w:jc w:val="center"/>
            </w:pPr>
            <w:r w:rsidRPr="009D719B">
              <w:t>17 409</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jc w:val="left"/>
              <w:rPr>
                <w:b/>
              </w:rPr>
            </w:pPr>
            <w:r w:rsidRPr="009D719B">
              <w:rPr>
                <w:b/>
              </w:rPr>
              <w:t>1996</w:t>
            </w:r>
          </w:p>
        </w:tc>
        <w:tc>
          <w:tcPr>
            <w:tcW w:w="1842" w:type="dxa"/>
            <w:vAlign w:val="center"/>
          </w:tcPr>
          <w:p w:rsidR="001F14AF" w:rsidRPr="009D719B" w:rsidRDefault="001F14AF">
            <w:pPr>
              <w:pStyle w:val="Tabell"/>
              <w:jc w:val="center"/>
            </w:pPr>
            <w:r w:rsidRPr="009D719B">
              <w:t>21 590</w:t>
            </w:r>
          </w:p>
        </w:tc>
        <w:tc>
          <w:tcPr>
            <w:tcW w:w="1843" w:type="dxa"/>
            <w:vAlign w:val="center"/>
          </w:tcPr>
          <w:p w:rsidR="001F14AF" w:rsidRPr="009D719B" w:rsidRDefault="001F14AF">
            <w:pPr>
              <w:pStyle w:val="Tabell"/>
              <w:jc w:val="center"/>
            </w:pPr>
            <w:r w:rsidRPr="009D719B">
              <w:t>15 882</w:t>
            </w:r>
          </w:p>
        </w:tc>
        <w:tc>
          <w:tcPr>
            <w:tcW w:w="1855" w:type="dxa"/>
            <w:tcBorders>
              <w:right w:val="single" w:sz="18" w:space="0" w:color="auto"/>
            </w:tcBorders>
            <w:vAlign w:val="center"/>
          </w:tcPr>
          <w:p w:rsidR="001F14AF" w:rsidRPr="009D719B" w:rsidRDefault="001F14AF">
            <w:pPr>
              <w:pStyle w:val="Tabell"/>
              <w:jc w:val="center"/>
            </w:pPr>
            <w:r w:rsidRPr="009D719B">
              <w:t>18 739</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jc w:val="left"/>
              <w:rPr>
                <w:b/>
              </w:rPr>
            </w:pPr>
            <w:r w:rsidRPr="009D719B">
              <w:rPr>
                <w:b/>
              </w:rPr>
              <w:t>1997</w:t>
            </w:r>
          </w:p>
        </w:tc>
        <w:tc>
          <w:tcPr>
            <w:tcW w:w="1842" w:type="dxa"/>
            <w:vAlign w:val="center"/>
          </w:tcPr>
          <w:p w:rsidR="001F14AF" w:rsidRPr="009D719B" w:rsidRDefault="001F14AF">
            <w:pPr>
              <w:pStyle w:val="Tabell"/>
              <w:jc w:val="center"/>
            </w:pPr>
            <w:r w:rsidRPr="009D719B">
              <w:t>22 581</w:t>
            </w:r>
          </w:p>
        </w:tc>
        <w:tc>
          <w:tcPr>
            <w:tcW w:w="1843" w:type="dxa"/>
            <w:vAlign w:val="center"/>
          </w:tcPr>
          <w:p w:rsidR="001F14AF" w:rsidRPr="009D719B" w:rsidRDefault="001F14AF">
            <w:pPr>
              <w:pStyle w:val="Tabell"/>
              <w:jc w:val="center"/>
            </w:pPr>
            <w:r w:rsidRPr="009D719B">
              <w:t>16 496</w:t>
            </w:r>
          </w:p>
        </w:tc>
        <w:tc>
          <w:tcPr>
            <w:tcW w:w="1855" w:type="dxa"/>
            <w:tcBorders>
              <w:right w:val="single" w:sz="18" w:space="0" w:color="auto"/>
            </w:tcBorders>
            <w:vAlign w:val="center"/>
          </w:tcPr>
          <w:p w:rsidR="001F14AF" w:rsidRPr="009D719B" w:rsidRDefault="001F14AF">
            <w:pPr>
              <w:pStyle w:val="Tabell"/>
              <w:jc w:val="center"/>
            </w:pPr>
            <w:r w:rsidRPr="009D719B">
              <w:t>19 646</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jc w:val="left"/>
              <w:rPr>
                <w:b/>
              </w:rPr>
            </w:pPr>
            <w:r w:rsidRPr="009D719B">
              <w:rPr>
                <w:b/>
              </w:rPr>
              <w:t>1998</w:t>
            </w:r>
          </w:p>
        </w:tc>
        <w:tc>
          <w:tcPr>
            <w:tcW w:w="1842" w:type="dxa"/>
            <w:vAlign w:val="center"/>
          </w:tcPr>
          <w:p w:rsidR="001F14AF" w:rsidRPr="009D719B" w:rsidRDefault="001F14AF">
            <w:pPr>
              <w:pStyle w:val="Tabell"/>
              <w:jc w:val="center"/>
            </w:pPr>
            <w:r w:rsidRPr="009D719B">
              <w:t>22 577</w:t>
            </w:r>
          </w:p>
        </w:tc>
        <w:tc>
          <w:tcPr>
            <w:tcW w:w="1843" w:type="dxa"/>
            <w:vAlign w:val="center"/>
          </w:tcPr>
          <w:p w:rsidR="001F14AF" w:rsidRPr="009D719B" w:rsidRDefault="001F14AF">
            <w:pPr>
              <w:pStyle w:val="Tabell"/>
              <w:jc w:val="center"/>
            </w:pPr>
            <w:r w:rsidRPr="009D719B">
              <w:t>16 618</w:t>
            </w:r>
          </w:p>
        </w:tc>
        <w:tc>
          <w:tcPr>
            <w:tcW w:w="1855" w:type="dxa"/>
            <w:tcBorders>
              <w:right w:val="single" w:sz="18" w:space="0" w:color="auto"/>
            </w:tcBorders>
            <w:vAlign w:val="center"/>
          </w:tcPr>
          <w:p w:rsidR="001F14AF" w:rsidRPr="009D719B" w:rsidRDefault="001F14AF">
            <w:pPr>
              <w:pStyle w:val="Tabell"/>
              <w:jc w:val="center"/>
            </w:pPr>
            <w:r w:rsidRPr="009D719B">
              <w:t>19 956</w:t>
            </w:r>
          </w:p>
        </w:tc>
      </w:tr>
      <w:tr w:rsidR="00000000" w:rsidRPr="009D719B">
        <w:tblPrEx>
          <w:tblCellMar>
            <w:top w:w="0" w:type="dxa"/>
            <w:bottom w:w="0" w:type="dxa"/>
          </w:tblCellMar>
        </w:tblPrEx>
        <w:trPr>
          <w:trHeight w:val="240"/>
        </w:trPr>
        <w:tc>
          <w:tcPr>
            <w:tcW w:w="496" w:type="dxa"/>
            <w:shd w:val="pct15" w:color="auto" w:fill="FFFFFF"/>
            <w:vAlign w:val="center"/>
          </w:tcPr>
          <w:p w:rsidR="001F14AF" w:rsidRPr="009D719B" w:rsidRDefault="001F14AF">
            <w:pPr>
              <w:pStyle w:val="Tabell"/>
              <w:jc w:val="left"/>
              <w:rPr>
                <w:b/>
              </w:rPr>
            </w:pPr>
            <w:r w:rsidRPr="009D719B">
              <w:rPr>
                <w:b/>
              </w:rPr>
              <w:t>1999</w:t>
            </w:r>
          </w:p>
        </w:tc>
        <w:tc>
          <w:tcPr>
            <w:tcW w:w="1842" w:type="dxa"/>
            <w:vAlign w:val="center"/>
          </w:tcPr>
          <w:p w:rsidR="001F14AF" w:rsidRPr="009D719B" w:rsidRDefault="001F14AF">
            <w:pPr>
              <w:pStyle w:val="Tabell"/>
              <w:jc w:val="center"/>
            </w:pPr>
            <w:r w:rsidRPr="009D719B">
              <w:t>23 866</w:t>
            </w:r>
          </w:p>
        </w:tc>
        <w:tc>
          <w:tcPr>
            <w:tcW w:w="1843" w:type="dxa"/>
            <w:vAlign w:val="center"/>
          </w:tcPr>
          <w:p w:rsidR="001F14AF" w:rsidRPr="009D719B" w:rsidRDefault="001F14AF">
            <w:pPr>
              <w:pStyle w:val="Tabell"/>
              <w:jc w:val="center"/>
            </w:pPr>
            <w:r w:rsidRPr="009D719B">
              <w:t>17 404</w:t>
            </w:r>
          </w:p>
        </w:tc>
        <w:tc>
          <w:tcPr>
            <w:tcW w:w="1855" w:type="dxa"/>
            <w:tcBorders>
              <w:right w:val="single" w:sz="18" w:space="0" w:color="auto"/>
            </w:tcBorders>
            <w:vAlign w:val="center"/>
          </w:tcPr>
          <w:p w:rsidR="001F14AF" w:rsidRPr="009D719B" w:rsidRDefault="001F14AF">
            <w:pPr>
              <w:pStyle w:val="Tabell"/>
              <w:jc w:val="center"/>
            </w:pPr>
            <w:r w:rsidRPr="009D719B">
              <w:t>21 104</w:t>
            </w:r>
          </w:p>
        </w:tc>
      </w:tr>
      <w:tr w:rsidR="00000000" w:rsidRPr="009D719B">
        <w:tblPrEx>
          <w:tblCellMar>
            <w:top w:w="0" w:type="dxa"/>
            <w:bottom w:w="0" w:type="dxa"/>
          </w:tblCellMar>
        </w:tblPrEx>
        <w:trPr>
          <w:trHeight w:val="240"/>
        </w:trPr>
        <w:tc>
          <w:tcPr>
            <w:tcW w:w="496" w:type="dxa"/>
            <w:tcBorders>
              <w:bottom w:val="single" w:sz="4" w:space="0" w:color="auto"/>
            </w:tcBorders>
            <w:shd w:val="pct15" w:color="auto" w:fill="FFFFFF"/>
            <w:vAlign w:val="center"/>
          </w:tcPr>
          <w:p w:rsidR="001F14AF" w:rsidRPr="009D719B" w:rsidRDefault="001F14AF">
            <w:pPr>
              <w:pStyle w:val="Tabell"/>
              <w:jc w:val="left"/>
              <w:rPr>
                <w:b/>
              </w:rPr>
            </w:pPr>
            <w:r w:rsidRPr="009D719B">
              <w:rPr>
                <w:b/>
              </w:rPr>
              <w:t>2000</w:t>
            </w:r>
          </w:p>
        </w:tc>
        <w:tc>
          <w:tcPr>
            <w:tcW w:w="1842" w:type="dxa"/>
            <w:tcBorders>
              <w:bottom w:val="single" w:sz="4" w:space="0" w:color="auto"/>
            </w:tcBorders>
            <w:vAlign w:val="center"/>
          </w:tcPr>
          <w:p w:rsidR="001F14AF" w:rsidRPr="009D719B" w:rsidRDefault="001F14AF">
            <w:pPr>
              <w:pStyle w:val="Tabell"/>
              <w:jc w:val="center"/>
            </w:pPr>
            <w:r w:rsidRPr="009D719B">
              <w:t>26 031</w:t>
            </w:r>
          </w:p>
        </w:tc>
        <w:tc>
          <w:tcPr>
            <w:tcW w:w="1843" w:type="dxa"/>
            <w:tcBorders>
              <w:bottom w:val="single" w:sz="4" w:space="0" w:color="auto"/>
            </w:tcBorders>
            <w:vAlign w:val="center"/>
          </w:tcPr>
          <w:p w:rsidR="001F14AF" w:rsidRPr="009D719B" w:rsidRDefault="001F14AF">
            <w:pPr>
              <w:pStyle w:val="Tabell"/>
              <w:jc w:val="center"/>
            </w:pPr>
            <w:r w:rsidRPr="009D719B">
              <w:t>18 743</w:t>
            </w:r>
          </w:p>
        </w:tc>
        <w:tc>
          <w:tcPr>
            <w:tcW w:w="1855" w:type="dxa"/>
            <w:tcBorders>
              <w:bottom w:val="single" w:sz="4" w:space="0" w:color="auto"/>
              <w:right w:val="single" w:sz="18" w:space="0" w:color="auto"/>
            </w:tcBorders>
            <w:vAlign w:val="center"/>
          </w:tcPr>
          <w:p w:rsidR="001F14AF" w:rsidRPr="009D719B" w:rsidRDefault="001F14AF">
            <w:pPr>
              <w:pStyle w:val="Tabell"/>
              <w:jc w:val="center"/>
            </w:pPr>
            <w:r w:rsidRPr="009D719B">
              <w:t>22 146</w:t>
            </w:r>
          </w:p>
        </w:tc>
      </w:tr>
      <w:tr w:rsidR="00000000" w:rsidRPr="009D719B">
        <w:tblPrEx>
          <w:tblCellMar>
            <w:top w:w="0" w:type="dxa"/>
            <w:bottom w:w="0" w:type="dxa"/>
          </w:tblCellMar>
        </w:tblPrEx>
        <w:trPr>
          <w:trHeight w:val="240"/>
        </w:trPr>
        <w:tc>
          <w:tcPr>
            <w:tcW w:w="496" w:type="dxa"/>
            <w:tcBorders>
              <w:bottom w:val="single" w:sz="18" w:space="0" w:color="auto"/>
            </w:tcBorders>
            <w:shd w:val="pct15" w:color="auto" w:fill="FFFFFF"/>
            <w:vAlign w:val="center"/>
          </w:tcPr>
          <w:p w:rsidR="001F14AF" w:rsidRPr="009D719B" w:rsidRDefault="001F14AF">
            <w:pPr>
              <w:pStyle w:val="Tabell"/>
              <w:jc w:val="left"/>
              <w:rPr>
                <w:b/>
              </w:rPr>
            </w:pPr>
            <w:r w:rsidRPr="009D719B">
              <w:rPr>
                <w:b/>
              </w:rPr>
              <w:t>2001</w:t>
            </w:r>
          </w:p>
        </w:tc>
        <w:tc>
          <w:tcPr>
            <w:tcW w:w="1842" w:type="dxa"/>
            <w:tcBorders>
              <w:bottom w:val="single" w:sz="18" w:space="0" w:color="auto"/>
            </w:tcBorders>
            <w:vAlign w:val="center"/>
          </w:tcPr>
          <w:p w:rsidR="001F14AF" w:rsidRPr="009D719B" w:rsidRDefault="001F14AF">
            <w:pPr>
              <w:pStyle w:val="Tabell"/>
              <w:jc w:val="center"/>
            </w:pPr>
            <w:r w:rsidRPr="009D719B">
              <w:t>26 605</w:t>
            </w:r>
          </w:p>
        </w:tc>
        <w:tc>
          <w:tcPr>
            <w:tcW w:w="1843" w:type="dxa"/>
            <w:tcBorders>
              <w:bottom w:val="single" w:sz="18" w:space="0" w:color="auto"/>
            </w:tcBorders>
            <w:vAlign w:val="center"/>
          </w:tcPr>
          <w:p w:rsidR="001F14AF" w:rsidRPr="009D719B" w:rsidRDefault="001F14AF">
            <w:pPr>
              <w:pStyle w:val="Tabell"/>
              <w:jc w:val="center"/>
            </w:pPr>
            <w:r w:rsidRPr="009D719B">
              <w:t>19 302</w:t>
            </w:r>
          </w:p>
        </w:tc>
        <w:tc>
          <w:tcPr>
            <w:tcW w:w="1855" w:type="dxa"/>
            <w:tcBorders>
              <w:bottom w:val="single" w:sz="18" w:space="0" w:color="auto"/>
              <w:right w:val="single" w:sz="18" w:space="0" w:color="auto"/>
            </w:tcBorders>
            <w:vAlign w:val="center"/>
          </w:tcPr>
          <w:p w:rsidR="001F14AF" w:rsidRPr="009D719B" w:rsidRDefault="001F14AF">
            <w:pPr>
              <w:pStyle w:val="Tabell"/>
              <w:jc w:val="center"/>
            </w:pPr>
            <w:r w:rsidRPr="009D719B">
              <w:t>23 074</w:t>
            </w:r>
          </w:p>
        </w:tc>
      </w:tr>
    </w:tbl>
    <w:p w:rsidR="001F14AF" w:rsidRPr="009D719B" w:rsidRDefault="001F14AF">
      <w:pPr>
        <w:pStyle w:val="Tabell"/>
      </w:pPr>
      <w:r w:rsidRPr="009D719B">
        <w:t>Källa: SCB</w:t>
      </w:r>
    </w:p>
    <w:p w:rsidR="001F14AF" w:rsidRPr="009D719B" w:rsidRDefault="001F14AF">
      <w:pPr>
        <w:pStyle w:val="Normaltindrag"/>
      </w:pPr>
    </w:p>
    <w:p w:rsidR="001F14AF" w:rsidRPr="009D719B" w:rsidRDefault="001F14AF">
      <w:pPr>
        <w:pStyle w:val="Beskrivning"/>
      </w:pPr>
      <w:r w:rsidRPr="009D719B">
        <w:t>Tabell D</w:t>
      </w:r>
      <w:r w:rsidRPr="009D719B">
        <w:tab/>
        <w:t>Genomsnittlig månadslön för Försvarsmaktens personal (beräknat för respektive population som helhet) uppdelat på försvar</w:t>
      </w:r>
      <w:r w:rsidRPr="009D719B">
        <w:t>s</w:t>
      </w:r>
      <w:r w:rsidRPr="009D719B">
        <w:t>grenar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304"/>
        <w:gridCol w:w="1304"/>
        <w:gridCol w:w="1304"/>
        <w:gridCol w:w="1304"/>
      </w:tblGrid>
      <w:tr w:rsidR="00000000" w:rsidRPr="009D719B">
        <w:tblPrEx>
          <w:tblCellMar>
            <w:top w:w="0" w:type="dxa"/>
            <w:bottom w:w="0" w:type="dxa"/>
          </w:tblCellMar>
        </w:tblPrEx>
        <w:tc>
          <w:tcPr>
            <w:tcW w:w="779" w:type="dxa"/>
            <w:tcBorders>
              <w:bottom w:val="single" w:sz="4" w:space="0" w:color="auto"/>
            </w:tcBorders>
            <w:shd w:val="pct15" w:color="auto" w:fill="FFFFFF"/>
          </w:tcPr>
          <w:p w:rsidR="001F14AF" w:rsidRPr="009D719B" w:rsidRDefault="001F14AF">
            <w:pPr>
              <w:pStyle w:val="Tabell"/>
              <w:jc w:val="center"/>
              <w:rPr>
                <w:b/>
              </w:rPr>
            </w:pPr>
          </w:p>
        </w:tc>
        <w:tc>
          <w:tcPr>
            <w:tcW w:w="1304" w:type="dxa"/>
            <w:shd w:val="pct15" w:color="auto" w:fill="FFFFFF"/>
          </w:tcPr>
          <w:p w:rsidR="001F14AF" w:rsidRPr="009D719B" w:rsidRDefault="001F14AF">
            <w:pPr>
              <w:pStyle w:val="Tabell"/>
              <w:jc w:val="center"/>
              <w:rPr>
                <w:b/>
              </w:rPr>
            </w:pPr>
            <w:r w:rsidRPr="009D719B">
              <w:rPr>
                <w:b/>
              </w:rPr>
              <w:t>Armén</w:t>
            </w:r>
          </w:p>
        </w:tc>
        <w:tc>
          <w:tcPr>
            <w:tcW w:w="1304" w:type="dxa"/>
            <w:shd w:val="pct15" w:color="auto" w:fill="FFFFFF"/>
          </w:tcPr>
          <w:p w:rsidR="001F14AF" w:rsidRPr="009D719B" w:rsidRDefault="001F14AF">
            <w:pPr>
              <w:pStyle w:val="Tabell"/>
              <w:jc w:val="center"/>
              <w:rPr>
                <w:b/>
              </w:rPr>
            </w:pPr>
            <w:r w:rsidRPr="009D719B">
              <w:rPr>
                <w:b/>
              </w:rPr>
              <w:t>Flygvapnet</w:t>
            </w:r>
          </w:p>
        </w:tc>
        <w:tc>
          <w:tcPr>
            <w:tcW w:w="1304" w:type="dxa"/>
            <w:shd w:val="pct15" w:color="auto" w:fill="FFFFFF"/>
          </w:tcPr>
          <w:p w:rsidR="001F14AF" w:rsidRPr="009D719B" w:rsidRDefault="001F14AF">
            <w:pPr>
              <w:pStyle w:val="Tabell"/>
              <w:jc w:val="center"/>
              <w:rPr>
                <w:b/>
              </w:rPr>
            </w:pPr>
            <w:r w:rsidRPr="009D719B">
              <w:rPr>
                <w:b/>
              </w:rPr>
              <w:t>Marinen</w:t>
            </w:r>
          </w:p>
        </w:tc>
        <w:tc>
          <w:tcPr>
            <w:tcW w:w="1304" w:type="dxa"/>
            <w:tcBorders>
              <w:right w:val="single" w:sz="18" w:space="0" w:color="auto"/>
            </w:tcBorders>
            <w:shd w:val="pct15" w:color="auto" w:fill="FFFFFF"/>
          </w:tcPr>
          <w:p w:rsidR="001F14AF" w:rsidRPr="009D719B" w:rsidRDefault="001F14AF">
            <w:pPr>
              <w:pStyle w:val="Tabell"/>
              <w:jc w:val="center"/>
              <w:rPr>
                <w:b/>
              </w:rPr>
            </w:pPr>
            <w:r w:rsidRPr="009D719B">
              <w:rPr>
                <w:b/>
              </w:rPr>
              <w:t>Ledning</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1993</w:t>
            </w:r>
          </w:p>
        </w:tc>
        <w:tc>
          <w:tcPr>
            <w:tcW w:w="1304" w:type="dxa"/>
            <w:vAlign w:val="center"/>
          </w:tcPr>
          <w:p w:rsidR="001F14AF" w:rsidRPr="009D719B" w:rsidRDefault="001F14AF">
            <w:pPr>
              <w:pStyle w:val="Tabell"/>
              <w:jc w:val="center"/>
            </w:pPr>
            <w:r w:rsidRPr="009D719B">
              <w:t>16 918</w:t>
            </w:r>
          </w:p>
        </w:tc>
        <w:tc>
          <w:tcPr>
            <w:tcW w:w="1304" w:type="dxa"/>
            <w:vAlign w:val="center"/>
          </w:tcPr>
          <w:p w:rsidR="001F14AF" w:rsidRPr="009D719B" w:rsidRDefault="001F14AF">
            <w:pPr>
              <w:pStyle w:val="Tabell"/>
              <w:jc w:val="center"/>
            </w:pPr>
            <w:r w:rsidRPr="009D719B">
              <w:t>19 834</w:t>
            </w:r>
          </w:p>
        </w:tc>
        <w:tc>
          <w:tcPr>
            <w:tcW w:w="1304" w:type="dxa"/>
            <w:vAlign w:val="center"/>
          </w:tcPr>
          <w:p w:rsidR="001F14AF" w:rsidRPr="009D719B" w:rsidRDefault="001F14AF">
            <w:pPr>
              <w:pStyle w:val="Tabell"/>
              <w:jc w:val="center"/>
            </w:pPr>
            <w:r w:rsidRPr="009D719B">
              <w:t>21 083</w:t>
            </w:r>
          </w:p>
        </w:tc>
        <w:tc>
          <w:tcPr>
            <w:tcW w:w="1304" w:type="dxa"/>
            <w:tcBorders>
              <w:right w:val="single" w:sz="18" w:space="0" w:color="auto"/>
            </w:tcBorders>
            <w:vAlign w:val="center"/>
          </w:tcPr>
          <w:p w:rsidR="001F14AF" w:rsidRPr="009D719B" w:rsidRDefault="001F14AF">
            <w:pPr>
              <w:pStyle w:val="Tabell"/>
              <w:jc w:val="center"/>
            </w:pPr>
            <w:r w:rsidRPr="009D719B">
              <w:t>23 165</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1994</w:t>
            </w:r>
          </w:p>
        </w:tc>
        <w:tc>
          <w:tcPr>
            <w:tcW w:w="1304" w:type="dxa"/>
            <w:vAlign w:val="center"/>
          </w:tcPr>
          <w:p w:rsidR="001F14AF" w:rsidRPr="009D719B" w:rsidRDefault="001F14AF">
            <w:pPr>
              <w:pStyle w:val="Tabell"/>
              <w:jc w:val="center"/>
            </w:pPr>
            <w:r w:rsidRPr="009D719B">
              <w:t>17 549</w:t>
            </w:r>
          </w:p>
        </w:tc>
        <w:tc>
          <w:tcPr>
            <w:tcW w:w="1304" w:type="dxa"/>
            <w:vAlign w:val="center"/>
          </w:tcPr>
          <w:p w:rsidR="001F14AF" w:rsidRPr="009D719B" w:rsidRDefault="001F14AF">
            <w:pPr>
              <w:pStyle w:val="Tabell"/>
              <w:jc w:val="center"/>
            </w:pPr>
            <w:r w:rsidRPr="009D719B">
              <w:t>20 672</w:t>
            </w:r>
          </w:p>
        </w:tc>
        <w:tc>
          <w:tcPr>
            <w:tcW w:w="1304" w:type="dxa"/>
            <w:vAlign w:val="center"/>
          </w:tcPr>
          <w:p w:rsidR="001F14AF" w:rsidRPr="009D719B" w:rsidRDefault="001F14AF">
            <w:pPr>
              <w:pStyle w:val="Tabell"/>
              <w:jc w:val="center"/>
            </w:pPr>
            <w:r w:rsidRPr="009D719B">
              <w:t>20 754</w:t>
            </w:r>
          </w:p>
        </w:tc>
        <w:tc>
          <w:tcPr>
            <w:tcW w:w="1304" w:type="dxa"/>
            <w:tcBorders>
              <w:right w:val="single" w:sz="18" w:space="0" w:color="auto"/>
            </w:tcBorders>
            <w:vAlign w:val="center"/>
          </w:tcPr>
          <w:p w:rsidR="001F14AF" w:rsidRPr="009D719B" w:rsidRDefault="001F14AF">
            <w:pPr>
              <w:pStyle w:val="Tabell"/>
              <w:jc w:val="center"/>
            </w:pPr>
            <w:r w:rsidRPr="009D719B">
              <w:t>25 962</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1995</w:t>
            </w:r>
          </w:p>
        </w:tc>
        <w:tc>
          <w:tcPr>
            <w:tcW w:w="1304" w:type="dxa"/>
            <w:vAlign w:val="center"/>
          </w:tcPr>
          <w:p w:rsidR="001F14AF" w:rsidRPr="009D719B" w:rsidRDefault="001F14AF">
            <w:pPr>
              <w:pStyle w:val="Tabell"/>
              <w:jc w:val="center"/>
            </w:pPr>
            <w:r w:rsidRPr="009D719B">
              <w:t>17 955</w:t>
            </w:r>
          </w:p>
        </w:tc>
        <w:tc>
          <w:tcPr>
            <w:tcW w:w="1304" w:type="dxa"/>
            <w:vAlign w:val="center"/>
          </w:tcPr>
          <w:p w:rsidR="001F14AF" w:rsidRPr="009D719B" w:rsidRDefault="001F14AF">
            <w:pPr>
              <w:pStyle w:val="Tabell"/>
              <w:jc w:val="center"/>
            </w:pPr>
            <w:r w:rsidRPr="009D719B">
              <w:t>20 485</w:t>
            </w:r>
          </w:p>
        </w:tc>
        <w:tc>
          <w:tcPr>
            <w:tcW w:w="1304" w:type="dxa"/>
            <w:vAlign w:val="center"/>
          </w:tcPr>
          <w:p w:rsidR="001F14AF" w:rsidRPr="009D719B" w:rsidRDefault="001F14AF">
            <w:pPr>
              <w:pStyle w:val="Tabell"/>
              <w:jc w:val="center"/>
            </w:pPr>
            <w:r w:rsidRPr="009D719B">
              <w:t>21 868</w:t>
            </w:r>
          </w:p>
        </w:tc>
        <w:tc>
          <w:tcPr>
            <w:tcW w:w="1304" w:type="dxa"/>
            <w:tcBorders>
              <w:right w:val="single" w:sz="18" w:space="0" w:color="auto"/>
            </w:tcBorders>
            <w:vAlign w:val="center"/>
          </w:tcPr>
          <w:p w:rsidR="001F14AF" w:rsidRPr="009D719B" w:rsidRDefault="001F14AF">
            <w:pPr>
              <w:pStyle w:val="Tabell"/>
              <w:jc w:val="center"/>
            </w:pPr>
            <w:r w:rsidRPr="009D719B">
              <w:t>26 335</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1996</w:t>
            </w:r>
          </w:p>
        </w:tc>
        <w:tc>
          <w:tcPr>
            <w:tcW w:w="1304" w:type="dxa"/>
            <w:vAlign w:val="center"/>
          </w:tcPr>
          <w:p w:rsidR="001F14AF" w:rsidRPr="009D719B" w:rsidRDefault="001F14AF">
            <w:pPr>
              <w:pStyle w:val="Tabell"/>
              <w:jc w:val="center"/>
            </w:pPr>
            <w:r w:rsidRPr="009D719B">
              <w:t>19 232</w:t>
            </w:r>
          </w:p>
        </w:tc>
        <w:tc>
          <w:tcPr>
            <w:tcW w:w="1304" w:type="dxa"/>
            <w:vAlign w:val="center"/>
          </w:tcPr>
          <w:p w:rsidR="001F14AF" w:rsidRPr="009D719B" w:rsidRDefault="001F14AF">
            <w:pPr>
              <w:pStyle w:val="Tabell"/>
              <w:jc w:val="center"/>
            </w:pPr>
            <w:r w:rsidRPr="009D719B">
              <w:t>21 824</w:t>
            </w:r>
          </w:p>
        </w:tc>
        <w:tc>
          <w:tcPr>
            <w:tcW w:w="1304" w:type="dxa"/>
            <w:vAlign w:val="center"/>
          </w:tcPr>
          <w:p w:rsidR="001F14AF" w:rsidRPr="009D719B" w:rsidRDefault="001F14AF">
            <w:pPr>
              <w:pStyle w:val="Tabell"/>
              <w:jc w:val="center"/>
            </w:pPr>
            <w:r w:rsidRPr="009D719B">
              <w:t>23 548</w:t>
            </w:r>
          </w:p>
        </w:tc>
        <w:tc>
          <w:tcPr>
            <w:tcW w:w="1304" w:type="dxa"/>
            <w:tcBorders>
              <w:right w:val="single" w:sz="18" w:space="0" w:color="auto"/>
            </w:tcBorders>
            <w:vAlign w:val="center"/>
          </w:tcPr>
          <w:p w:rsidR="001F14AF" w:rsidRPr="009D719B" w:rsidRDefault="001F14AF">
            <w:pPr>
              <w:pStyle w:val="Tabell"/>
              <w:jc w:val="center"/>
            </w:pPr>
            <w:r w:rsidRPr="009D719B">
              <w:t>28 049</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1997</w:t>
            </w:r>
          </w:p>
        </w:tc>
        <w:tc>
          <w:tcPr>
            <w:tcW w:w="1304" w:type="dxa"/>
            <w:vAlign w:val="center"/>
          </w:tcPr>
          <w:p w:rsidR="001F14AF" w:rsidRPr="009D719B" w:rsidRDefault="001F14AF">
            <w:pPr>
              <w:pStyle w:val="Tabell"/>
              <w:jc w:val="center"/>
            </w:pPr>
            <w:r w:rsidRPr="009D719B">
              <w:t>20 114</w:t>
            </w:r>
          </w:p>
        </w:tc>
        <w:tc>
          <w:tcPr>
            <w:tcW w:w="1304" w:type="dxa"/>
            <w:vAlign w:val="center"/>
          </w:tcPr>
          <w:p w:rsidR="001F14AF" w:rsidRPr="009D719B" w:rsidRDefault="001F14AF">
            <w:pPr>
              <w:pStyle w:val="Tabell"/>
              <w:jc w:val="center"/>
            </w:pPr>
            <w:r w:rsidRPr="009D719B">
              <w:t>23 394</w:t>
            </w:r>
          </w:p>
        </w:tc>
        <w:tc>
          <w:tcPr>
            <w:tcW w:w="1304" w:type="dxa"/>
            <w:vAlign w:val="center"/>
          </w:tcPr>
          <w:p w:rsidR="001F14AF" w:rsidRPr="009D719B" w:rsidRDefault="001F14AF">
            <w:pPr>
              <w:pStyle w:val="Tabell"/>
              <w:jc w:val="center"/>
            </w:pPr>
            <w:r w:rsidRPr="009D719B">
              <w:t>23 980</w:t>
            </w:r>
          </w:p>
        </w:tc>
        <w:tc>
          <w:tcPr>
            <w:tcW w:w="1304" w:type="dxa"/>
            <w:tcBorders>
              <w:right w:val="single" w:sz="18" w:space="0" w:color="auto"/>
            </w:tcBorders>
            <w:vAlign w:val="center"/>
          </w:tcPr>
          <w:p w:rsidR="001F14AF" w:rsidRPr="009D719B" w:rsidRDefault="001F14AF">
            <w:pPr>
              <w:pStyle w:val="Tabell"/>
              <w:jc w:val="center"/>
            </w:pPr>
            <w:r w:rsidRPr="009D719B">
              <w:t>29 266</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1998</w:t>
            </w:r>
          </w:p>
        </w:tc>
        <w:tc>
          <w:tcPr>
            <w:tcW w:w="1304" w:type="dxa"/>
            <w:vAlign w:val="center"/>
          </w:tcPr>
          <w:p w:rsidR="001F14AF" w:rsidRPr="009D719B" w:rsidRDefault="001F14AF">
            <w:pPr>
              <w:pStyle w:val="Tabell"/>
              <w:jc w:val="center"/>
            </w:pPr>
            <w:r w:rsidRPr="009D719B">
              <w:t>20 103</w:t>
            </w:r>
          </w:p>
        </w:tc>
        <w:tc>
          <w:tcPr>
            <w:tcW w:w="1304" w:type="dxa"/>
            <w:vAlign w:val="center"/>
          </w:tcPr>
          <w:p w:rsidR="001F14AF" w:rsidRPr="009D719B" w:rsidRDefault="001F14AF">
            <w:pPr>
              <w:pStyle w:val="Tabell"/>
              <w:jc w:val="center"/>
            </w:pPr>
            <w:r w:rsidRPr="009D719B">
              <w:t>23 339</w:t>
            </w:r>
          </w:p>
        </w:tc>
        <w:tc>
          <w:tcPr>
            <w:tcW w:w="1304" w:type="dxa"/>
            <w:vAlign w:val="center"/>
          </w:tcPr>
          <w:p w:rsidR="001F14AF" w:rsidRPr="009D719B" w:rsidRDefault="001F14AF">
            <w:pPr>
              <w:pStyle w:val="Tabell"/>
              <w:jc w:val="center"/>
            </w:pPr>
            <w:r w:rsidRPr="009D719B">
              <w:t>22 994</w:t>
            </w:r>
          </w:p>
        </w:tc>
        <w:tc>
          <w:tcPr>
            <w:tcW w:w="1304" w:type="dxa"/>
            <w:tcBorders>
              <w:right w:val="single" w:sz="18" w:space="0" w:color="auto"/>
            </w:tcBorders>
            <w:vAlign w:val="center"/>
          </w:tcPr>
          <w:p w:rsidR="001F14AF" w:rsidRPr="009D719B" w:rsidRDefault="001F14AF">
            <w:pPr>
              <w:pStyle w:val="Tabell"/>
              <w:jc w:val="center"/>
            </w:pPr>
            <w:r w:rsidRPr="009D719B">
              <w:t>28 287</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1999</w:t>
            </w:r>
          </w:p>
        </w:tc>
        <w:tc>
          <w:tcPr>
            <w:tcW w:w="1304" w:type="dxa"/>
            <w:vAlign w:val="center"/>
          </w:tcPr>
          <w:p w:rsidR="001F14AF" w:rsidRPr="009D719B" w:rsidRDefault="001F14AF">
            <w:pPr>
              <w:pStyle w:val="Tabell"/>
              <w:jc w:val="center"/>
            </w:pPr>
            <w:r w:rsidRPr="009D719B">
              <w:t>21 183</w:t>
            </w:r>
          </w:p>
        </w:tc>
        <w:tc>
          <w:tcPr>
            <w:tcW w:w="1304" w:type="dxa"/>
            <w:vAlign w:val="center"/>
          </w:tcPr>
          <w:p w:rsidR="001F14AF" w:rsidRPr="009D719B" w:rsidRDefault="001F14AF">
            <w:pPr>
              <w:pStyle w:val="Tabell"/>
              <w:jc w:val="center"/>
            </w:pPr>
            <w:r w:rsidRPr="009D719B">
              <w:t>24 784</w:t>
            </w:r>
          </w:p>
        </w:tc>
        <w:tc>
          <w:tcPr>
            <w:tcW w:w="1304" w:type="dxa"/>
            <w:vAlign w:val="center"/>
          </w:tcPr>
          <w:p w:rsidR="001F14AF" w:rsidRPr="009D719B" w:rsidRDefault="001F14AF">
            <w:pPr>
              <w:pStyle w:val="Tabell"/>
              <w:jc w:val="center"/>
            </w:pPr>
            <w:r w:rsidRPr="009D719B">
              <w:t>24 826</w:t>
            </w:r>
          </w:p>
        </w:tc>
        <w:tc>
          <w:tcPr>
            <w:tcW w:w="1304" w:type="dxa"/>
            <w:tcBorders>
              <w:right w:val="single" w:sz="18" w:space="0" w:color="auto"/>
            </w:tcBorders>
            <w:vAlign w:val="center"/>
          </w:tcPr>
          <w:p w:rsidR="001F14AF" w:rsidRPr="009D719B" w:rsidRDefault="001F14AF">
            <w:pPr>
              <w:pStyle w:val="Tabell"/>
              <w:jc w:val="center"/>
            </w:pPr>
            <w:r w:rsidRPr="009D719B">
              <w:t>29 148</w:t>
            </w:r>
          </w:p>
        </w:tc>
      </w:tr>
      <w:tr w:rsidR="00000000" w:rsidRPr="009D719B">
        <w:tblPrEx>
          <w:tblCellMar>
            <w:top w:w="0" w:type="dxa"/>
            <w:bottom w:w="0" w:type="dxa"/>
          </w:tblCellMar>
        </w:tblPrEx>
        <w:trPr>
          <w:trHeight w:val="240"/>
        </w:trPr>
        <w:tc>
          <w:tcPr>
            <w:tcW w:w="779" w:type="dxa"/>
            <w:tcBorders>
              <w:bottom w:val="single" w:sz="4" w:space="0" w:color="auto"/>
            </w:tcBorders>
            <w:shd w:val="pct15" w:color="auto" w:fill="FFFFFF"/>
            <w:vAlign w:val="center"/>
          </w:tcPr>
          <w:p w:rsidR="001F14AF" w:rsidRPr="009D719B" w:rsidRDefault="001F14AF">
            <w:pPr>
              <w:pStyle w:val="Tabell"/>
              <w:jc w:val="center"/>
              <w:rPr>
                <w:b/>
              </w:rPr>
            </w:pPr>
            <w:r w:rsidRPr="009D719B">
              <w:rPr>
                <w:b/>
              </w:rPr>
              <w:t>2000</w:t>
            </w:r>
          </w:p>
        </w:tc>
        <w:tc>
          <w:tcPr>
            <w:tcW w:w="1304" w:type="dxa"/>
            <w:tcBorders>
              <w:bottom w:val="single" w:sz="4" w:space="0" w:color="auto"/>
            </w:tcBorders>
            <w:vAlign w:val="center"/>
          </w:tcPr>
          <w:p w:rsidR="001F14AF" w:rsidRPr="009D719B" w:rsidRDefault="001F14AF">
            <w:pPr>
              <w:pStyle w:val="Tabell"/>
              <w:jc w:val="center"/>
            </w:pPr>
            <w:r w:rsidRPr="009D719B">
              <w:t>22 705</w:t>
            </w:r>
          </w:p>
        </w:tc>
        <w:tc>
          <w:tcPr>
            <w:tcW w:w="1304" w:type="dxa"/>
            <w:tcBorders>
              <w:bottom w:val="single" w:sz="4" w:space="0" w:color="auto"/>
            </w:tcBorders>
            <w:vAlign w:val="center"/>
          </w:tcPr>
          <w:p w:rsidR="001F14AF" w:rsidRPr="009D719B" w:rsidRDefault="001F14AF">
            <w:pPr>
              <w:pStyle w:val="Tabell"/>
              <w:jc w:val="center"/>
            </w:pPr>
            <w:r w:rsidRPr="009D719B">
              <w:t>27 419</w:t>
            </w:r>
          </w:p>
        </w:tc>
        <w:tc>
          <w:tcPr>
            <w:tcW w:w="1304" w:type="dxa"/>
            <w:tcBorders>
              <w:bottom w:val="single" w:sz="4" w:space="0" w:color="auto"/>
            </w:tcBorders>
            <w:vAlign w:val="center"/>
          </w:tcPr>
          <w:p w:rsidR="001F14AF" w:rsidRPr="009D719B" w:rsidRDefault="001F14AF">
            <w:pPr>
              <w:pStyle w:val="Tabell"/>
              <w:jc w:val="center"/>
            </w:pPr>
            <w:r w:rsidRPr="009D719B">
              <w:t>26 507</w:t>
            </w:r>
          </w:p>
        </w:tc>
        <w:tc>
          <w:tcPr>
            <w:tcW w:w="1304" w:type="dxa"/>
            <w:tcBorders>
              <w:bottom w:val="single" w:sz="4" w:space="0" w:color="auto"/>
              <w:right w:val="single" w:sz="18" w:space="0" w:color="auto"/>
            </w:tcBorders>
            <w:vAlign w:val="center"/>
          </w:tcPr>
          <w:p w:rsidR="001F14AF" w:rsidRPr="009D719B" w:rsidRDefault="001F14AF">
            <w:pPr>
              <w:pStyle w:val="Tabell"/>
              <w:jc w:val="center"/>
            </w:pPr>
            <w:r w:rsidRPr="009D719B">
              <w:t>30 738</w:t>
            </w:r>
          </w:p>
        </w:tc>
      </w:tr>
      <w:tr w:rsidR="00000000" w:rsidRPr="009D719B">
        <w:tblPrEx>
          <w:tblCellMar>
            <w:top w:w="0" w:type="dxa"/>
            <w:bottom w:w="0" w:type="dxa"/>
          </w:tblCellMar>
        </w:tblPrEx>
        <w:trPr>
          <w:trHeight w:val="240"/>
        </w:trPr>
        <w:tc>
          <w:tcPr>
            <w:tcW w:w="779" w:type="dxa"/>
            <w:tcBorders>
              <w:bottom w:val="single" w:sz="18" w:space="0" w:color="auto"/>
            </w:tcBorders>
            <w:shd w:val="pct15" w:color="auto" w:fill="FFFFFF"/>
            <w:vAlign w:val="center"/>
          </w:tcPr>
          <w:p w:rsidR="001F14AF" w:rsidRPr="009D719B" w:rsidRDefault="001F14AF">
            <w:pPr>
              <w:pStyle w:val="Tabell"/>
              <w:jc w:val="center"/>
              <w:rPr>
                <w:b/>
              </w:rPr>
            </w:pPr>
            <w:r w:rsidRPr="009D719B">
              <w:rPr>
                <w:b/>
              </w:rPr>
              <w:t>2001</w:t>
            </w:r>
          </w:p>
        </w:tc>
        <w:tc>
          <w:tcPr>
            <w:tcW w:w="1304" w:type="dxa"/>
            <w:tcBorders>
              <w:bottom w:val="single" w:sz="18" w:space="0" w:color="auto"/>
            </w:tcBorders>
            <w:vAlign w:val="center"/>
          </w:tcPr>
          <w:p w:rsidR="001F14AF" w:rsidRPr="009D719B" w:rsidRDefault="001F14AF">
            <w:pPr>
              <w:pStyle w:val="Tabell"/>
              <w:jc w:val="center"/>
            </w:pPr>
            <w:r w:rsidRPr="009D719B">
              <w:t>22 709</w:t>
            </w:r>
          </w:p>
        </w:tc>
        <w:tc>
          <w:tcPr>
            <w:tcW w:w="1304" w:type="dxa"/>
            <w:tcBorders>
              <w:bottom w:val="single" w:sz="18" w:space="0" w:color="auto"/>
            </w:tcBorders>
            <w:vAlign w:val="center"/>
          </w:tcPr>
          <w:p w:rsidR="001F14AF" w:rsidRPr="009D719B" w:rsidRDefault="001F14AF">
            <w:pPr>
              <w:pStyle w:val="Tabell"/>
              <w:jc w:val="center"/>
            </w:pPr>
            <w:r w:rsidRPr="009D719B">
              <w:t>27 681</w:t>
            </w:r>
          </w:p>
        </w:tc>
        <w:tc>
          <w:tcPr>
            <w:tcW w:w="1304" w:type="dxa"/>
            <w:tcBorders>
              <w:bottom w:val="single" w:sz="18" w:space="0" w:color="auto"/>
            </w:tcBorders>
            <w:vAlign w:val="center"/>
          </w:tcPr>
          <w:p w:rsidR="001F14AF" w:rsidRPr="009D719B" w:rsidRDefault="001F14AF">
            <w:pPr>
              <w:pStyle w:val="Tabell"/>
              <w:jc w:val="center"/>
            </w:pPr>
            <w:r w:rsidRPr="009D719B">
              <w:t>26 438</w:t>
            </w:r>
          </w:p>
        </w:tc>
        <w:tc>
          <w:tcPr>
            <w:tcW w:w="1304" w:type="dxa"/>
            <w:tcBorders>
              <w:bottom w:val="single" w:sz="18" w:space="0" w:color="auto"/>
              <w:right w:val="single" w:sz="18" w:space="0" w:color="auto"/>
            </w:tcBorders>
            <w:vAlign w:val="center"/>
          </w:tcPr>
          <w:p w:rsidR="001F14AF" w:rsidRPr="009D719B" w:rsidRDefault="001F14AF">
            <w:pPr>
              <w:pStyle w:val="Tabell"/>
              <w:jc w:val="center"/>
            </w:pPr>
            <w:r w:rsidRPr="009D719B">
              <w:t>30 629</w:t>
            </w:r>
          </w:p>
        </w:tc>
      </w:tr>
    </w:tbl>
    <w:p w:rsidR="001F14AF" w:rsidRPr="009D719B" w:rsidRDefault="001F14AF">
      <w:pPr>
        <w:pStyle w:val="Tabell"/>
      </w:pPr>
      <w:r w:rsidRPr="009D719B">
        <w:t>Källa: SCB</w:t>
      </w:r>
    </w:p>
    <w:p w:rsidR="001F14AF" w:rsidRPr="009D719B" w:rsidRDefault="001F14AF">
      <w:pPr>
        <w:pStyle w:val="Normaltindrag"/>
      </w:pPr>
    </w:p>
    <w:p w:rsidR="001F14AF" w:rsidRPr="009D719B" w:rsidRDefault="001F14AF">
      <w:pPr>
        <w:pStyle w:val="Beskrivning"/>
      </w:pPr>
      <w:r w:rsidRPr="009D719B">
        <w:t>Tabell E</w:t>
      </w:r>
      <w:r w:rsidRPr="009D719B">
        <w:tab/>
        <w:t>Genomsnittligt antal anställda under respektive år inom Försvarsmakten, uppdelat på försvar</w:t>
      </w:r>
      <w:r w:rsidRPr="009D719B">
        <w:t>s</w:t>
      </w:r>
      <w:r w:rsidRPr="009D719B">
        <w:t>grenar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304"/>
        <w:gridCol w:w="1304"/>
        <w:gridCol w:w="1304"/>
        <w:gridCol w:w="1304"/>
      </w:tblGrid>
      <w:tr w:rsidR="00000000" w:rsidRPr="009D719B">
        <w:tblPrEx>
          <w:tblCellMar>
            <w:top w:w="0" w:type="dxa"/>
            <w:bottom w:w="0" w:type="dxa"/>
          </w:tblCellMar>
        </w:tblPrEx>
        <w:tc>
          <w:tcPr>
            <w:tcW w:w="779" w:type="dxa"/>
            <w:tcBorders>
              <w:bottom w:val="single" w:sz="4" w:space="0" w:color="auto"/>
            </w:tcBorders>
            <w:shd w:val="pct15" w:color="auto" w:fill="FFFFFF"/>
          </w:tcPr>
          <w:p w:rsidR="001F14AF" w:rsidRPr="009D719B" w:rsidRDefault="001F14AF">
            <w:pPr>
              <w:pStyle w:val="Tabell"/>
              <w:jc w:val="center"/>
              <w:rPr>
                <w:b/>
              </w:rPr>
            </w:pPr>
          </w:p>
        </w:tc>
        <w:tc>
          <w:tcPr>
            <w:tcW w:w="1304" w:type="dxa"/>
            <w:shd w:val="pct15" w:color="auto" w:fill="FFFFFF"/>
          </w:tcPr>
          <w:p w:rsidR="001F14AF" w:rsidRPr="009D719B" w:rsidRDefault="001F14AF">
            <w:pPr>
              <w:pStyle w:val="Tabell"/>
              <w:jc w:val="center"/>
              <w:rPr>
                <w:b/>
              </w:rPr>
            </w:pPr>
            <w:r w:rsidRPr="009D719B">
              <w:rPr>
                <w:b/>
              </w:rPr>
              <w:t>Armén</w:t>
            </w:r>
          </w:p>
        </w:tc>
        <w:tc>
          <w:tcPr>
            <w:tcW w:w="1304" w:type="dxa"/>
            <w:shd w:val="pct15" w:color="auto" w:fill="FFFFFF"/>
          </w:tcPr>
          <w:p w:rsidR="001F14AF" w:rsidRPr="009D719B" w:rsidRDefault="001F14AF">
            <w:pPr>
              <w:pStyle w:val="Tabell"/>
              <w:jc w:val="center"/>
              <w:rPr>
                <w:b/>
              </w:rPr>
            </w:pPr>
            <w:r w:rsidRPr="009D719B">
              <w:rPr>
                <w:b/>
              </w:rPr>
              <w:t>Flygvapnet</w:t>
            </w:r>
          </w:p>
        </w:tc>
        <w:tc>
          <w:tcPr>
            <w:tcW w:w="1304" w:type="dxa"/>
            <w:shd w:val="pct15" w:color="auto" w:fill="FFFFFF"/>
          </w:tcPr>
          <w:p w:rsidR="001F14AF" w:rsidRPr="009D719B" w:rsidRDefault="001F14AF">
            <w:pPr>
              <w:pStyle w:val="Tabell"/>
              <w:jc w:val="center"/>
              <w:rPr>
                <w:b/>
              </w:rPr>
            </w:pPr>
            <w:r w:rsidRPr="009D719B">
              <w:rPr>
                <w:b/>
              </w:rPr>
              <w:t>Marinen</w:t>
            </w:r>
          </w:p>
        </w:tc>
        <w:tc>
          <w:tcPr>
            <w:tcW w:w="1304" w:type="dxa"/>
            <w:tcBorders>
              <w:right w:val="single" w:sz="18" w:space="0" w:color="auto"/>
            </w:tcBorders>
            <w:shd w:val="pct15" w:color="auto" w:fill="FFFFFF"/>
          </w:tcPr>
          <w:p w:rsidR="001F14AF" w:rsidRPr="009D719B" w:rsidRDefault="001F14AF">
            <w:pPr>
              <w:pStyle w:val="Tabell"/>
              <w:jc w:val="center"/>
              <w:rPr>
                <w:b/>
              </w:rPr>
            </w:pPr>
            <w:r w:rsidRPr="009D719B">
              <w:rPr>
                <w:b/>
              </w:rPr>
              <w:t>Ledning, skolor och centrum</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1993</w:t>
            </w:r>
          </w:p>
        </w:tc>
        <w:tc>
          <w:tcPr>
            <w:tcW w:w="1304" w:type="dxa"/>
            <w:vAlign w:val="center"/>
          </w:tcPr>
          <w:p w:rsidR="001F14AF" w:rsidRPr="009D719B" w:rsidRDefault="001F14AF">
            <w:pPr>
              <w:pStyle w:val="Tabell"/>
              <w:jc w:val="center"/>
            </w:pPr>
            <w:r w:rsidRPr="009D719B">
              <w:t>8 192</w:t>
            </w:r>
          </w:p>
        </w:tc>
        <w:tc>
          <w:tcPr>
            <w:tcW w:w="1304" w:type="dxa"/>
            <w:vAlign w:val="center"/>
          </w:tcPr>
          <w:p w:rsidR="001F14AF" w:rsidRPr="009D719B" w:rsidRDefault="001F14AF">
            <w:pPr>
              <w:pStyle w:val="Tabell"/>
              <w:jc w:val="center"/>
            </w:pPr>
            <w:r w:rsidRPr="009D719B">
              <w:t>3 956</w:t>
            </w:r>
          </w:p>
        </w:tc>
        <w:tc>
          <w:tcPr>
            <w:tcW w:w="1304" w:type="dxa"/>
            <w:vAlign w:val="center"/>
          </w:tcPr>
          <w:p w:rsidR="001F14AF" w:rsidRPr="009D719B" w:rsidRDefault="001F14AF">
            <w:pPr>
              <w:pStyle w:val="Tabell"/>
              <w:jc w:val="center"/>
            </w:pPr>
            <w:r w:rsidRPr="009D719B">
              <w:t>3 320</w:t>
            </w:r>
          </w:p>
        </w:tc>
        <w:tc>
          <w:tcPr>
            <w:tcW w:w="1304" w:type="dxa"/>
            <w:tcBorders>
              <w:right w:val="single" w:sz="18" w:space="0" w:color="auto"/>
            </w:tcBorders>
            <w:vAlign w:val="center"/>
          </w:tcPr>
          <w:p w:rsidR="001F14AF" w:rsidRPr="009D719B" w:rsidRDefault="001F14AF">
            <w:pPr>
              <w:pStyle w:val="Tabell"/>
              <w:ind w:right="397"/>
              <w:jc w:val="right"/>
              <w:rPr>
                <w:sz w:val="16"/>
              </w:rPr>
            </w:pP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1994</w:t>
            </w:r>
          </w:p>
        </w:tc>
        <w:tc>
          <w:tcPr>
            <w:tcW w:w="1304" w:type="dxa"/>
            <w:vAlign w:val="center"/>
          </w:tcPr>
          <w:p w:rsidR="001F14AF" w:rsidRPr="009D719B" w:rsidRDefault="001F14AF">
            <w:pPr>
              <w:pStyle w:val="Tabell"/>
              <w:jc w:val="center"/>
            </w:pPr>
            <w:r w:rsidRPr="009D719B">
              <w:t>7 439</w:t>
            </w:r>
          </w:p>
        </w:tc>
        <w:tc>
          <w:tcPr>
            <w:tcW w:w="1304" w:type="dxa"/>
            <w:vAlign w:val="center"/>
          </w:tcPr>
          <w:p w:rsidR="001F14AF" w:rsidRPr="009D719B" w:rsidRDefault="001F14AF">
            <w:pPr>
              <w:pStyle w:val="Tabell"/>
              <w:jc w:val="center"/>
            </w:pPr>
            <w:r w:rsidRPr="009D719B">
              <w:t>3 759</w:t>
            </w:r>
          </w:p>
        </w:tc>
        <w:tc>
          <w:tcPr>
            <w:tcW w:w="1304" w:type="dxa"/>
            <w:vAlign w:val="center"/>
          </w:tcPr>
          <w:p w:rsidR="001F14AF" w:rsidRPr="009D719B" w:rsidRDefault="001F14AF">
            <w:pPr>
              <w:pStyle w:val="Tabell"/>
              <w:jc w:val="center"/>
            </w:pPr>
            <w:r w:rsidRPr="009D719B">
              <w:t>3 074</w:t>
            </w:r>
          </w:p>
        </w:tc>
        <w:tc>
          <w:tcPr>
            <w:tcW w:w="1304" w:type="dxa"/>
            <w:tcBorders>
              <w:right w:val="single" w:sz="18" w:space="0" w:color="auto"/>
            </w:tcBorders>
            <w:vAlign w:val="center"/>
          </w:tcPr>
          <w:p w:rsidR="001F14AF" w:rsidRPr="009D719B" w:rsidRDefault="001F14AF">
            <w:pPr>
              <w:pStyle w:val="Tabell"/>
              <w:ind w:right="397"/>
              <w:jc w:val="right"/>
            </w:pPr>
            <w:r w:rsidRPr="009D719B">
              <w:t>1 079</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1995</w:t>
            </w:r>
          </w:p>
        </w:tc>
        <w:tc>
          <w:tcPr>
            <w:tcW w:w="1304" w:type="dxa"/>
            <w:vAlign w:val="center"/>
          </w:tcPr>
          <w:p w:rsidR="001F14AF" w:rsidRPr="009D719B" w:rsidRDefault="001F14AF">
            <w:pPr>
              <w:pStyle w:val="Tabell"/>
              <w:jc w:val="center"/>
            </w:pPr>
            <w:r w:rsidRPr="009D719B">
              <w:t>7 164</w:t>
            </w:r>
          </w:p>
        </w:tc>
        <w:tc>
          <w:tcPr>
            <w:tcW w:w="1304" w:type="dxa"/>
            <w:vAlign w:val="center"/>
          </w:tcPr>
          <w:p w:rsidR="001F14AF" w:rsidRPr="009D719B" w:rsidRDefault="001F14AF">
            <w:pPr>
              <w:pStyle w:val="Tabell"/>
              <w:jc w:val="center"/>
            </w:pPr>
            <w:r w:rsidRPr="009D719B">
              <w:t>3 689</w:t>
            </w:r>
          </w:p>
        </w:tc>
        <w:tc>
          <w:tcPr>
            <w:tcW w:w="1304" w:type="dxa"/>
            <w:vAlign w:val="center"/>
          </w:tcPr>
          <w:p w:rsidR="001F14AF" w:rsidRPr="009D719B" w:rsidRDefault="001F14AF">
            <w:pPr>
              <w:pStyle w:val="Tabell"/>
              <w:jc w:val="center"/>
            </w:pPr>
            <w:r w:rsidRPr="009D719B">
              <w:t>2 915</w:t>
            </w:r>
          </w:p>
        </w:tc>
        <w:tc>
          <w:tcPr>
            <w:tcW w:w="1304" w:type="dxa"/>
            <w:tcBorders>
              <w:right w:val="single" w:sz="18" w:space="0" w:color="auto"/>
            </w:tcBorders>
            <w:vAlign w:val="center"/>
          </w:tcPr>
          <w:p w:rsidR="001F14AF" w:rsidRPr="009D719B" w:rsidRDefault="001F14AF">
            <w:pPr>
              <w:pStyle w:val="Tabell"/>
              <w:ind w:right="397"/>
              <w:jc w:val="right"/>
            </w:pPr>
            <w:r w:rsidRPr="009D719B">
              <w:t>1 148</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1996</w:t>
            </w:r>
          </w:p>
        </w:tc>
        <w:tc>
          <w:tcPr>
            <w:tcW w:w="1304" w:type="dxa"/>
            <w:vAlign w:val="center"/>
          </w:tcPr>
          <w:p w:rsidR="001F14AF" w:rsidRPr="009D719B" w:rsidRDefault="001F14AF">
            <w:pPr>
              <w:pStyle w:val="Tabell"/>
              <w:jc w:val="center"/>
            </w:pPr>
            <w:r w:rsidRPr="009D719B">
              <w:t>7 259</w:t>
            </w:r>
          </w:p>
        </w:tc>
        <w:tc>
          <w:tcPr>
            <w:tcW w:w="1304" w:type="dxa"/>
            <w:vAlign w:val="center"/>
          </w:tcPr>
          <w:p w:rsidR="001F14AF" w:rsidRPr="009D719B" w:rsidRDefault="001F14AF">
            <w:pPr>
              <w:pStyle w:val="Tabell"/>
              <w:jc w:val="center"/>
            </w:pPr>
            <w:r w:rsidRPr="009D719B">
              <w:t>3 712</w:t>
            </w:r>
          </w:p>
        </w:tc>
        <w:tc>
          <w:tcPr>
            <w:tcW w:w="1304" w:type="dxa"/>
            <w:vAlign w:val="center"/>
          </w:tcPr>
          <w:p w:rsidR="001F14AF" w:rsidRPr="009D719B" w:rsidRDefault="001F14AF">
            <w:pPr>
              <w:pStyle w:val="Tabell"/>
              <w:jc w:val="center"/>
            </w:pPr>
            <w:r w:rsidRPr="009D719B">
              <w:t>2 911</w:t>
            </w:r>
          </w:p>
        </w:tc>
        <w:tc>
          <w:tcPr>
            <w:tcW w:w="1304" w:type="dxa"/>
            <w:tcBorders>
              <w:right w:val="single" w:sz="18" w:space="0" w:color="auto"/>
            </w:tcBorders>
            <w:vAlign w:val="center"/>
          </w:tcPr>
          <w:p w:rsidR="001F14AF" w:rsidRPr="009D719B" w:rsidRDefault="001F14AF">
            <w:pPr>
              <w:pStyle w:val="Tabell"/>
              <w:ind w:right="397"/>
              <w:jc w:val="right"/>
            </w:pPr>
            <w:r w:rsidRPr="009D719B">
              <w:t>1 229</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1997</w:t>
            </w:r>
          </w:p>
        </w:tc>
        <w:tc>
          <w:tcPr>
            <w:tcW w:w="1304" w:type="dxa"/>
            <w:vAlign w:val="center"/>
          </w:tcPr>
          <w:p w:rsidR="001F14AF" w:rsidRPr="009D719B" w:rsidRDefault="001F14AF">
            <w:pPr>
              <w:pStyle w:val="Tabell"/>
              <w:jc w:val="center"/>
            </w:pPr>
            <w:r w:rsidRPr="009D719B">
              <w:t>6 824</w:t>
            </w:r>
          </w:p>
        </w:tc>
        <w:tc>
          <w:tcPr>
            <w:tcW w:w="1304" w:type="dxa"/>
            <w:vAlign w:val="center"/>
          </w:tcPr>
          <w:p w:rsidR="001F14AF" w:rsidRPr="009D719B" w:rsidRDefault="001F14AF">
            <w:pPr>
              <w:pStyle w:val="Tabell"/>
              <w:jc w:val="center"/>
            </w:pPr>
            <w:r w:rsidRPr="009D719B">
              <w:t>3 571</w:t>
            </w:r>
          </w:p>
        </w:tc>
        <w:tc>
          <w:tcPr>
            <w:tcW w:w="1304" w:type="dxa"/>
            <w:vAlign w:val="center"/>
          </w:tcPr>
          <w:p w:rsidR="001F14AF" w:rsidRPr="009D719B" w:rsidRDefault="001F14AF">
            <w:pPr>
              <w:pStyle w:val="Tabell"/>
              <w:jc w:val="center"/>
            </w:pPr>
            <w:r w:rsidRPr="009D719B">
              <w:t>2 918</w:t>
            </w:r>
          </w:p>
        </w:tc>
        <w:tc>
          <w:tcPr>
            <w:tcW w:w="1304" w:type="dxa"/>
            <w:tcBorders>
              <w:right w:val="single" w:sz="18" w:space="0" w:color="auto"/>
            </w:tcBorders>
            <w:vAlign w:val="center"/>
          </w:tcPr>
          <w:p w:rsidR="001F14AF" w:rsidRPr="009D719B" w:rsidRDefault="001F14AF">
            <w:pPr>
              <w:pStyle w:val="Tabell"/>
              <w:ind w:right="397"/>
              <w:jc w:val="right"/>
            </w:pPr>
            <w:r w:rsidRPr="009D719B">
              <w:t>1 135</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1998</w:t>
            </w:r>
          </w:p>
        </w:tc>
        <w:tc>
          <w:tcPr>
            <w:tcW w:w="1304" w:type="dxa"/>
            <w:vAlign w:val="center"/>
          </w:tcPr>
          <w:p w:rsidR="001F14AF" w:rsidRPr="009D719B" w:rsidRDefault="001F14AF">
            <w:pPr>
              <w:pStyle w:val="Tabell"/>
              <w:jc w:val="center"/>
            </w:pPr>
            <w:r w:rsidRPr="009D719B">
              <w:t>6 048</w:t>
            </w:r>
          </w:p>
        </w:tc>
        <w:tc>
          <w:tcPr>
            <w:tcW w:w="1304" w:type="dxa"/>
            <w:vAlign w:val="center"/>
          </w:tcPr>
          <w:p w:rsidR="001F14AF" w:rsidRPr="009D719B" w:rsidRDefault="001F14AF">
            <w:pPr>
              <w:pStyle w:val="Tabell"/>
              <w:jc w:val="center"/>
            </w:pPr>
            <w:r w:rsidRPr="009D719B">
              <w:t>3 123</w:t>
            </w:r>
          </w:p>
        </w:tc>
        <w:tc>
          <w:tcPr>
            <w:tcW w:w="1304" w:type="dxa"/>
            <w:vAlign w:val="center"/>
          </w:tcPr>
          <w:p w:rsidR="001F14AF" w:rsidRPr="009D719B" w:rsidRDefault="001F14AF">
            <w:pPr>
              <w:pStyle w:val="Tabell"/>
              <w:jc w:val="center"/>
            </w:pPr>
            <w:r w:rsidRPr="009D719B">
              <w:t>2 773</w:t>
            </w:r>
          </w:p>
        </w:tc>
        <w:tc>
          <w:tcPr>
            <w:tcW w:w="1304" w:type="dxa"/>
            <w:tcBorders>
              <w:right w:val="single" w:sz="18" w:space="0" w:color="auto"/>
            </w:tcBorders>
            <w:vAlign w:val="center"/>
          </w:tcPr>
          <w:p w:rsidR="001F14AF" w:rsidRPr="009D719B" w:rsidRDefault="001F14AF">
            <w:pPr>
              <w:pStyle w:val="Tabell"/>
              <w:ind w:right="397"/>
              <w:jc w:val="right"/>
            </w:pPr>
            <w:r w:rsidRPr="009D719B">
              <w:t>1 417</w:t>
            </w:r>
          </w:p>
        </w:tc>
      </w:tr>
      <w:tr w:rsidR="00000000" w:rsidRPr="009D719B">
        <w:tblPrEx>
          <w:tblCellMar>
            <w:top w:w="0" w:type="dxa"/>
            <w:bottom w:w="0" w:type="dxa"/>
          </w:tblCellMar>
        </w:tblPrEx>
        <w:trPr>
          <w:trHeight w:val="240"/>
        </w:trPr>
        <w:tc>
          <w:tcPr>
            <w:tcW w:w="779" w:type="dxa"/>
            <w:shd w:val="pct15" w:color="auto" w:fill="FFFFFF"/>
            <w:vAlign w:val="center"/>
          </w:tcPr>
          <w:p w:rsidR="001F14AF" w:rsidRPr="009D719B" w:rsidRDefault="001F14AF">
            <w:pPr>
              <w:pStyle w:val="Tabell"/>
              <w:jc w:val="center"/>
              <w:rPr>
                <w:b/>
              </w:rPr>
            </w:pPr>
            <w:r w:rsidRPr="009D719B">
              <w:rPr>
                <w:b/>
              </w:rPr>
              <w:t>1999</w:t>
            </w:r>
          </w:p>
        </w:tc>
        <w:tc>
          <w:tcPr>
            <w:tcW w:w="1304" w:type="dxa"/>
            <w:vAlign w:val="center"/>
          </w:tcPr>
          <w:p w:rsidR="001F14AF" w:rsidRPr="009D719B" w:rsidRDefault="001F14AF">
            <w:pPr>
              <w:pStyle w:val="Tabell"/>
              <w:jc w:val="center"/>
            </w:pPr>
            <w:r w:rsidRPr="009D719B">
              <w:t>5 758</w:t>
            </w:r>
          </w:p>
        </w:tc>
        <w:tc>
          <w:tcPr>
            <w:tcW w:w="1304" w:type="dxa"/>
            <w:vAlign w:val="center"/>
          </w:tcPr>
          <w:p w:rsidR="001F14AF" w:rsidRPr="009D719B" w:rsidRDefault="001F14AF">
            <w:pPr>
              <w:pStyle w:val="Tabell"/>
              <w:jc w:val="center"/>
            </w:pPr>
            <w:r w:rsidRPr="009D719B">
              <w:t>2 894</w:t>
            </w:r>
          </w:p>
        </w:tc>
        <w:tc>
          <w:tcPr>
            <w:tcW w:w="1304" w:type="dxa"/>
            <w:vAlign w:val="center"/>
          </w:tcPr>
          <w:p w:rsidR="001F14AF" w:rsidRPr="009D719B" w:rsidRDefault="001F14AF">
            <w:pPr>
              <w:pStyle w:val="Tabell"/>
              <w:jc w:val="center"/>
            </w:pPr>
            <w:r w:rsidRPr="009D719B">
              <w:t>2 825</w:t>
            </w:r>
          </w:p>
        </w:tc>
        <w:tc>
          <w:tcPr>
            <w:tcW w:w="1304" w:type="dxa"/>
            <w:tcBorders>
              <w:right w:val="single" w:sz="18" w:space="0" w:color="auto"/>
            </w:tcBorders>
            <w:vAlign w:val="center"/>
          </w:tcPr>
          <w:p w:rsidR="001F14AF" w:rsidRPr="009D719B" w:rsidRDefault="001F14AF">
            <w:pPr>
              <w:pStyle w:val="Tabell"/>
              <w:ind w:right="397"/>
              <w:jc w:val="right"/>
            </w:pPr>
            <w:r w:rsidRPr="009D719B">
              <w:t>1 334</w:t>
            </w:r>
          </w:p>
        </w:tc>
      </w:tr>
      <w:tr w:rsidR="00000000" w:rsidRPr="009D719B">
        <w:tblPrEx>
          <w:tblCellMar>
            <w:top w:w="0" w:type="dxa"/>
            <w:bottom w:w="0" w:type="dxa"/>
          </w:tblCellMar>
        </w:tblPrEx>
        <w:trPr>
          <w:trHeight w:val="240"/>
        </w:trPr>
        <w:tc>
          <w:tcPr>
            <w:tcW w:w="779" w:type="dxa"/>
            <w:tcBorders>
              <w:bottom w:val="single" w:sz="4" w:space="0" w:color="auto"/>
            </w:tcBorders>
            <w:shd w:val="pct15" w:color="auto" w:fill="FFFFFF"/>
            <w:vAlign w:val="center"/>
          </w:tcPr>
          <w:p w:rsidR="001F14AF" w:rsidRPr="009D719B" w:rsidRDefault="001F14AF">
            <w:pPr>
              <w:pStyle w:val="Tabell"/>
              <w:jc w:val="center"/>
              <w:rPr>
                <w:b/>
              </w:rPr>
            </w:pPr>
            <w:r w:rsidRPr="009D719B">
              <w:rPr>
                <w:b/>
              </w:rPr>
              <w:t>2000</w:t>
            </w:r>
          </w:p>
        </w:tc>
        <w:tc>
          <w:tcPr>
            <w:tcW w:w="1304" w:type="dxa"/>
            <w:tcBorders>
              <w:bottom w:val="single" w:sz="4" w:space="0" w:color="auto"/>
            </w:tcBorders>
            <w:vAlign w:val="center"/>
          </w:tcPr>
          <w:p w:rsidR="001F14AF" w:rsidRPr="009D719B" w:rsidRDefault="001F14AF">
            <w:pPr>
              <w:pStyle w:val="Tabell"/>
              <w:jc w:val="center"/>
            </w:pPr>
            <w:r w:rsidRPr="009D719B">
              <w:t>4 976</w:t>
            </w:r>
          </w:p>
        </w:tc>
        <w:tc>
          <w:tcPr>
            <w:tcW w:w="1304" w:type="dxa"/>
            <w:tcBorders>
              <w:bottom w:val="single" w:sz="4" w:space="0" w:color="auto"/>
            </w:tcBorders>
            <w:vAlign w:val="center"/>
          </w:tcPr>
          <w:p w:rsidR="001F14AF" w:rsidRPr="009D719B" w:rsidRDefault="001F14AF">
            <w:pPr>
              <w:pStyle w:val="Tabell"/>
              <w:jc w:val="center"/>
            </w:pPr>
            <w:r w:rsidRPr="009D719B">
              <w:t>2 814</w:t>
            </w:r>
          </w:p>
        </w:tc>
        <w:tc>
          <w:tcPr>
            <w:tcW w:w="1304" w:type="dxa"/>
            <w:tcBorders>
              <w:bottom w:val="single" w:sz="4" w:space="0" w:color="auto"/>
            </w:tcBorders>
            <w:vAlign w:val="center"/>
          </w:tcPr>
          <w:p w:rsidR="001F14AF" w:rsidRPr="009D719B" w:rsidRDefault="001F14AF">
            <w:pPr>
              <w:pStyle w:val="Tabell"/>
              <w:jc w:val="center"/>
            </w:pPr>
            <w:r w:rsidRPr="009D719B">
              <w:t>2 727</w:t>
            </w:r>
          </w:p>
        </w:tc>
        <w:tc>
          <w:tcPr>
            <w:tcW w:w="1304" w:type="dxa"/>
            <w:tcBorders>
              <w:bottom w:val="single" w:sz="4" w:space="0" w:color="auto"/>
              <w:right w:val="single" w:sz="18" w:space="0" w:color="auto"/>
            </w:tcBorders>
            <w:vAlign w:val="center"/>
          </w:tcPr>
          <w:p w:rsidR="001F14AF" w:rsidRPr="009D719B" w:rsidRDefault="001F14AF">
            <w:pPr>
              <w:pStyle w:val="Tabell"/>
              <w:ind w:right="397"/>
              <w:jc w:val="right"/>
            </w:pPr>
            <w:r w:rsidRPr="009D719B">
              <w:t>1 505</w:t>
            </w:r>
          </w:p>
        </w:tc>
      </w:tr>
      <w:tr w:rsidR="00000000" w:rsidRPr="009D719B">
        <w:tblPrEx>
          <w:tblCellMar>
            <w:top w:w="0" w:type="dxa"/>
            <w:bottom w:w="0" w:type="dxa"/>
          </w:tblCellMar>
        </w:tblPrEx>
        <w:trPr>
          <w:trHeight w:val="240"/>
        </w:trPr>
        <w:tc>
          <w:tcPr>
            <w:tcW w:w="779" w:type="dxa"/>
            <w:tcBorders>
              <w:bottom w:val="single" w:sz="18" w:space="0" w:color="auto"/>
            </w:tcBorders>
            <w:shd w:val="pct15" w:color="auto" w:fill="FFFFFF"/>
            <w:vAlign w:val="center"/>
          </w:tcPr>
          <w:p w:rsidR="001F14AF" w:rsidRPr="009D719B" w:rsidRDefault="001F14AF">
            <w:pPr>
              <w:pStyle w:val="Tabell"/>
              <w:jc w:val="center"/>
              <w:rPr>
                <w:b/>
              </w:rPr>
            </w:pPr>
            <w:r w:rsidRPr="009D719B">
              <w:rPr>
                <w:b/>
              </w:rPr>
              <w:t>2001</w:t>
            </w:r>
          </w:p>
        </w:tc>
        <w:tc>
          <w:tcPr>
            <w:tcW w:w="1304" w:type="dxa"/>
            <w:tcBorders>
              <w:bottom w:val="single" w:sz="18" w:space="0" w:color="auto"/>
            </w:tcBorders>
            <w:vAlign w:val="center"/>
          </w:tcPr>
          <w:p w:rsidR="001F14AF" w:rsidRPr="009D719B" w:rsidRDefault="001F14AF">
            <w:pPr>
              <w:pStyle w:val="Tabell"/>
              <w:jc w:val="center"/>
            </w:pPr>
            <w:r w:rsidRPr="009D719B">
              <w:t>4 148</w:t>
            </w:r>
          </w:p>
        </w:tc>
        <w:tc>
          <w:tcPr>
            <w:tcW w:w="1304" w:type="dxa"/>
            <w:tcBorders>
              <w:bottom w:val="single" w:sz="18" w:space="0" w:color="auto"/>
            </w:tcBorders>
            <w:vAlign w:val="center"/>
          </w:tcPr>
          <w:p w:rsidR="001F14AF" w:rsidRPr="009D719B" w:rsidRDefault="001F14AF">
            <w:pPr>
              <w:pStyle w:val="Tabell"/>
              <w:jc w:val="center"/>
            </w:pPr>
            <w:r w:rsidRPr="009D719B">
              <w:t>2 666</w:t>
            </w:r>
          </w:p>
        </w:tc>
        <w:tc>
          <w:tcPr>
            <w:tcW w:w="1304" w:type="dxa"/>
            <w:tcBorders>
              <w:bottom w:val="single" w:sz="18" w:space="0" w:color="auto"/>
            </w:tcBorders>
            <w:vAlign w:val="center"/>
          </w:tcPr>
          <w:p w:rsidR="001F14AF" w:rsidRPr="009D719B" w:rsidRDefault="001F14AF">
            <w:pPr>
              <w:pStyle w:val="Tabell"/>
              <w:jc w:val="center"/>
            </w:pPr>
            <w:r w:rsidRPr="009D719B">
              <w:t>2 570</w:t>
            </w:r>
          </w:p>
        </w:tc>
        <w:tc>
          <w:tcPr>
            <w:tcW w:w="1304" w:type="dxa"/>
            <w:tcBorders>
              <w:bottom w:val="single" w:sz="18" w:space="0" w:color="auto"/>
              <w:right w:val="single" w:sz="18" w:space="0" w:color="auto"/>
            </w:tcBorders>
            <w:vAlign w:val="center"/>
          </w:tcPr>
          <w:p w:rsidR="001F14AF" w:rsidRPr="009D719B" w:rsidRDefault="001F14AF">
            <w:pPr>
              <w:pStyle w:val="Tabell"/>
              <w:ind w:right="397"/>
              <w:jc w:val="right"/>
            </w:pPr>
            <w:r w:rsidRPr="009D719B">
              <w:t>1 872</w:t>
            </w:r>
          </w:p>
        </w:tc>
      </w:tr>
    </w:tbl>
    <w:p w:rsidR="001F14AF" w:rsidRPr="009D719B" w:rsidRDefault="001F14AF">
      <w:r w:rsidRPr="009D719B">
        <w:t>Källa: SCB</w:t>
      </w:r>
    </w:p>
    <w:p w:rsidR="001F14AF" w:rsidRPr="009D719B" w:rsidRDefault="001F14AF">
      <w:pPr>
        <w:pStyle w:val="Normaltindrag"/>
        <w:sectPr w:rsidR="00000000" w:rsidRPr="009D719B">
          <w:headerReference w:type="default" r:id="rId28"/>
          <w:footerReference w:type="default" r:id="rId29"/>
          <w:type w:val="evenPage"/>
          <w:pgSz w:w="11906" w:h="16838" w:code="9"/>
          <w:pgMar w:top="567" w:right="4876" w:bottom="4508" w:left="1134" w:header="227" w:footer="227" w:gutter="0"/>
          <w:cols w:space="720"/>
        </w:sectPr>
      </w:pPr>
    </w:p>
    <w:p w:rsidR="001F14AF" w:rsidRPr="009D719B" w:rsidRDefault="001F14AF">
      <w:pPr>
        <w:pStyle w:val="Innehll"/>
        <w:ind w:left="0" w:firstLine="0"/>
      </w:pPr>
      <w:r w:rsidRPr="009D719B">
        <w:t>Innehållsförteckning</w:t>
      </w:r>
    </w:p>
    <w:p w:rsidR="001F14AF" w:rsidRPr="009D719B" w:rsidRDefault="001F14AF">
      <w:pPr>
        <w:pStyle w:val="Innehll1"/>
        <w:rPr>
          <w:noProof w:val="0"/>
        </w:rPr>
      </w:pPr>
      <w:r w:rsidRPr="009D719B">
        <w:rPr>
          <w:noProof w:val="0"/>
        </w:rPr>
        <w:t>1</w:t>
      </w:r>
      <w:r w:rsidRPr="009D719B">
        <w:rPr>
          <w:noProof w:val="0"/>
        </w:rPr>
        <w:tab/>
        <w:t>Revisorernas granskning</w:t>
      </w:r>
      <w:r w:rsidRPr="009D719B">
        <w:rPr>
          <w:noProof w:val="0"/>
        </w:rPr>
        <w:tab/>
        <w:t>1</w:t>
      </w:r>
    </w:p>
    <w:p w:rsidR="001F14AF" w:rsidRPr="009D719B" w:rsidRDefault="001F14AF">
      <w:pPr>
        <w:pStyle w:val="Innehll1"/>
        <w:rPr>
          <w:noProof w:val="0"/>
        </w:rPr>
      </w:pPr>
      <w:r w:rsidRPr="009D719B">
        <w:rPr>
          <w:noProof w:val="0"/>
        </w:rPr>
        <w:t>2</w:t>
      </w:r>
      <w:r w:rsidRPr="009D719B">
        <w:rPr>
          <w:noProof w:val="0"/>
        </w:rPr>
        <w:tab/>
        <w:t>Remissinstansernas synpunkter och revisorernas överväganden</w:t>
      </w:r>
      <w:r w:rsidRPr="009D719B">
        <w:rPr>
          <w:noProof w:val="0"/>
        </w:rPr>
        <w:tab/>
        <w:t>2</w:t>
      </w:r>
    </w:p>
    <w:p w:rsidR="001F14AF" w:rsidRPr="009D719B" w:rsidRDefault="001F14AF">
      <w:pPr>
        <w:pStyle w:val="Innehll2"/>
        <w:rPr>
          <w:noProof w:val="0"/>
        </w:rPr>
      </w:pPr>
      <w:r w:rsidRPr="009D719B">
        <w:rPr>
          <w:noProof w:val="0"/>
        </w:rPr>
        <w:t>2.1</w:t>
      </w:r>
      <w:r w:rsidRPr="009D719B">
        <w:rPr>
          <w:noProof w:val="0"/>
        </w:rPr>
        <w:tab/>
        <w:t>Allmänna utgångspunkter</w:t>
      </w:r>
      <w:r w:rsidRPr="009D719B">
        <w:rPr>
          <w:noProof w:val="0"/>
        </w:rPr>
        <w:tab/>
        <w:t>2</w:t>
      </w:r>
    </w:p>
    <w:p w:rsidR="001F14AF" w:rsidRPr="009D719B" w:rsidRDefault="001F14AF">
      <w:pPr>
        <w:pStyle w:val="Innehll2"/>
        <w:rPr>
          <w:noProof w:val="0"/>
        </w:rPr>
      </w:pPr>
      <w:r w:rsidRPr="009D719B">
        <w:rPr>
          <w:noProof w:val="0"/>
        </w:rPr>
        <w:t>2.2</w:t>
      </w:r>
      <w:r w:rsidRPr="009D719B">
        <w:rPr>
          <w:noProof w:val="0"/>
        </w:rPr>
        <w:tab/>
        <w:t>Regeringens ansvar för arbetsgivarpolitiken</w:t>
      </w:r>
      <w:r w:rsidRPr="009D719B">
        <w:rPr>
          <w:noProof w:val="0"/>
        </w:rPr>
        <w:tab/>
        <w:t>4</w:t>
      </w:r>
    </w:p>
    <w:p w:rsidR="001F14AF" w:rsidRPr="009D719B" w:rsidRDefault="001F14AF">
      <w:pPr>
        <w:pStyle w:val="Innehll2"/>
        <w:rPr>
          <w:noProof w:val="0"/>
        </w:rPr>
      </w:pPr>
      <w:r w:rsidRPr="009D719B">
        <w:rPr>
          <w:noProof w:val="0"/>
        </w:rPr>
        <w:t>2.3</w:t>
      </w:r>
      <w:r w:rsidRPr="009D719B">
        <w:rPr>
          <w:noProof w:val="0"/>
        </w:rPr>
        <w:tab/>
        <w:t>Högkvarterets organisation</w:t>
      </w:r>
      <w:r w:rsidRPr="009D719B">
        <w:rPr>
          <w:noProof w:val="0"/>
        </w:rPr>
        <w:tab/>
        <w:t>6</w:t>
      </w:r>
    </w:p>
    <w:p w:rsidR="001F14AF" w:rsidRPr="009D719B" w:rsidRDefault="001F14AF">
      <w:pPr>
        <w:pStyle w:val="Innehll2"/>
        <w:rPr>
          <w:noProof w:val="0"/>
        </w:rPr>
      </w:pPr>
      <w:r w:rsidRPr="009D719B">
        <w:rPr>
          <w:noProof w:val="0"/>
        </w:rPr>
        <w:t>2.4</w:t>
      </w:r>
      <w:r w:rsidRPr="009D719B">
        <w:rPr>
          <w:noProof w:val="0"/>
        </w:rPr>
        <w:tab/>
        <w:t>Försvarsmaktens uppföljning av lönebildningen</w:t>
      </w:r>
      <w:r w:rsidRPr="009D719B">
        <w:rPr>
          <w:noProof w:val="0"/>
        </w:rPr>
        <w:tab/>
        <w:t>7</w:t>
      </w:r>
    </w:p>
    <w:p w:rsidR="001F14AF" w:rsidRPr="009D719B" w:rsidRDefault="001F14AF">
      <w:pPr>
        <w:pStyle w:val="Innehll2"/>
        <w:rPr>
          <w:noProof w:val="0"/>
        </w:rPr>
      </w:pPr>
      <w:r w:rsidRPr="009D719B">
        <w:rPr>
          <w:noProof w:val="0"/>
        </w:rPr>
        <w:t>2.5</w:t>
      </w:r>
      <w:r w:rsidRPr="009D719B">
        <w:rPr>
          <w:noProof w:val="0"/>
        </w:rPr>
        <w:tab/>
        <w:t>Försvarsmaktens styrning av kompetens och lönebildning</w:t>
      </w:r>
      <w:r w:rsidRPr="009D719B">
        <w:rPr>
          <w:noProof w:val="0"/>
        </w:rPr>
        <w:tab/>
      </w:r>
      <w:bookmarkStart w:id="243" w:name="_Hlt38103484"/>
      <w:r w:rsidRPr="009D719B">
        <w:rPr>
          <w:noProof w:val="0"/>
        </w:rPr>
        <w:t>9</w:t>
      </w:r>
      <w:bookmarkEnd w:id="243"/>
    </w:p>
    <w:p w:rsidR="001F14AF" w:rsidRPr="009D719B" w:rsidRDefault="001F14AF">
      <w:pPr>
        <w:pStyle w:val="Innehll1"/>
        <w:rPr>
          <w:noProof w:val="0"/>
        </w:rPr>
      </w:pPr>
      <w:r w:rsidRPr="009D719B">
        <w:rPr>
          <w:noProof w:val="0"/>
        </w:rPr>
        <w:t>3</w:t>
      </w:r>
      <w:r w:rsidRPr="009D719B">
        <w:rPr>
          <w:noProof w:val="0"/>
        </w:rPr>
        <w:tab/>
        <w:t>Revisorernas förslag</w:t>
      </w:r>
      <w:r w:rsidRPr="009D719B">
        <w:rPr>
          <w:noProof w:val="0"/>
        </w:rPr>
        <w:tab/>
        <w:t>11</w:t>
      </w:r>
    </w:p>
    <w:p w:rsidR="001F14AF" w:rsidRPr="009D719B" w:rsidRDefault="001F14AF">
      <w:pPr>
        <w:pStyle w:val="Innehll1"/>
        <w:spacing w:before="60"/>
        <w:rPr>
          <w:i/>
          <w:noProof w:val="0"/>
        </w:rPr>
      </w:pPr>
      <w:r w:rsidRPr="009D719B">
        <w:rPr>
          <w:i/>
          <w:noProof w:val="0"/>
        </w:rPr>
        <w:t>Bilaga</w:t>
      </w:r>
    </w:p>
    <w:p w:rsidR="001F14AF" w:rsidRPr="009D719B" w:rsidRDefault="001F14AF">
      <w:pPr>
        <w:pStyle w:val="Innehll1"/>
        <w:rPr>
          <w:noProof w:val="0"/>
        </w:rPr>
      </w:pPr>
      <w:r w:rsidRPr="009D719B">
        <w:rPr>
          <w:noProof w:val="0"/>
        </w:rPr>
        <w:t>Rapport 2002/03:6 Giv akt på lönebildningen – arbetsgivarpolitiken inom Försvarsmakten</w:t>
      </w:r>
      <w:r w:rsidRPr="009D719B">
        <w:rPr>
          <w:noProof w:val="0"/>
        </w:rPr>
        <w:tab/>
        <w:t>13</w:t>
      </w:r>
    </w:p>
    <w:p w:rsidR="001F14AF" w:rsidRPr="009D719B" w:rsidRDefault="001F14AF">
      <w:pPr>
        <w:pStyle w:val="Innehll1"/>
        <w:rPr>
          <w:noProof w:val="0"/>
        </w:rPr>
      </w:pPr>
      <w:r w:rsidRPr="009D719B">
        <w:rPr>
          <w:noProof w:val="0"/>
        </w:rPr>
        <w:t>Förord</w:t>
      </w:r>
      <w:r w:rsidRPr="009D719B">
        <w:rPr>
          <w:noProof w:val="0"/>
        </w:rPr>
        <w:tab/>
      </w:r>
      <w:bookmarkStart w:id="244" w:name="_Hlt38103428"/>
      <w:r w:rsidRPr="009D719B">
        <w:rPr>
          <w:noProof w:val="0"/>
        </w:rPr>
        <w:t>14</w:t>
      </w:r>
      <w:bookmarkEnd w:id="244"/>
    </w:p>
    <w:p w:rsidR="001F14AF" w:rsidRPr="009D719B" w:rsidRDefault="001F14AF">
      <w:pPr>
        <w:pStyle w:val="Innehll1"/>
        <w:rPr>
          <w:noProof w:val="0"/>
        </w:rPr>
      </w:pPr>
      <w:r w:rsidRPr="009D719B">
        <w:rPr>
          <w:noProof w:val="0"/>
        </w:rPr>
        <w:t>Sammanfattning</w:t>
      </w:r>
      <w:r w:rsidRPr="009D719B">
        <w:rPr>
          <w:noProof w:val="0"/>
        </w:rPr>
        <w:tab/>
        <w:t>15</w:t>
      </w:r>
    </w:p>
    <w:p w:rsidR="001F14AF" w:rsidRPr="009D719B" w:rsidRDefault="001F14AF">
      <w:pPr>
        <w:pStyle w:val="Innehll1"/>
        <w:rPr>
          <w:noProof w:val="0"/>
        </w:rPr>
      </w:pPr>
      <w:r w:rsidRPr="009D719B">
        <w:rPr>
          <w:noProof w:val="0"/>
        </w:rPr>
        <w:t>1</w:t>
      </w:r>
      <w:r w:rsidRPr="009D719B">
        <w:rPr>
          <w:noProof w:val="0"/>
        </w:rPr>
        <w:tab/>
        <w:t>Om granskningen</w:t>
      </w:r>
      <w:r w:rsidRPr="009D719B">
        <w:rPr>
          <w:noProof w:val="0"/>
        </w:rPr>
        <w:tab/>
        <w:t>18</w:t>
      </w:r>
    </w:p>
    <w:p w:rsidR="001F14AF" w:rsidRPr="009D719B" w:rsidRDefault="001F14AF">
      <w:pPr>
        <w:pStyle w:val="Innehll2"/>
        <w:rPr>
          <w:noProof w:val="0"/>
        </w:rPr>
      </w:pPr>
      <w:r w:rsidRPr="009D719B">
        <w:rPr>
          <w:noProof w:val="0"/>
        </w:rPr>
        <w:t>1.1</w:t>
      </w:r>
      <w:r w:rsidRPr="009D719B">
        <w:rPr>
          <w:noProof w:val="0"/>
        </w:rPr>
        <w:tab/>
        <w:t>Arbetsgivarpolitik</w:t>
      </w:r>
      <w:r w:rsidRPr="009D719B">
        <w:rPr>
          <w:noProof w:val="0"/>
        </w:rPr>
        <w:tab/>
        <w:t>18</w:t>
      </w:r>
    </w:p>
    <w:p w:rsidR="001F14AF" w:rsidRPr="009D719B" w:rsidRDefault="001F14AF">
      <w:pPr>
        <w:pStyle w:val="Innehll2"/>
        <w:rPr>
          <w:noProof w:val="0"/>
        </w:rPr>
      </w:pPr>
      <w:r w:rsidRPr="009D719B">
        <w:rPr>
          <w:noProof w:val="0"/>
        </w:rPr>
        <w:t>1.2</w:t>
      </w:r>
      <w:r w:rsidRPr="009D719B">
        <w:rPr>
          <w:noProof w:val="0"/>
        </w:rPr>
        <w:tab/>
        <w:t>Hur har granskningen genomförts?</w:t>
      </w:r>
      <w:r w:rsidRPr="009D719B">
        <w:rPr>
          <w:noProof w:val="0"/>
        </w:rPr>
        <w:tab/>
        <w:t>19</w:t>
      </w:r>
    </w:p>
    <w:p w:rsidR="001F14AF" w:rsidRPr="009D719B" w:rsidRDefault="001F14AF">
      <w:pPr>
        <w:pStyle w:val="Innehll2"/>
        <w:rPr>
          <w:noProof w:val="0"/>
        </w:rPr>
      </w:pPr>
      <w:r w:rsidRPr="009D719B">
        <w:rPr>
          <w:noProof w:val="0"/>
        </w:rPr>
        <w:t>1.3</w:t>
      </w:r>
      <w:r w:rsidRPr="009D719B">
        <w:rPr>
          <w:noProof w:val="0"/>
        </w:rPr>
        <w:tab/>
        <w:t>Rapportens disposition</w:t>
      </w:r>
      <w:r w:rsidRPr="009D719B">
        <w:rPr>
          <w:noProof w:val="0"/>
        </w:rPr>
        <w:tab/>
        <w:t>21</w:t>
      </w:r>
    </w:p>
    <w:p w:rsidR="001F14AF" w:rsidRPr="009D719B" w:rsidRDefault="001F14AF">
      <w:pPr>
        <w:pStyle w:val="Innehll1"/>
        <w:rPr>
          <w:noProof w:val="0"/>
        </w:rPr>
      </w:pPr>
      <w:r w:rsidRPr="009D719B">
        <w:rPr>
          <w:noProof w:val="0"/>
        </w:rPr>
        <w:t>2</w:t>
      </w:r>
      <w:r w:rsidRPr="009D719B">
        <w:rPr>
          <w:noProof w:val="0"/>
        </w:rPr>
        <w:tab/>
        <w:t>Försvarsmakten</w:t>
      </w:r>
      <w:r w:rsidRPr="009D719B">
        <w:rPr>
          <w:noProof w:val="0"/>
        </w:rPr>
        <w:tab/>
        <w:t>22</w:t>
      </w:r>
    </w:p>
    <w:p w:rsidR="001F14AF" w:rsidRPr="009D719B" w:rsidRDefault="001F14AF">
      <w:pPr>
        <w:pStyle w:val="Innehll2"/>
        <w:rPr>
          <w:noProof w:val="0"/>
        </w:rPr>
      </w:pPr>
      <w:r w:rsidRPr="009D719B">
        <w:rPr>
          <w:noProof w:val="0"/>
        </w:rPr>
        <w:t>2.1</w:t>
      </w:r>
      <w:r w:rsidRPr="009D719B">
        <w:rPr>
          <w:noProof w:val="0"/>
        </w:rPr>
        <w:tab/>
        <w:t>Försvarsmaktens centrala ledning</w:t>
      </w:r>
      <w:r w:rsidRPr="009D719B">
        <w:rPr>
          <w:noProof w:val="0"/>
        </w:rPr>
        <w:tab/>
        <w:t>22</w:t>
      </w:r>
    </w:p>
    <w:p w:rsidR="001F14AF" w:rsidRPr="009D719B" w:rsidRDefault="001F14AF">
      <w:pPr>
        <w:pStyle w:val="Innehll2"/>
        <w:rPr>
          <w:noProof w:val="0"/>
        </w:rPr>
      </w:pPr>
      <w:r w:rsidRPr="009D719B">
        <w:rPr>
          <w:noProof w:val="0"/>
        </w:rPr>
        <w:t>2.2</w:t>
      </w:r>
      <w:r w:rsidRPr="009D719B">
        <w:rPr>
          <w:noProof w:val="0"/>
        </w:rPr>
        <w:tab/>
        <w:t>Försvarsmaktens personal</w:t>
      </w:r>
      <w:r w:rsidRPr="009D719B">
        <w:rPr>
          <w:noProof w:val="0"/>
        </w:rPr>
        <w:tab/>
        <w:t>24</w:t>
      </w:r>
    </w:p>
    <w:p w:rsidR="001F14AF" w:rsidRPr="009D719B" w:rsidRDefault="001F14AF">
      <w:pPr>
        <w:pStyle w:val="Innehll2"/>
        <w:rPr>
          <w:noProof w:val="0"/>
        </w:rPr>
      </w:pPr>
      <w:r w:rsidRPr="009D719B">
        <w:rPr>
          <w:noProof w:val="0"/>
        </w:rPr>
        <w:t>2.3</w:t>
      </w:r>
      <w:r w:rsidRPr="009D719B">
        <w:rPr>
          <w:noProof w:val="0"/>
        </w:rPr>
        <w:tab/>
        <w:t>Försvarsmakten förändras</w:t>
      </w:r>
      <w:r w:rsidRPr="009D719B">
        <w:rPr>
          <w:noProof w:val="0"/>
        </w:rPr>
        <w:tab/>
        <w:t>26</w:t>
      </w:r>
    </w:p>
    <w:p w:rsidR="001F14AF" w:rsidRPr="009D719B" w:rsidRDefault="001F14AF">
      <w:pPr>
        <w:pStyle w:val="Innehll1"/>
        <w:rPr>
          <w:noProof w:val="0"/>
        </w:rPr>
      </w:pPr>
      <w:r w:rsidRPr="009D719B">
        <w:rPr>
          <w:noProof w:val="0"/>
        </w:rPr>
        <w:t>3</w:t>
      </w:r>
      <w:r w:rsidRPr="009D719B">
        <w:rPr>
          <w:noProof w:val="0"/>
        </w:rPr>
        <w:tab/>
        <w:t>Arbetsgivarpolitik</w:t>
      </w:r>
      <w:r w:rsidRPr="009D719B">
        <w:rPr>
          <w:noProof w:val="0"/>
        </w:rPr>
        <w:tab/>
        <w:t>34</w:t>
      </w:r>
    </w:p>
    <w:p w:rsidR="001F14AF" w:rsidRPr="009D719B" w:rsidRDefault="001F14AF">
      <w:pPr>
        <w:pStyle w:val="Innehll2"/>
        <w:rPr>
          <w:noProof w:val="0"/>
        </w:rPr>
      </w:pPr>
      <w:r w:rsidRPr="009D719B">
        <w:rPr>
          <w:noProof w:val="0"/>
        </w:rPr>
        <w:t>3.1</w:t>
      </w:r>
      <w:r w:rsidRPr="009D719B">
        <w:rPr>
          <w:noProof w:val="0"/>
        </w:rPr>
        <w:tab/>
        <w:t>Delegeringen av arbetsgivarpolitiken i staten</w:t>
      </w:r>
      <w:r w:rsidRPr="009D719B">
        <w:rPr>
          <w:noProof w:val="0"/>
        </w:rPr>
        <w:tab/>
        <w:t>34</w:t>
      </w:r>
    </w:p>
    <w:p w:rsidR="001F14AF" w:rsidRPr="009D719B" w:rsidRDefault="001F14AF">
      <w:pPr>
        <w:pStyle w:val="Innehll2"/>
        <w:rPr>
          <w:noProof w:val="0"/>
        </w:rPr>
      </w:pPr>
      <w:r w:rsidRPr="009D719B">
        <w:rPr>
          <w:noProof w:val="0"/>
        </w:rPr>
        <w:t>3.2</w:t>
      </w:r>
      <w:r w:rsidRPr="009D719B">
        <w:rPr>
          <w:noProof w:val="0"/>
        </w:rPr>
        <w:tab/>
        <w:t>Den statliga lönebildningen</w:t>
      </w:r>
      <w:r w:rsidRPr="009D719B">
        <w:rPr>
          <w:noProof w:val="0"/>
        </w:rPr>
        <w:tab/>
        <w:t>35</w:t>
      </w:r>
    </w:p>
    <w:p w:rsidR="001F14AF" w:rsidRPr="009D719B" w:rsidRDefault="001F14AF">
      <w:pPr>
        <w:pStyle w:val="Innehll2"/>
        <w:rPr>
          <w:noProof w:val="0"/>
        </w:rPr>
      </w:pPr>
      <w:r w:rsidRPr="009D719B">
        <w:rPr>
          <w:noProof w:val="0"/>
        </w:rPr>
        <w:t>3.3</w:t>
      </w:r>
      <w:r w:rsidRPr="009D719B">
        <w:rPr>
          <w:noProof w:val="0"/>
        </w:rPr>
        <w:tab/>
        <w:t>Att granska arbetsgivarpolitik</w:t>
      </w:r>
      <w:r w:rsidRPr="009D719B">
        <w:rPr>
          <w:noProof w:val="0"/>
        </w:rPr>
        <w:tab/>
        <w:t>37</w:t>
      </w:r>
    </w:p>
    <w:p w:rsidR="001F14AF" w:rsidRPr="009D719B" w:rsidRDefault="001F14AF">
      <w:pPr>
        <w:pStyle w:val="Innehll2"/>
        <w:rPr>
          <w:noProof w:val="0"/>
        </w:rPr>
      </w:pPr>
      <w:r w:rsidRPr="009D719B">
        <w:rPr>
          <w:noProof w:val="0"/>
        </w:rPr>
        <w:t>3.4</w:t>
      </w:r>
      <w:r w:rsidRPr="009D719B">
        <w:rPr>
          <w:noProof w:val="0"/>
        </w:rPr>
        <w:tab/>
        <w:t>Att stärka arbetsgivarrollen</w:t>
      </w:r>
      <w:r w:rsidRPr="009D719B">
        <w:rPr>
          <w:noProof w:val="0"/>
        </w:rPr>
        <w:tab/>
        <w:t>37</w:t>
      </w:r>
    </w:p>
    <w:p w:rsidR="001F14AF" w:rsidRPr="009D719B" w:rsidRDefault="001F14AF">
      <w:pPr>
        <w:pStyle w:val="Innehll2"/>
        <w:rPr>
          <w:noProof w:val="0"/>
        </w:rPr>
      </w:pPr>
      <w:r w:rsidRPr="009D719B">
        <w:rPr>
          <w:noProof w:val="0"/>
        </w:rPr>
        <w:t>3.5</w:t>
      </w:r>
      <w:r w:rsidRPr="009D719B">
        <w:rPr>
          <w:noProof w:val="0"/>
        </w:rPr>
        <w:tab/>
        <w:t>Delegeringen inom Försvarsmakten</w:t>
      </w:r>
      <w:r w:rsidRPr="009D719B">
        <w:rPr>
          <w:noProof w:val="0"/>
        </w:rPr>
        <w:tab/>
        <w:t>38</w:t>
      </w:r>
    </w:p>
    <w:p w:rsidR="001F14AF" w:rsidRPr="009D719B" w:rsidRDefault="001F14AF">
      <w:pPr>
        <w:pStyle w:val="Innehll2"/>
        <w:rPr>
          <w:noProof w:val="0"/>
        </w:rPr>
      </w:pPr>
      <w:r w:rsidRPr="009D719B">
        <w:rPr>
          <w:noProof w:val="0"/>
        </w:rPr>
        <w:t>3.6</w:t>
      </w:r>
      <w:r w:rsidRPr="009D719B">
        <w:rPr>
          <w:noProof w:val="0"/>
        </w:rPr>
        <w:tab/>
        <w:t>Försvarsmaktens givna förutsättningar</w:t>
      </w:r>
      <w:r w:rsidRPr="009D719B">
        <w:rPr>
          <w:noProof w:val="0"/>
        </w:rPr>
        <w:tab/>
        <w:t>38</w:t>
      </w:r>
    </w:p>
    <w:p w:rsidR="001F14AF" w:rsidRPr="009D719B" w:rsidRDefault="001F14AF">
      <w:pPr>
        <w:pStyle w:val="Innehll1"/>
        <w:rPr>
          <w:noProof w:val="0"/>
        </w:rPr>
      </w:pPr>
      <w:r w:rsidRPr="009D719B">
        <w:rPr>
          <w:noProof w:val="0"/>
        </w:rPr>
        <w:t>4</w:t>
      </w:r>
      <w:r w:rsidRPr="009D719B">
        <w:rPr>
          <w:noProof w:val="0"/>
        </w:rPr>
        <w:tab/>
        <w:t>Personalkostnader</w:t>
      </w:r>
      <w:r w:rsidRPr="009D719B">
        <w:rPr>
          <w:noProof w:val="0"/>
        </w:rPr>
        <w:tab/>
        <w:t>41</w:t>
      </w:r>
    </w:p>
    <w:p w:rsidR="001F14AF" w:rsidRPr="009D719B" w:rsidRDefault="001F14AF">
      <w:pPr>
        <w:pStyle w:val="Innehll2"/>
        <w:rPr>
          <w:noProof w:val="0"/>
        </w:rPr>
      </w:pPr>
      <w:r w:rsidRPr="009D719B">
        <w:rPr>
          <w:noProof w:val="0"/>
        </w:rPr>
        <w:t>4.1</w:t>
      </w:r>
      <w:r w:rsidRPr="009D719B">
        <w:rPr>
          <w:noProof w:val="0"/>
        </w:rPr>
        <w:tab/>
        <w:t>Ökande kostnader per anställd</w:t>
      </w:r>
      <w:r w:rsidRPr="009D719B">
        <w:rPr>
          <w:noProof w:val="0"/>
        </w:rPr>
        <w:tab/>
        <w:t>41</w:t>
      </w:r>
    </w:p>
    <w:p w:rsidR="001F14AF" w:rsidRPr="009D719B" w:rsidRDefault="001F14AF">
      <w:pPr>
        <w:pStyle w:val="Innehll2"/>
        <w:rPr>
          <w:noProof w:val="0"/>
        </w:rPr>
      </w:pPr>
      <w:r w:rsidRPr="009D719B">
        <w:rPr>
          <w:noProof w:val="0"/>
        </w:rPr>
        <w:t>4.2</w:t>
      </w:r>
      <w:r w:rsidRPr="009D719B">
        <w:rPr>
          <w:noProof w:val="0"/>
        </w:rPr>
        <w:tab/>
        <w:t>Löneutvecklingen</w:t>
      </w:r>
      <w:r w:rsidRPr="009D719B">
        <w:rPr>
          <w:noProof w:val="0"/>
        </w:rPr>
        <w:tab/>
        <w:t>42</w:t>
      </w:r>
    </w:p>
    <w:p w:rsidR="001F14AF" w:rsidRPr="009D719B" w:rsidRDefault="001F14AF">
      <w:pPr>
        <w:pStyle w:val="Innehll2"/>
        <w:rPr>
          <w:noProof w:val="0"/>
        </w:rPr>
      </w:pPr>
      <w:r w:rsidRPr="009D719B">
        <w:rPr>
          <w:noProof w:val="0"/>
        </w:rPr>
        <w:t>4.3</w:t>
      </w:r>
      <w:r w:rsidRPr="009D719B">
        <w:rPr>
          <w:noProof w:val="0"/>
        </w:rPr>
        <w:tab/>
        <w:t>Lönetillägg</w:t>
      </w:r>
      <w:r w:rsidRPr="009D719B">
        <w:rPr>
          <w:noProof w:val="0"/>
        </w:rPr>
        <w:tab/>
        <w:t>47</w:t>
      </w:r>
    </w:p>
    <w:p w:rsidR="001F14AF" w:rsidRPr="009D719B" w:rsidRDefault="001F14AF">
      <w:pPr>
        <w:pStyle w:val="Innehll2"/>
        <w:rPr>
          <w:noProof w:val="0"/>
        </w:rPr>
      </w:pPr>
      <w:r w:rsidRPr="009D719B">
        <w:rPr>
          <w:noProof w:val="0"/>
        </w:rPr>
        <w:t>4.4</w:t>
      </w:r>
      <w:r w:rsidRPr="009D719B">
        <w:rPr>
          <w:noProof w:val="0"/>
        </w:rPr>
        <w:tab/>
        <w:t>Slutsatser</w:t>
      </w:r>
      <w:r w:rsidRPr="009D719B">
        <w:rPr>
          <w:noProof w:val="0"/>
        </w:rPr>
        <w:tab/>
        <w:t>47</w:t>
      </w:r>
    </w:p>
    <w:p w:rsidR="001F14AF" w:rsidRPr="009D719B" w:rsidRDefault="001F14AF">
      <w:pPr>
        <w:pStyle w:val="Innehll1"/>
        <w:rPr>
          <w:noProof w:val="0"/>
        </w:rPr>
      </w:pPr>
      <w:r w:rsidRPr="009D719B">
        <w:rPr>
          <w:noProof w:val="0"/>
        </w:rPr>
        <w:t>5</w:t>
      </w:r>
      <w:r w:rsidRPr="009D719B">
        <w:rPr>
          <w:noProof w:val="0"/>
        </w:rPr>
        <w:tab/>
        <w:t>Försvarsmaktens styrning</w:t>
      </w:r>
      <w:r w:rsidRPr="009D719B">
        <w:rPr>
          <w:noProof w:val="0"/>
        </w:rPr>
        <w:tab/>
        <w:t>51</w:t>
      </w:r>
    </w:p>
    <w:p w:rsidR="001F14AF" w:rsidRPr="009D719B" w:rsidRDefault="001F14AF">
      <w:pPr>
        <w:pStyle w:val="Innehll2"/>
        <w:rPr>
          <w:noProof w:val="0"/>
        </w:rPr>
      </w:pPr>
      <w:r w:rsidRPr="009D719B">
        <w:rPr>
          <w:noProof w:val="0"/>
        </w:rPr>
        <w:t>5.1</w:t>
      </w:r>
      <w:r w:rsidRPr="009D719B">
        <w:rPr>
          <w:noProof w:val="0"/>
        </w:rPr>
        <w:tab/>
        <w:t>Styrningen av förbandens ekonomi</w:t>
      </w:r>
      <w:r w:rsidRPr="009D719B">
        <w:rPr>
          <w:noProof w:val="0"/>
        </w:rPr>
        <w:tab/>
        <w:t>51</w:t>
      </w:r>
    </w:p>
    <w:p w:rsidR="001F14AF" w:rsidRPr="009D719B" w:rsidRDefault="001F14AF">
      <w:pPr>
        <w:pStyle w:val="Innehll2"/>
        <w:rPr>
          <w:noProof w:val="0"/>
        </w:rPr>
      </w:pPr>
      <w:r w:rsidRPr="009D719B">
        <w:rPr>
          <w:noProof w:val="0"/>
        </w:rPr>
        <w:t>5.2</w:t>
      </w:r>
      <w:r w:rsidRPr="009D719B">
        <w:rPr>
          <w:noProof w:val="0"/>
        </w:rPr>
        <w:tab/>
        <w:t>Försvarsmaktens lönepolicy</w:t>
      </w:r>
      <w:r w:rsidRPr="009D719B">
        <w:rPr>
          <w:noProof w:val="0"/>
        </w:rPr>
        <w:tab/>
        <w:t>52</w:t>
      </w:r>
    </w:p>
    <w:p w:rsidR="001F14AF" w:rsidRPr="009D719B" w:rsidRDefault="001F14AF">
      <w:pPr>
        <w:pStyle w:val="Innehll2"/>
        <w:rPr>
          <w:noProof w:val="0"/>
        </w:rPr>
      </w:pPr>
      <w:r w:rsidRPr="009D719B">
        <w:rPr>
          <w:noProof w:val="0"/>
        </w:rPr>
        <w:t>5.3</w:t>
      </w:r>
      <w:r w:rsidRPr="009D719B">
        <w:rPr>
          <w:noProof w:val="0"/>
        </w:rPr>
        <w:tab/>
        <w:t>Centralisering av lönebildningen</w:t>
      </w:r>
      <w:r w:rsidRPr="009D719B">
        <w:rPr>
          <w:noProof w:val="0"/>
        </w:rPr>
        <w:tab/>
        <w:t>53</w:t>
      </w:r>
    </w:p>
    <w:p w:rsidR="001F14AF" w:rsidRPr="009D719B" w:rsidRDefault="001F14AF">
      <w:pPr>
        <w:pStyle w:val="Innehll1"/>
        <w:rPr>
          <w:noProof w:val="0"/>
        </w:rPr>
      </w:pPr>
      <w:r w:rsidRPr="009D719B">
        <w:rPr>
          <w:noProof w:val="0"/>
        </w:rPr>
        <w:t>6</w:t>
      </w:r>
      <w:r w:rsidRPr="009D719B">
        <w:rPr>
          <w:noProof w:val="0"/>
        </w:rPr>
        <w:tab/>
        <w:t>Avtal och förhandling</w:t>
      </w:r>
      <w:r w:rsidRPr="009D719B">
        <w:rPr>
          <w:noProof w:val="0"/>
        </w:rPr>
        <w:tab/>
        <w:t>55</w:t>
      </w:r>
    </w:p>
    <w:p w:rsidR="001F14AF" w:rsidRPr="009D719B" w:rsidRDefault="001F14AF">
      <w:pPr>
        <w:pStyle w:val="Innehll2"/>
        <w:rPr>
          <w:noProof w:val="0"/>
        </w:rPr>
      </w:pPr>
      <w:r w:rsidRPr="009D719B">
        <w:rPr>
          <w:noProof w:val="0"/>
        </w:rPr>
        <w:t>6.1</w:t>
      </w:r>
      <w:r w:rsidRPr="009D719B">
        <w:rPr>
          <w:noProof w:val="0"/>
        </w:rPr>
        <w:tab/>
        <w:t>Förhandling på central nivå</w:t>
      </w:r>
      <w:r w:rsidRPr="009D719B">
        <w:rPr>
          <w:noProof w:val="0"/>
        </w:rPr>
        <w:tab/>
        <w:t>55</w:t>
      </w:r>
    </w:p>
    <w:p w:rsidR="001F14AF" w:rsidRPr="009D719B" w:rsidRDefault="001F14AF">
      <w:pPr>
        <w:pStyle w:val="Innehll2"/>
        <w:rPr>
          <w:noProof w:val="0"/>
        </w:rPr>
      </w:pPr>
      <w:r w:rsidRPr="009D719B">
        <w:rPr>
          <w:noProof w:val="0"/>
        </w:rPr>
        <w:t>6.2</w:t>
      </w:r>
      <w:r w:rsidRPr="009D719B">
        <w:rPr>
          <w:noProof w:val="0"/>
        </w:rPr>
        <w:tab/>
        <w:t>Förhandling på försvarsmaktsnivå</w:t>
      </w:r>
      <w:r w:rsidRPr="009D719B">
        <w:rPr>
          <w:noProof w:val="0"/>
        </w:rPr>
        <w:tab/>
        <w:t>56</w:t>
      </w:r>
    </w:p>
    <w:p w:rsidR="001F14AF" w:rsidRPr="009D719B" w:rsidRDefault="001F14AF">
      <w:pPr>
        <w:pStyle w:val="Innehll1"/>
        <w:rPr>
          <w:noProof w:val="0"/>
        </w:rPr>
      </w:pPr>
      <w:r w:rsidRPr="009D719B">
        <w:rPr>
          <w:noProof w:val="0"/>
        </w:rPr>
        <w:t>7</w:t>
      </w:r>
      <w:r w:rsidRPr="009D719B">
        <w:rPr>
          <w:noProof w:val="0"/>
        </w:rPr>
        <w:tab/>
        <w:t>Förbandschefens ansvar</w:t>
      </w:r>
      <w:r w:rsidRPr="009D719B">
        <w:rPr>
          <w:noProof w:val="0"/>
        </w:rPr>
        <w:tab/>
        <w:t>61</w:t>
      </w:r>
    </w:p>
    <w:p w:rsidR="001F14AF" w:rsidRPr="009D719B" w:rsidRDefault="001F14AF">
      <w:pPr>
        <w:pStyle w:val="Innehll2"/>
        <w:rPr>
          <w:noProof w:val="0"/>
        </w:rPr>
      </w:pPr>
      <w:r w:rsidRPr="009D719B">
        <w:rPr>
          <w:noProof w:val="0"/>
        </w:rPr>
        <w:t>7.1</w:t>
      </w:r>
      <w:r w:rsidRPr="009D719B">
        <w:rPr>
          <w:noProof w:val="0"/>
        </w:rPr>
        <w:tab/>
        <w:t>Chefsrollen</w:t>
      </w:r>
      <w:r w:rsidRPr="009D719B">
        <w:rPr>
          <w:noProof w:val="0"/>
        </w:rPr>
        <w:tab/>
        <w:t>61</w:t>
      </w:r>
    </w:p>
    <w:p w:rsidR="001F14AF" w:rsidRPr="009D719B" w:rsidRDefault="001F14AF">
      <w:pPr>
        <w:pStyle w:val="Innehll2"/>
        <w:rPr>
          <w:noProof w:val="0"/>
        </w:rPr>
      </w:pPr>
      <w:r w:rsidRPr="009D719B">
        <w:rPr>
          <w:noProof w:val="0"/>
        </w:rPr>
        <w:t>7.2</w:t>
      </w:r>
      <w:r w:rsidRPr="009D719B">
        <w:rPr>
          <w:noProof w:val="0"/>
        </w:rPr>
        <w:tab/>
        <w:t>Förbandets personal</w:t>
      </w:r>
      <w:r w:rsidRPr="009D719B">
        <w:rPr>
          <w:noProof w:val="0"/>
        </w:rPr>
        <w:tab/>
        <w:t>64</w:t>
      </w:r>
    </w:p>
    <w:p w:rsidR="001F14AF" w:rsidRPr="009D719B" w:rsidRDefault="001F14AF">
      <w:pPr>
        <w:pStyle w:val="Innehll2"/>
        <w:rPr>
          <w:noProof w:val="0"/>
        </w:rPr>
      </w:pPr>
      <w:r w:rsidRPr="009D719B">
        <w:rPr>
          <w:noProof w:val="0"/>
        </w:rPr>
        <w:t>7.3</w:t>
      </w:r>
      <w:r w:rsidRPr="009D719B">
        <w:rPr>
          <w:noProof w:val="0"/>
        </w:rPr>
        <w:tab/>
        <w:t>Individuell lönebildning</w:t>
      </w:r>
      <w:r w:rsidRPr="009D719B">
        <w:rPr>
          <w:noProof w:val="0"/>
        </w:rPr>
        <w:tab/>
        <w:t>65</w:t>
      </w:r>
    </w:p>
    <w:p w:rsidR="001F14AF" w:rsidRPr="009D719B" w:rsidRDefault="001F14AF">
      <w:pPr>
        <w:pStyle w:val="Innehll1"/>
        <w:rPr>
          <w:noProof w:val="0"/>
        </w:rPr>
      </w:pPr>
      <w:r w:rsidRPr="009D719B">
        <w:rPr>
          <w:noProof w:val="0"/>
        </w:rPr>
        <w:br w:type="page"/>
        <w:t>8</w:t>
      </w:r>
      <w:r w:rsidRPr="009D719B">
        <w:rPr>
          <w:noProof w:val="0"/>
        </w:rPr>
        <w:tab/>
        <w:t>Försvarsmaktens uppföljning</w:t>
      </w:r>
      <w:r w:rsidRPr="009D719B">
        <w:rPr>
          <w:noProof w:val="0"/>
        </w:rPr>
        <w:tab/>
        <w:t>68</w:t>
      </w:r>
    </w:p>
    <w:p w:rsidR="001F14AF" w:rsidRPr="009D719B" w:rsidRDefault="001F14AF">
      <w:pPr>
        <w:pStyle w:val="Innehll2"/>
        <w:rPr>
          <w:noProof w:val="0"/>
        </w:rPr>
      </w:pPr>
      <w:r w:rsidRPr="009D719B">
        <w:rPr>
          <w:noProof w:val="0"/>
        </w:rPr>
        <w:t>8.1</w:t>
      </w:r>
      <w:r w:rsidRPr="009D719B">
        <w:rPr>
          <w:noProof w:val="0"/>
        </w:rPr>
        <w:tab/>
        <w:t>Kritik mot Försvarsmaktens uppföljning</w:t>
      </w:r>
      <w:r w:rsidRPr="009D719B">
        <w:rPr>
          <w:noProof w:val="0"/>
        </w:rPr>
        <w:tab/>
        <w:t>68</w:t>
      </w:r>
    </w:p>
    <w:p w:rsidR="001F14AF" w:rsidRPr="009D719B" w:rsidRDefault="001F14AF">
      <w:pPr>
        <w:pStyle w:val="Innehll2"/>
        <w:rPr>
          <w:noProof w:val="0"/>
        </w:rPr>
      </w:pPr>
      <w:r w:rsidRPr="009D719B">
        <w:rPr>
          <w:noProof w:val="0"/>
        </w:rPr>
        <w:t>8.2</w:t>
      </w:r>
      <w:r w:rsidRPr="009D719B">
        <w:rPr>
          <w:noProof w:val="0"/>
        </w:rPr>
        <w:tab/>
        <w:t>Uppföljning som styrinstrument</w:t>
      </w:r>
      <w:r w:rsidRPr="009D719B">
        <w:rPr>
          <w:noProof w:val="0"/>
        </w:rPr>
        <w:tab/>
        <w:t>69</w:t>
      </w:r>
    </w:p>
    <w:p w:rsidR="001F14AF" w:rsidRPr="009D719B" w:rsidRDefault="001F14AF">
      <w:pPr>
        <w:pStyle w:val="Innehll2"/>
        <w:rPr>
          <w:noProof w:val="0"/>
        </w:rPr>
      </w:pPr>
      <w:r w:rsidRPr="009D719B">
        <w:rPr>
          <w:noProof w:val="0"/>
        </w:rPr>
        <w:t>8.3</w:t>
      </w:r>
      <w:r w:rsidRPr="009D719B">
        <w:rPr>
          <w:noProof w:val="0"/>
        </w:rPr>
        <w:tab/>
        <w:t>Förbandens återrapportering</w:t>
      </w:r>
      <w:r w:rsidRPr="009D719B">
        <w:rPr>
          <w:noProof w:val="0"/>
        </w:rPr>
        <w:tab/>
        <w:t>71</w:t>
      </w:r>
    </w:p>
    <w:p w:rsidR="001F14AF" w:rsidRPr="009D719B" w:rsidRDefault="001F14AF">
      <w:pPr>
        <w:pStyle w:val="Innehll2"/>
        <w:rPr>
          <w:noProof w:val="0"/>
        </w:rPr>
      </w:pPr>
      <w:r w:rsidRPr="009D719B">
        <w:rPr>
          <w:noProof w:val="0"/>
        </w:rPr>
        <w:t>8.4</w:t>
      </w:r>
      <w:r w:rsidRPr="009D719B">
        <w:rPr>
          <w:noProof w:val="0"/>
        </w:rPr>
        <w:tab/>
        <w:t>Personalstabens uppföljning</w:t>
      </w:r>
      <w:r w:rsidRPr="009D719B">
        <w:rPr>
          <w:noProof w:val="0"/>
        </w:rPr>
        <w:tab/>
        <w:t>71</w:t>
      </w:r>
    </w:p>
    <w:p w:rsidR="001F14AF" w:rsidRPr="009D719B" w:rsidRDefault="001F14AF">
      <w:pPr>
        <w:pStyle w:val="Innehll1"/>
        <w:rPr>
          <w:noProof w:val="0"/>
        </w:rPr>
      </w:pPr>
      <w:r w:rsidRPr="009D719B">
        <w:rPr>
          <w:noProof w:val="0"/>
        </w:rPr>
        <w:t>9</w:t>
      </w:r>
      <w:r w:rsidRPr="009D719B">
        <w:rPr>
          <w:noProof w:val="0"/>
        </w:rPr>
        <w:tab/>
        <w:t>Regeringens styrning och uppföljning</w:t>
      </w:r>
      <w:r w:rsidRPr="009D719B">
        <w:rPr>
          <w:noProof w:val="0"/>
        </w:rPr>
        <w:tab/>
        <w:t>73</w:t>
      </w:r>
    </w:p>
    <w:p w:rsidR="001F14AF" w:rsidRPr="009D719B" w:rsidRDefault="001F14AF">
      <w:pPr>
        <w:pStyle w:val="Innehll2"/>
        <w:rPr>
          <w:noProof w:val="0"/>
        </w:rPr>
      </w:pPr>
      <w:r w:rsidRPr="009D719B">
        <w:rPr>
          <w:noProof w:val="0"/>
        </w:rPr>
        <w:t>9.1</w:t>
      </w:r>
      <w:r w:rsidRPr="009D719B">
        <w:rPr>
          <w:noProof w:val="0"/>
        </w:rPr>
        <w:tab/>
        <w:t>Regeringens uppföljande roll</w:t>
      </w:r>
      <w:r w:rsidRPr="009D719B">
        <w:rPr>
          <w:noProof w:val="0"/>
        </w:rPr>
        <w:tab/>
        <w:t>73</w:t>
      </w:r>
    </w:p>
    <w:p w:rsidR="001F14AF" w:rsidRPr="009D719B" w:rsidRDefault="001F14AF">
      <w:pPr>
        <w:pStyle w:val="Innehll2"/>
        <w:rPr>
          <w:noProof w:val="0"/>
        </w:rPr>
      </w:pPr>
      <w:r w:rsidRPr="009D719B">
        <w:rPr>
          <w:noProof w:val="0"/>
        </w:rPr>
        <w:t>9.2</w:t>
      </w:r>
      <w:r w:rsidRPr="009D719B">
        <w:rPr>
          <w:noProof w:val="0"/>
        </w:rPr>
        <w:tab/>
        <w:t>Departementets resurser</w:t>
      </w:r>
      <w:r w:rsidRPr="009D719B">
        <w:rPr>
          <w:noProof w:val="0"/>
        </w:rPr>
        <w:tab/>
        <w:t>73</w:t>
      </w:r>
    </w:p>
    <w:p w:rsidR="001F14AF" w:rsidRPr="009D719B" w:rsidRDefault="001F14AF">
      <w:pPr>
        <w:pStyle w:val="Innehll2"/>
        <w:rPr>
          <w:noProof w:val="0"/>
        </w:rPr>
      </w:pPr>
      <w:r w:rsidRPr="009D719B">
        <w:rPr>
          <w:noProof w:val="0"/>
        </w:rPr>
        <w:t>9.3</w:t>
      </w:r>
      <w:r w:rsidRPr="009D719B">
        <w:rPr>
          <w:noProof w:val="0"/>
        </w:rPr>
        <w:tab/>
        <w:t>Förmåga att ställa krav</w:t>
      </w:r>
      <w:r w:rsidRPr="009D719B">
        <w:rPr>
          <w:noProof w:val="0"/>
        </w:rPr>
        <w:tab/>
        <w:t>74</w:t>
      </w:r>
    </w:p>
    <w:p w:rsidR="001F14AF" w:rsidRPr="009D719B" w:rsidRDefault="001F14AF">
      <w:pPr>
        <w:pStyle w:val="Innehll1"/>
        <w:rPr>
          <w:noProof w:val="0"/>
        </w:rPr>
      </w:pPr>
      <w:r w:rsidRPr="009D719B">
        <w:rPr>
          <w:noProof w:val="0"/>
        </w:rPr>
        <w:t>10</w:t>
      </w:r>
      <w:r w:rsidRPr="009D719B">
        <w:rPr>
          <w:noProof w:val="0"/>
        </w:rPr>
        <w:tab/>
        <w:t>Revisorernas överväganden och slutsatser</w:t>
      </w:r>
      <w:r w:rsidRPr="009D719B">
        <w:rPr>
          <w:noProof w:val="0"/>
        </w:rPr>
        <w:tab/>
        <w:t>77</w:t>
      </w:r>
    </w:p>
    <w:p w:rsidR="001F14AF" w:rsidRPr="009D719B" w:rsidRDefault="001F14AF">
      <w:pPr>
        <w:pStyle w:val="Innehll2"/>
        <w:rPr>
          <w:noProof w:val="0"/>
        </w:rPr>
      </w:pPr>
      <w:r w:rsidRPr="009D719B">
        <w:rPr>
          <w:noProof w:val="0"/>
        </w:rPr>
        <w:t>10.1</w:t>
      </w:r>
      <w:r w:rsidRPr="009D719B">
        <w:rPr>
          <w:noProof w:val="0"/>
        </w:rPr>
        <w:tab/>
        <w:t>Attityderna försvårar</w:t>
      </w:r>
      <w:r w:rsidRPr="009D719B">
        <w:rPr>
          <w:noProof w:val="0"/>
        </w:rPr>
        <w:tab/>
        <w:t>78</w:t>
      </w:r>
    </w:p>
    <w:p w:rsidR="001F14AF" w:rsidRPr="009D719B" w:rsidRDefault="001F14AF">
      <w:pPr>
        <w:pStyle w:val="Innehll2"/>
        <w:rPr>
          <w:noProof w:val="0"/>
        </w:rPr>
      </w:pPr>
      <w:r w:rsidRPr="009D719B">
        <w:rPr>
          <w:noProof w:val="0"/>
        </w:rPr>
        <w:t>10.2</w:t>
      </w:r>
      <w:r w:rsidRPr="009D719B">
        <w:rPr>
          <w:noProof w:val="0"/>
        </w:rPr>
        <w:tab/>
        <w:t>Organisationen är splittrad</w:t>
      </w:r>
      <w:r w:rsidRPr="009D719B">
        <w:rPr>
          <w:noProof w:val="0"/>
        </w:rPr>
        <w:tab/>
        <w:t>78</w:t>
      </w:r>
    </w:p>
    <w:p w:rsidR="001F14AF" w:rsidRPr="009D719B" w:rsidRDefault="001F14AF">
      <w:pPr>
        <w:pStyle w:val="Innehll2"/>
        <w:rPr>
          <w:noProof w:val="0"/>
        </w:rPr>
      </w:pPr>
      <w:r w:rsidRPr="009D719B">
        <w:rPr>
          <w:noProof w:val="0"/>
        </w:rPr>
        <w:t>10.3</w:t>
      </w:r>
      <w:r w:rsidRPr="009D719B">
        <w:rPr>
          <w:noProof w:val="0"/>
        </w:rPr>
        <w:tab/>
        <w:t>Styrningen av arbetsgivarfrågor är svag</w:t>
      </w:r>
      <w:r w:rsidRPr="009D719B">
        <w:rPr>
          <w:noProof w:val="0"/>
        </w:rPr>
        <w:tab/>
        <w:t>80</w:t>
      </w:r>
    </w:p>
    <w:p w:rsidR="001F14AF" w:rsidRPr="009D719B" w:rsidRDefault="001F14AF">
      <w:pPr>
        <w:pStyle w:val="Innehll2"/>
        <w:rPr>
          <w:noProof w:val="0"/>
        </w:rPr>
      </w:pPr>
      <w:r w:rsidRPr="009D719B">
        <w:rPr>
          <w:noProof w:val="0"/>
        </w:rPr>
        <w:t>10.4</w:t>
      </w:r>
      <w:r w:rsidRPr="009D719B">
        <w:rPr>
          <w:noProof w:val="0"/>
        </w:rPr>
        <w:tab/>
        <w:t>Uppföljningen är otillräcklig</w:t>
      </w:r>
      <w:r w:rsidRPr="009D719B">
        <w:rPr>
          <w:noProof w:val="0"/>
        </w:rPr>
        <w:tab/>
        <w:t>83</w:t>
      </w:r>
    </w:p>
    <w:p w:rsidR="001F14AF" w:rsidRPr="009D719B" w:rsidRDefault="001F14AF">
      <w:pPr>
        <w:pStyle w:val="Innehll2"/>
        <w:rPr>
          <w:noProof w:val="0"/>
        </w:rPr>
      </w:pPr>
      <w:r w:rsidRPr="009D719B">
        <w:rPr>
          <w:noProof w:val="0"/>
        </w:rPr>
        <w:t>10.5</w:t>
      </w:r>
      <w:r w:rsidRPr="009D719B">
        <w:rPr>
          <w:noProof w:val="0"/>
        </w:rPr>
        <w:tab/>
        <w:t>Regeringens ansvar</w:t>
      </w:r>
      <w:r w:rsidRPr="009D719B">
        <w:rPr>
          <w:noProof w:val="0"/>
        </w:rPr>
        <w:tab/>
        <w:t>85</w:t>
      </w:r>
    </w:p>
    <w:p w:rsidR="001F14AF" w:rsidRPr="009D719B" w:rsidRDefault="001F14AF">
      <w:pPr>
        <w:pStyle w:val="Innehll2"/>
        <w:rPr>
          <w:noProof w:val="0"/>
        </w:rPr>
      </w:pPr>
      <w:r w:rsidRPr="009D719B">
        <w:rPr>
          <w:noProof w:val="0"/>
        </w:rPr>
        <w:t>10.6</w:t>
      </w:r>
      <w:r w:rsidRPr="009D719B">
        <w:rPr>
          <w:noProof w:val="0"/>
        </w:rPr>
        <w:tab/>
        <w:t>Sammanfattning av revisorernas slutsatser</w:t>
      </w:r>
      <w:r w:rsidRPr="009D719B">
        <w:rPr>
          <w:noProof w:val="0"/>
        </w:rPr>
        <w:tab/>
        <w:t>87</w:t>
      </w:r>
    </w:p>
    <w:p w:rsidR="001F14AF" w:rsidRPr="009D719B" w:rsidRDefault="001F14AF">
      <w:pPr>
        <w:pStyle w:val="Innehll1"/>
        <w:rPr>
          <w:noProof w:val="0"/>
        </w:rPr>
      </w:pPr>
      <w:r w:rsidRPr="009D719B">
        <w:rPr>
          <w:noProof w:val="0"/>
        </w:rPr>
        <w:t>Referenser</w:t>
      </w:r>
      <w:r w:rsidRPr="009D719B">
        <w:rPr>
          <w:noProof w:val="0"/>
        </w:rPr>
        <w:tab/>
        <w:t>88</w:t>
      </w:r>
    </w:p>
    <w:p w:rsidR="001F14AF" w:rsidRPr="009D719B" w:rsidRDefault="001F14AF">
      <w:pPr>
        <w:pStyle w:val="Innehll1"/>
        <w:rPr>
          <w:noProof w:val="0"/>
        </w:rPr>
      </w:pPr>
      <w:r w:rsidRPr="009D719B">
        <w:rPr>
          <w:noProof w:val="0"/>
        </w:rPr>
        <w:t>Underbilaga – Lönestatistik</w:t>
      </w:r>
      <w:r w:rsidRPr="009D719B">
        <w:rPr>
          <w:noProof w:val="0"/>
        </w:rPr>
        <w:tab/>
      </w:r>
      <w:bookmarkStart w:id="245" w:name="_Hlt38103495"/>
      <w:r w:rsidRPr="009D719B">
        <w:rPr>
          <w:noProof w:val="0"/>
        </w:rPr>
        <w:t>90</w:t>
      </w:r>
      <w:bookmarkEnd w:id="245"/>
    </w:p>
    <w:p w:rsidR="001F14AF" w:rsidRPr="009D719B" w:rsidRDefault="001F14AF"/>
    <w:p w:rsidR="001F14AF" w:rsidRPr="009D719B" w:rsidRDefault="001F14AF">
      <w:pPr>
        <w:pStyle w:val="Tryckort"/>
        <w:framePr w:wrap="around"/>
      </w:pPr>
      <w:r w:rsidRPr="009D719B">
        <w:t>Elanders Gotab, Stockholm  2003</w:t>
      </w:r>
    </w:p>
    <w:p w:rsidR="001F14AF" w:rsidRPr="009D719B" w:rsidRDefault="001F14AF">
      <w:pPr>
        <w:pStyle w:val="Normaltindrag"/>
      </w:pPr>
    </w:p>
    <w:p w:rsidR="001F14AF" w:rsidRPr="009D719B" w:rsidRDefault="001F14AF">
      <w:pPr>
        <w:pStyle w:val="Tryckort"/>
        <w:framePr w:wrap="around"/>
      </w:pPr>
      <w:r w:rsidRPr="009D719B">
        <w:t>Elanders Gotab, Stockholm  2003</w:t>
      </w:r>
    </w:p>
    <w:p w:rsidR="001F14AF" w:rsidRPr="009D719B" w:rsidRDefault="001F14AF">
      <w:pPr>
        <w:pStyle w:val="Normaltindrag"/>
      </w:pPr>
    </w:p>
    <w:sectPr w:rsidR="001F14AF" w:rsidRPr="009D719B">
      <w:headerReference w:type="default" r:id="rId30"/>
      <w:footerReference w:type="default" r:id="rId3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4AF" w:rsidRPr="009D719B" w:rsidRDefault="001F14AF">
      <w:pPr>
        <w:spacing w:before="0" w:line="240" w:lineRule="auto"/>
      </w:pPr>
      <w:r w:rsidRPr="009D719B">
        <w:separator/>
      </w:r>
    </w:p>
  </w:endnote>
  <w:endnote w:type="continuationSeparator" w:id="0">
    <w:p w:rsidR="001F14AF" w:rsidRPr="009D719B" w:rsidRDefault="001F14AF">
      <w:pPr>
        <w:spacing w:before="0" w:line="240" w:lineRule="auto"/>
      </w:pPr>
      <w:r w:rsidRPr="009D7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fotH"/>
      <w:framePr w:wrap="around"/>
    </w:pPr>
    <w:r w:rsidRPr="009D719B">
      <w:fldChar w:fldCharType="begin" w:fldLock="1"/>
    </w:r>
    <w:r w:rsidRPr="009D719B">
      <w:instrText xml:space="preserve"> PAGE </w:instrText>
    </w:r>
    <w:r w:rsidRPr="009D719B">
      <w:fldChar w:fldCharType="separate"/>
    </w:r>
    <w:r w:rsidRPr="009D719B">
      <w:t>1</w:t>
    </w:r>
    <w:r w:rsidRPr="009D719B">
      <w:fldChar w:fldCharType="end"/>
    </w:r>
  </w:p>
  <w:p w:rsidR="001F14AF" w:rsidRPr="009D719B" w:rsidRDefault="001F14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fotH"/>
      <w:framePr w:wrap="around"/>
    </w:pPr>
    <w:r w:rsidRPr="009D719B">
      <w:fldChar w:fldCharType="begin" w:fldLock="1"/>
    </w:r>
    <w:r w:rsidRPr="009D719B">
      <w:instrText xml:space="preserve"> PAGE </w:instrText>
    </w:r>
    <w:r w:rsidRPr="009D719B">
      <w:fldChar w:fldCharType="separate"/>
    </w:r>
    <w:r w:rsidRPr="009D719B">
      <w:t>89</w:t>
    </w:r>
    <w:r w:rsidRPr="009D719B">
      <w:fldChar w:fldCharType="end"/>
    </w:r>
  </w:p>
  <w:p w:rsidR="001F14AF" w:rsidRPr="009D719B" w:rsidRDefault="001F14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fotH"/>
      <w:framePr w:wrap="around"/>
    </w:pPr>
    <w:r w:rsidRPr="009D719B">
      <w:fldChar w:fldCharType="begin" w:fldLock="1"/>
    </w:r>
    <w:r w:rsidRPr="009D719B">
      <w:instrText xml:space="preserve"> PAGE </w:instrText>
    </w:r>
    <w:r w:rsidRPr="009D719B">
      <w:fldChar w:fldCharType="separate"/>
    </w:r>
    <w:r w:rsidRPr="009D719B">
      <w:t>91</w:t>
    </w:r>
    <w:r w:rsidRPr="009D719B">
      <w:fldChar w:fldCharType="end"/>
    </w:r>
  </w:p>
  <w:p w:rsidR="001F14AF" w:rsidRPr="009D719B" w:rsidRDefault="001F14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fotH"/>
      <w:framePr w:wrap="around"/>
    </w:pPr>
    <w:r w:rsidRPr="009D719B">
      <w:fldChar w:fldCharType="begin" w:fldLock="1"/>
    </w:r>
    <w:r w:rsidRPr="009D719B">
      <w:instrText xml:space="preserve"> PAGE </w:instrText>
    </w:r>
    <w:r w:rsidRPr="009D719B">
      <w:fldChar w:fldCharType="separate"/>
    </w:r>
    <w:r w:rsidRPr="009D719B">
      <w:t>93</w:t>
    </w:r>
    <w:r w:rsidRPr="009D719B">
      <w:fldChar w:fldCharType="end"/>
    </w:r>
  </w:p>
  <w:p w:rsidR="001F14AF" w:rsidRPr="009D719B" w:rsidRDefault="001F1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4AF" w:rsidRPr="009D719B" w:rsidRDefault="001F14AF">
      <w:pPr>
        <w:pStyle w:val="Sidfot"/>
      </w:pPr>
    </w:p>
  </w:footnote>
  <w:footnote w:type="continuationSeparator" w:id="0">
    <w:p w:rsidR="001F14AF" w:rsidRPr="009D719B" w:rsidRDefault="001F14AF">
      <w:pPr>
        <w:spacing w:before="0" w:line="240" w:lineRule="auto"/>
      </w:pPr>
      <w:r w:rsidRPr="009D719B">
        <w:continuationSeparator/>
      </w:r>
    </w:p>
  </w:footnote>
  <w:footnote w:id="1">
    <w:p w:rsidR="001F14AF" w:rsidRPr="009D719B" w:rsidRDefault="001F14AF">
      <w:pPr>
        <w:pStyle w:val="Fotnotstext"/>
      </w:pPr>
      <w:r w:rsidRPr="009D719B">
        <w:rPr>
          <w:rStyle w:val="Fotnotsreferens"/>
        </w:rPr>
        <w:footnoteRef/>
      </w:r>
      <w:r w:rsidRPr="009D719B">
        <w:t xml:space="preserve"> RR förstudie 2001/02:20, </w:t>
      </w:r>
      <w:r w:rsidRPr="009D719B">
        <w:rPr>
          <w:i/>
        </w:rPr>
        <w:t>Arbetsgivarpolitiken inom Försvar</w:t>
      </w:r>
      <w:r w:rsidRPr="009D719B">
        <w:rPr>
          <w:i/>
        </w:rPr>
        <w:t>s</w:t>
      </w:r>
      <w:r w:rsidRPr="009D719B">
        <w:rPr>
          <w:i/>
        </w:rPr>
        <w:t>makten</w:t>
      </w:r>
    </w:p>
  </w:footnote>
  <w:footnote w:id="2">
    <w:p w:rsidR="001F14AF" w:rsidRPr="009D719B" w:rsidRDefault="001F14AF">
      <w:pPr>
        <w:pStyle w:val="Fotnotstext"/>
      </w:pPr>
      <w:r w:rsidRPr="009D719B">
        <w:rPr>
          <w:rStyle w:val="Fotnotsreferens"/>
        </w:rPr>
        <w:footnoteRef/>
      </w:r>
      <w:r w:rsidRPr="009D719B">
        <w:t xml:space="preserve"> En marinflottilj kan antingen vara ett sjöstrids- eller ett amfibieförband. De utgör två tämligen olika verksamheter som dock båda tillhör marinen. Se vidare i kapitel 2. </w:t>
      </w:r>
    </w:p>
  </w:footnote>
  <w:footnote w:id="3">
    <w:p w:rsidR="001F14AF" w:rsidRPr="009D719B" w:rsidRDefault="001F14AF">
      <w:pPr>
        <w:pStyle w:val="Fotnotstext"/>
      </w:pPr>
      <w:r w:rsidRPr="009D719B">
        <w:rPr>
          <w:rStyle w:val="Fotnotsreferens"/>
        </w:rPr>
        <w:footnoteRef/>
      </w:r>
      <w:r w:rsidRPr="009D719B">
        <w:t xml:space="preserve"> Prop. 1991/92:102, bet. 1991/92:FöU12, rskr. 1991/92:338.</w:t>
      </w:r>
    </w:p>
  </w:footnote>
  <w:footnote w:id="4">
    <w:p w:rsidR="001F14AF" w:rsidRPr="009D719B" w:rsidRDefault="001F14AF">
      <w:pPr>
        <w:pStyle w:val="Fotnotstext"/>
      </w:pPr>
      <w:r w:rsidRPr="009D719B">
        <w:rPr>
          <w:rStyle w:val="Fotnotsreferens"/>
        </w:rPr>
        <w:footnoteRef/>
      </w:r>
      <w:r w:rsidRPr="009D719B">
        <w:t xml:space="preserve"> Se LEMO-utredningens delbetänkande SOU 1991:112, </w:t>
      </w:r>
      <w:r w:rsidRPr="009D719B">
        <w:rPr>
          <w:i/>
        </w:rPr>
        <w:t>Försvarsmaktens ledning</w:t>
      </w:r>
      <w:r w:rsidRPr="009D719B">
        <w:t>.</w:t>
      </w:r>
    </w:p>
  </w:footnote>
  <w:footnote w:id="5">
    <w:p w:rsidR="001F14AF" w:rsidRPr="009D719B" w:rsidRDefault="001F14AF">
      <w:pPr>
        <w:pStyle w:val="Fotnotstext"/>
      </w:pPr>
      <w:r w:rsidRPr="009D719B">
        <w:rPr>
          <w:rStyle w:val="Fotnotsreferens"/>
        </w:rPr>
        <w:footnoteRef/>
      </w:r>
      <w:r w:rsidRPr="009D719B">
        <w:t xml:space="preserve"> Se UTFÖR-utredningens delbetänkande SOU 1996:98, </w:t>
      </w:r>
      <w:r w:rsidRPr="009D719B">
        <w:rPr>
          <w:i/>
        </w:rPr>
        <w:t>Vem styr försvaret?</w:t>
      </w:r>
      <w:r w:rsidRPr="009D719B">
        <w:t xml:space="preserve"> </w:t>
      </w:r>
    </w:p>
  </w:footnote>
  <w:footnote w:id="6">
    <w:p w:rsidR="001F14AF" w:rsidRPr="009D719B" w:rsidRDefault="001F14AF">
      <w:pPr>
        <w:pStyle w:val="Fotnotstext"/>
      </w:pPr>
      <w:r w:rsidRPr="009D719B">
        <w:rPr>
          <w:rStyle w:val="Fotnotsreferens"/>
        </w:rPr>
        <w:footnoteRef/>
      </w:r>
      <w:r w:rsidRPr="009D719B">
        <w:t xml:space="preserve"> Prop. 1997/98:83, bet. 1997/98:FöU10, rskr. 1997/98:269.</w:t>
      </w:r>
    </w:p>
  </w:footnote>
  <w:footnote w:id="7">
    <w:p w:rsidR="001F14AF" w:rsidRPr="009D719B" w:rsidRDefault="001F14AF">
      <w:pPr>
        <w:pStyle w:val="Fotnotstext"/>
      </w:pPr>
      <w:r w:rsidRPr="009D719B">
        <w:rPr>
          <w:rStyle w:val="Fotnotsreferens"/>
        </w:rPr>
        <w:footnoteRef/>
      </w:r>
      <w:r w:rsidRPr="009D719B">
        <w:t xml:space="preserve"> Försvarsmaktens rapport 2002-06-27, </w:t>
      </w:r>
      <w:r w:rsidRPr="009D719B">
        <w:rPr>
          <w:i/>
        </w:rPr>
        <w:t>Utredningen 2002 om Försvarsmaktens ce</w:t>
      </w:r>
      <w:r w:rsidRPr="009D719B">
        <w:rPr>
          <w:i/>
        </w:rPr>
        <w:t>n</w:t>
      </w:r>
      <w:r w:rsidRPr="009D719B">
        <w:rPr>
          <w:i/>
        </w:rPr>
        <w:t>trala ledning LU 02</w:t>
      </w:r>
      <w:r w:rsidRPr="009D719B">
        <w:t>.</w:t>
      </w:r>
    </w:p>
  </w:footnote>
  <w:footnote w:id="8">
    <w:p w:rsidR="001F14AF" w:rsidRPr="009D719B" w:rsidRDefault="001F14AF">
      <w:pPr>
        <w:pStyle w:val="Fotnotstext"/>
      </w:pPr>
      <w:r w:rsidRPr="009D719B">
        <w:rPr>
          <w:rStyle w:val="Fotnotsreferens"/>
        </w:rPr>
        <w:footnoteRef/>
      </w:r>
      <w:r w:rsidRPr="009D719B">
        <w:t xml:space="preserve"> Prop. 1996/97:4, bet. 1996/97:FöU1, rskr. 1996/97:109.</w:t>
      </w:r>
    </w:p>
  </w:footnote>
  <w:footnote w:id="9">
    <w:p w:rsidR="001F14AF" w:rsidRPr="009D719B" w:rsidRDefault="001F14AF">
      <w:pPr>
        <w:pStyle w:val="Fotnotstext"/>
      </w:pPr>
      <w:r w:rsidRPr="009D719B">
        <w:rPr>
          <w:rStyle w:val="Fotnotsreferens"/>
        </w:rPr>
        <w:footnoteRef/>
      </w:r>
      <w:r w:rsidRPr="009D719B">
        <w:t xml:space="preserve"> Prop. 1999/2000:30, bet. 1999/2000:FöU2, rskr. 1999/2000:168.</w:t>
      </w:r>
    </w:p>
  </w:footnote>
  <w:footnote w:id="10">
    <w:p w:rsidR="001F14AF" w:rsidRPr="009D719B" w:rsidRDefault="001F14AF">
      <w:pPr>
        <w:pStyle w:val="Fotnotstext"/>
      </w:pPr>
      <w:r w:rsidRPr="009D719B">
        <w:rPr>
          <w:rStyle w:val="Fotnotsreferens"/>
        </w:rPr>
        <w:footnoteRef/>
      </w:r>
      <w:r w:rsidRPr="009D719B">
        <w:t xml:space="preserve"> Riksdagens revisorer, informationsrapport 2000/01:1, </w:t>
      </w:r>
      <w:r w:rsidRPr="009D719B">
        <w:rPr>
          <w:i/>
        </w:rPr>
        <w:t>Försvarsmaktens persona</w:t>
      </w:r>
      <w:r w:rsidRPr="009D719B">
        <w:rPr>
          <w:i/>
        </w:rPr>
        <w:t>l</w:t>
      </w:r>
      <w:r w:rsidRPr="009D719B">
        <w:rPr>
          <w:i/>
        </w:rPr>
        <w:t>försörjning</w:t>
      </w:r>
      <w:r w:rsidRPr="009D719B">
        <w:t xml:space="preserve">. </w:t>
      </w:r>
    </w:p>
  </w:footnote>
  <w:footnote w:id="11">
    <w:p w:rsidR="001F14AF" w:rsidRPr="009D719B" w:rsidRDefault="001F14AF">
      <w:pPr>
        <w:pStyle w:val="Fotnotstext"/>
      </w:pPr>
      <w:r w:rsidRPr="009D719B">
        <w:rPr>
          <w:rStyle w:val="Fotnotsreferens"/>
        </w:rPr>
        <w:footnoteRef/>
      </w:r>
      <w:r w:rsidRPr="009D719B">
        <w:t xml:space="preserve"> Förändringarna av den statliga arbetsgivarpolitiken finns utförligt beskrivna t.ex. i revisorernas rapport 2001/02:12, </w:t>
      </w:r>
      <w:r w:rsidRPr="009D719B">
        <w:rPr>
          <w:i/>
        </w:rPr>
        <w:t>Statens personalpolitik</w:t>
      </w:r>
      <w:r w:rsidRPr="009D719B">
        <w:t xml:space="preserve"> och SOU 2002:32, </w:t>
      </w:r>
      <w:r w:rsidRPr="009D719B">
        <w:rPr>
          <w:i/>
        </w:rPr>
        <w:t>Den arbetsgivarpolitiska delegeringen i staten</w:t>
      </w:r>
      <w:r w:rsidRPr="009D719B">
        <w:t>. En sammanfattning finns också i revisore</w:t>
      </w:r>
      <w:r w:rsidRPr="009D719B">
        <w:t>r</w:t>
      </w:r>
      <w:r w:rsidRPr="009D719B">
        <w:t xml:space="preserve">nas förstudie 2001/02:20, </w:t>
      </w:r>
      <w:r w:rsidRPr="009D719B">
        <w:rPr>
          <w:i/>
        </w:rPr>
        <w:t>Arbetsgiva</w:t>
      </w:r>
      <w:r w:rsidRPr="009D719B">
        <w:rPr>
          <w:i/>
        </w:rPr>
        <w:t>r</w:t>
      </w:r>
      <w:r w:rsidRPr="009D719B">
        <w:rPr>
          <w:i/>
        </w:rPr>
        <w:t>politiken inom Försvarsmakten.</w:t>
      </w:r>
    </w:p>
  </w:footnote>
  <w:footnote w:id="12">
    <w:p w:rsidR="001F14AF" w:rsidRPr="009D719B" w:rsidRDefault="001F14AF">
      <w:pPr>
        <w:pStyle w:val="Fotnotstext"/>
      </w:pPr>
      <w:r w:rsidRPr="009D719B">
        <w:rPr>
          <w:rStyle w:val="Fotnotsreferens"/>
        </w:rPr>
        <w:footnoteRef/>
      </w:r>
      <w:r w:rsidRPr="009D719B">
        <w:t xml:space="preserve"> Se Arbetsgivarverkets skrift </w:t>
      </w:r>
      <w:r w:rsidRPr="009D719B">
        <w:rPr>
          <w:i/>
        </w:rPr>
        <w:t>Att sätta lön</w:t>
      </w:r>
      <w:r w:rsidRPr="009D719B">
        <w:t xml:space="preserve"> (2002). </w:t>
      </w:r>
    </w:p>
  </w:footnote>
  <w:footnote w:id="13">
    <w:p w:rsidR="001F14AF" w:rsidRPr="009D719B" w:rsidRDefault="001F14AF">
      <w:pPr>
        <w:pStyle w:val="Fotnotstext"/>
      </w:pPr>
      <w:r w:rsidRPr="009D719B">
        <w:rPr>
          <w:rStyle w:val="Fotnotsreferens"/>
        </w:rPr>
        <w:footnoteRef/>
      </w:r>
      <w:r w:rsidRPr="009D719B">
        <w:t xml:space="preserve"> Se t.ex. 1995/96:RR7, </w:t>
      </w:r>
      <w:r w:rsidRPr="009D719B">
        <w:rPr>
          <w:i/>
        </w:rPr>
        <w:t>Den statliga personalpolitiken</w:t>
      </w:r>
      <w:r w:rsidRPr="009D719B">
        <w:t>; 1998/99:RR10</w:t>
      </w:r>
      <w:r w:rsidRPr="009D719B">
        <w:rPr>
          <w:i/>
        </w:rPr>
        <w:t>, Myndigh</w:t>
      </w:r>
      <w:r w:rsidRPr="009D719B">
        <w:rPr>
          <w:i/>
        </w:rPr>
        <w:t>e</w:t>
      </w:r>
      <w:r w:rsidRPr="009D719B">
        <w:rPr>
          <w:i/>
        </w:rPr>
        <w:t>ternas lönekostnader</w:t>
      </w:r>
      <w:r w:rsidRPr="009D719B">
        <w:t xml:space="preserve"> och 2001/02:RR21, </w:t>
      </w:r>
      <w:r w:rsidRPr="009D719B">
        <w:rPr>
          <w:i/>
        </w:rPr>
        <w:t>Statens avtalsförsä</w:t>
      </w:r>
      <w:r w:rsidRPr="009D719B">
        <w:rPr>
          <w:i/>
        </w:rPr>
        <w:t>k</w:t>
      </w:r>
      <w:r w:rsidRPr="009D719B">
        <w:rPr>
          <w:i/>
        </w:rPr>
        <w:t>ringar</w:t>
      </w:r>
      <w:r w:rsidRPr="009D719B">
        <w:t xml:space="preserve">. </w:t>
      </w:r>
    </w:p>
  </w:footnote>
  <w:footnote w:id="14">
    <w:p w:rsidR="001F14AF" w:rsidRPr="009D719B" w:rsidRDefault="001F14AF">
      <w:pPr>
        <w:pStyle w:val="Fotnotstext"/>
      </w:pPr>
      <w:r w:rsidRPr="009D719B">
        <w:rPr>
          <w:rStyle w:val="Fotnotsreferens"/>
        </w:rPr>
        <w:footnoteRef/>
      </w:r>
      <w:r w:rsidRPr="009D719B">
        <w:t xml:space="preserve"> </w:t>
      </w:r>
      <w:r w:rsidRPr="009D719B">
        <w:rPr>
          <w:i/>
        </w:rPr>
        <w:t>Formerna för lönebildning m.m. inom Försvarsmakten</w:t>
      </w:r>
      <w:r w:rsidRPr="009D719B">
        <w:t xml:space="preserve"> (RRV 1998:20 och 2000:10) samt </w:t>
      </w:r>
      <w:r w:rsidRPr="009D719B">
        <w:rPr>
          <w:i/>
        </w:rPr>
        <w:t>Försvarsmaktens personalförsörjning</w:t>
      </w:r>
      <w:r w:rsidRPr="009D719B">
        <w:t xml:space="preserve"> (RR informationsrapport 2000/01:1).</w:t>
      </w:r>
    </w:p>
  </w:footnote>
  <w:footnote w:id="15">
    <w:p w:rsidR="001F14AF" w:rsidRPr="009D719B" w:rsidRDefault="001F14AF">
      <w:pPr>
        <w:pStyle w:val="Fotnotstext"/>
      </w:pPr>
      <w:r w:rsidRPr="009D719B">
        <w:rPr>
          <w:rStyle w:val="Fotnotsreferens"/>
        </w:rPr>
        <w:footnoteRef/>
      </w:r>
      <w:r w:rsidRPr="009D719B">
        <w:t xml:space="preserve"> Se t.ex. </w:t>
      </w:r>
      <w:r w:rsidRPr="009D719B">
        <w:rPr>
          <w:i/>
        </w:rPr>
        <w:t>Personal för ett nytt försvar</w:t>
      </w:r>
      <w:r w:rsidRPr="009D719B">
        <w:t xml:space="preserve"> (SOU 2001:23) och </w:t>
      </w:r>
      <w:r w:rsidRPr="009D719B">
        <w:rPr>
          <w:i/>
        </w:rPr>
        <w:t>I rikets tjänst</w:t>
      </w:r>
      <w:r w:rsidRPr="009D719B">
        <w:t xml:space="preserve"> (ESO, Ds 2001:45). </w:t>
      </w:r>
    </w:p>
  </w:footnote>
  <w:footnote w:id="16">
    <w:p w:rsidR="001F14AF" w:rsidRPr="009D719B" w:rsidRDefault="001F14AF">
      <w:pPr>
        <w:pStyle w:val="Fotnotstext"/>
      </w:pPr>
      <w:r w:rsidRPr="009D719B">
        <w:rPr>
          <w:rStyle w:val="Fotnotsreferens"/>
        </w:rPr>
        <w:footnoteRef/>
      </w:r>
      <w:r w:rsidRPr="009D719B">
        <w:t xml:space="preserve"> Bet. 2001/02:FöU7.</w:t>
      </w:r>
    </w:p>
  </w:footnote>
  <w:footnote w:id="17">
    <w:p w:rsidR="001F14AF" w:rsidRPr="009D719B" w:rsidRDefault="001F14AF">
      <w:pPr>
        <w:pStyle w:val="Fotnotstext"/>
      </w:pPr>
      <w:r w:rsidRPr="009D719B">
        <w:rPr>
          <w:rStyle w:val="Fotnotsreferens"/>
        </w:rPr>
        <w:footnoteRef/>
      </w:r>
      <w:r w:rsidRPr="009D719B">
        <w:t xml:space="preserve"> TT 2002-12-03, </w:t>
      </w:r>
      <w:r w:rsidRPr="009D719B">
        <w:rPr>
          <w:i/>
        </w:rPr>
        <w:t>Förtroendeklyfta gapar mellan officerare och politiker</w:t>
      </w:r>
      <w:r w:rsidRPr="009D719B">
        <w:t>.</w:t>
      </w:r>
    </w:p>
  </w:footnote>
  <w:footnote w:id="18">
    <w:p w:rsidR="001F14AF" w:rsidRPr="009D719B" w:rsidRDefault="001F14AF">
      <w:pPr>
        <w:pStyle w:val="Fotnotstext"/>
      </w:pPr>
      <w:r w:rsidRPr="009D719B">
        <w:rPr>
          <w:rStyle w:val="Fotnotsreferens"/>
        </w:rPr>
        <w:footnoteRef/>
      </w:r>
      <w:r w:rsidRPr="009D719B">
        <w:t xml:space="preserve"> Försvarsmakten 2002-06-27, </w:t>
      </w:r>
      <w:r w:rsidRPr="009D719B">
        <w:rPr>
          <w:i/>
        </w:rPr>
        <w:t>Utredningen om Försvarsmaktens centrala ledning LU 02</w:t>
      </w:r>
      <w:r w:rsidRPr="009D719B">
        <w:t>.</w:t>
      </w:r>
    </w:p>
  </w:footnote>
  <w:footnote w:id="19">
    <w:p w:rsidR="001F14AF" w:rsidRPr="009D719B" w:rsidRDefault="001F14AF">
      <w:pPr>
        <w:pStyle w:val="Fotnotstext"/>
      </w:pPr>
      <w:r w:rsidRPr="009D719B">
        <w:rPr>
          <w:rStyle w:val="Fotnotsreferens"/>
        </w:rPr>
        <w:footnoteRef/>
      </w:r>
      <w:r w:rsidRPr="009D719B">
        <w:t xml:space="preserve"> Försvarsmaktens årsredovisning 2001 samt Högkvarterets uppföljning av Fö</w:t>
      </w:r>
      <w:r w:rsidRPr="009D719B">
        <w:t>r</w:t>
      </w:r>
      <w:r w:rsidRPr="009D719B">
        <w:t>svarsmaktens o</w:t>
      </w:r>
      <w:r w:rsidRPr="009D719B">
        <w:t>m</w:t>
      </w:r>
      <w:r w:rsidRPr="009D719B">
        <w:t>strukturering (HKV PERS 02-02-25).</w:t>
      </w:r>
    </w:p>
  </w:footnote>
  <w:footnote w:id="20">
    <w:p w:rsidR="001F14AF" w:rsidRPr="009D719B" w:rsidRDefault="001F14AF">
      <w:pPr>
        <w:pStyle w:val="Fotnotstext"/>
      </w:pPr>
      <w:r w:rsidRPr="009D719B">
        <w:rPr>
          <w:rStyle w:val="Fotnotsreferens"/>
        </w:rPr>
        <w:footnoteRef/>
      </w:r>
      <w:r w:rsidRPr="009D719B">
        <w:t xml:space="preserve"> Uppgifterna är hämtade från respektive myndighets årsredovisning för 2001.</w:t>
      </w:r>
    </w:p>
  </w:footnote>
  <w:footnote w:id="21">
    <w:p w:rsidR="001F14AF" w:rsidRPr="009D719B" w:rsidRDefault="001F14AF">
      <w:pPr>
        <w:pStyle w:val="Fotnotstext"/>
      </w:pPr>
      <w:r w:rsidRPr="009D719B">
        <w:rPr>
          <w:rStyle w:val="Fotnotsreferens"/>
        </w:rPr>
        <w:footnoteRef/>
      </w:r>
      <w:r w:rsidRPr="009D719B">
        <w:t xml:space="preserve"> Se Officersförbundets remissyttrande 00-05-18 över RRV:s rapport </w:t>
      </w:r>
      <w:r w:rsidRPr="009D719B">
        <w:rPr>
          <w:i/>
        </w:rPr>
        <w:t>Former för lönebildning m m</w:t>
      </w:r>
      <w:r w:rsidRPr="009D719B">
        <w:t>.</w:t>
      </w:r>
    </w:p>
  </w:footnote>
  <w:footnote w:id="22">
    <w:p w:rsidR="001F14AF" w:rsidRPr="009D719B" w:rsidRDefault="001F14AF">
      <w:pPr>
        <w:pStyle w:val="Fotnotstext"/>
      </w:pPr>
      <w:r w:rsidRPr="009D719B">
        <w:rPr>
          <w:rStyle w:val="Fotnotsreferens"/>
        </w:rPr>
        <w:footnoteRef/>
      </w:r>
      <w:r w:rsidRPr="009D719B">
        <w:t xml:space="preserve"> De sektorer som jämfördes var försvaret, utbildning, näringslivstjänster, samhäll</w:t>
      </w:r>
      <w:r w:rsidRPr="009D719B">
        <w:t>s</w:t>
      </w:r>
      <w:r w:rsidRPr="009D719B">
        <w:t>skydd och rättsskipning, allmänna tjänster, kultur samt vård, social trygghet och omsorg. Jämförelsen gjordes således inte mellan olika myndigheter.</w:t>
      </w:r>
    </w:p>
  </w:footnote>
  <w:footnote w:id="23">
    <w:p w:rsidR="001F14AF" w:rsidRPr="009D719B" w:rsidRDefault="001F14AF">
      <w:pPr>
        <w:pStyle w:val="Fotnotstext"/>
      </w:pPr>
      <w:r w:rsidRPr="009D719B">
        <w:rPr>
          <w:rStyle w:val="Fotnotsreferens"/>
        </w:rPr>
        <w:footnoteRef/>
      </w:r>
      <w:r w:rsidRPr="009D719B">
        <w:t xml:space="preserve"> Försvarsmaktsavtal om lön och vissa kompletteringar till ALFA, 2001-04-06.</w:t>
      </w:r>
    </w:p>
  </w:footnote>
  <w:footnote w:id="24">
    <w:p w:rsidR="001F14AF" w:rsidRPr="009D719B" w:rsidRDefault="001F14AF">
      <w:pPr>
        <w:pStyle w:val="Fotnotstext"/>
      </w:pPr>
      <w:r w:rsidRPr="009D719B">
        <w:rPr>
          <w:rStyle w:val="Fotnotsreferens"/>
        </w:rPr>
        <w:footnoteRef/>
      </w:r>
      <w:r w:rsidRPr="009D719B">
        <w:t xml:space="preserve"> </w:t>
      </w:r>
      <w:r w:rsidRPr="009D719B">
        <w:rPr>
          <w:i/>
        </w:rPr>
        <w:t>Formerna för lönebildning m.m. inom Försvarsmakten</w:t>
      </w:r>
      <w:r w:rsidRPr="009D719B">
        <w:t xml:space="preserve"> (RRV 1998:20 och 2000:10). </w:t>
      </w:r>
    </w:p>
  </w:footnote>
  <w:footnote w:id="25">
    <w:p w:rsidR="001F14AF" w:rsidRPr="009D719B" w:rsidRDefault="001F14AF">
      <w:pPr>
        <w:pStyle w:val="Fotnotstext"/>
      </w:pPr>
      <w:r w:rsidRPr="009D719B">
        <w:rPr>
          <w:rStyle w:val="Fotnotsreferens"/>
        </w:rPr>
        <w:footnoteRef/>
      </w:r>
      <w:r w:rsidRPr="009D719B">
        <w:t xml:space="preserve"> Lönestatistik som tagits fram i samarbete med SCB.</w:t>
      </w:r>
    </w:p>
  </w:footnote>
  <w:footnote w:id="26">
    <w:p w:rsidR="001F14AF" w:rsidRPr="009D719B" w:rsidRDefault="001F14AF">
      <w:pPr>
        <w:pStyle w:val="Fotnotstext"/>
      </w:pPr>
      <w:r w:rsidRPr="009D719B">
        <w:rPr>
          <w:rStyle w:val="Fotnotsreferens"/>
        </w:rPr>
        <w:footnoteRef/>
      </w:r>
      <w:r w:rsidRPr="009D719B">
        <w:t xml:space="preserve"> </w:t>
      </w:r>
      <w:r w:rsidRPr="009D719B">
        <w:rPr>
          <w:i/>
        </w:rPr>
        <w:t>Avtal om löner för flygförare inom Försvarsmakten (ALFF)</w:t>
      </w:r>
      <w:r w:rsidRPr="009D719B">
        <w:t>, 1999-09-23.</w:t>
      </w:r>
    </w:p>
  </w:footnote>
  <w:footnote w:id="27">
    <w:p w:rsidR="001F14AF" w:rsidRPr="009D719B" w:rsidRDefault="001F14AF">
      <w:pPr>
        <w:pStyle w:val="Fotnotstext"/>
      </w:pPr>
      <w:r w:rsidRPr="009D719B">
        <w:rPr>
          <w:rStyle w:val="Fotnotsreferens"/>
        </w:rPr>
        <w:footnoteRef/>
      </w:r>
      <w:r w:rsidRPr="009D719B">
        <w:t xml:space="preserve"> Se t.ex. Ds 2001:45, </w:t>
      </w:r>
      <w:r w:rsidRPr="009D719B">
        <w:rPr>
          <w:i/>
        </w:rPr>
        <w:t>I rikets tjänst</w:t>
      </w:r>
      <w:r w:rsidRPr="009D719B">
        <w:t xml:space="preserve"> eller SOU 2001:23, </w:t>
      </w:r>
      <w:r w:rsidRPr="009D719B">
        <w:rPr>
          <w:i/>
        </w:rPr>
        <w:t>Personal för ett nytt försvar</w:t>
      </w:r>
      <w:r w:rsidRPr="009D719B">
        <w:t>.</w:t>
      </w:r>
    </w:p>
  </w:footnote>
  <w:footnote w:id="28">
    <w:p w:rsidR="001F14AF" w:rsidRPr="009D719B" w:rsidRDefault="001F14AF">
      <w:pPr>
        <w:pStyle w:val="Fotnotstext"/>
      </w:pPr>
      <w:r w:rsidRPr="009D719B">
        <w:rPr>
          <w:rStyle w:val="Fotnotsreferens"/>
        </w:rPr>
        <w:footnoteRef/>
      </w:r>
      <w:r w:rsidRPr="009D719B">
        <w:t xml:space="preserve"> OFR, Offentlig sektor i fokus 2002/1, </w:t>
      </w:r>
      <w:r w:rsidRPr="009D719B">
        <w:rPr>
          <w:i/>
        </w:rPr>
        <w:t>Rals 2001 – Signalfel i avtalsspåret</w:t>
      </w:r>
    </w:p>
  </w:footnote>
  <w:footnote w:id="29">
    <w:p w:rsidR="001F14AF" w:rsidRPr="009D719B" w:rsidRDefault="001F14AF">
      <w:pPr>
        <w:pStyle w:val="Fotnotstext"/>
      </w:pPr>
      <w:r w:rsidRPr="009D719B">
        <w:rPr>
          <w:rStyle w:val="Fotnotsreferens"/>
        </w:rPr>
        <w:footnoteRef/>
      </w:r>
      <w:r w:rsidRPr="009D719B">
        <w:t xml:space="preserve"> Riksdagens revisorers informationsrapport 2000/01:1, </w:t>
      </w:r>
      <w:r w:rsidRPr="009D719B">
        <w:rPr>
          <w:i/>
        </w:rPr>
        <w:t>Försvarsmaktens persona</w:t>
      </w:r>
      <w:r w:rsidRPr="009D719B">
        <w:rPr>
          <w:i/>
        </w:rPr>
        <w:t>l</w:t>
      </w:r>
      <w:r w:rsidRPr="009D719B">
        <w:rPr>
          <w:i/>
        </w:rPr>
        <w:t>försörjning</w:t>
      </w:r>
      <w:r w:rsidRPr="009D719B">
        <w:t>.</w:t>
      </w:r>
    </w:p>
  </w:footnote>
  <w:footnote w:id="30">
    <w:p w:rsidR="001F14AF" w:rsidRPr="009D719B" w:rsidRDefault="001F14AF">
      <w:pPr>
        <w:pStyle w:val="Fotnotstext"/>
      </w:pPr>
      <w:r w:rsidRPr="009D719B">
        <w:rPr>
          <w:rStyle w:val="Fotnotsreferens"/>
        </w:rPr>
        <w:footnoteRef/>
      </w:r>
      <w:r w:rsidRPr="009D719B">
        <w:t xml:space="preserve"> ESV 01-06-01, </w:t>
      </w:r>
      <w:r w:rsidRPr="009D719B">
        <w:rPr>
          <w:i/>
        </w:rPr>
        <w:t>Först</w:t>
      </w:r>
      <w:r w:rsidRPr="009D719B">
        <w:rPr>
          <w:i/>
        </w:rPr>
        <w:t>u</w:t>
      </w:r>
      <w:r w:rsidRPr="009D719B">
        <w:rPr>
          <w:i/>
        </w:rPr>
        <w:t>die om Försvarsmaktens ekonomiska läge m.m.</w:t>
      </w:r>
    </w:p>
  </w:footnote>
  <w:footnote w:id="31">
    <w:p w:rsidR="001F14AF" w:rsidRPr="009D719B" w:rsidRDefault="001F14AF">
      <w:pPr>
        <w:pStyle w:val="Fotnotstext"/>
      </w:pPr>
      <w:r w:rsidRPr="009D719B">
        <w:rPr>
          <w:rStyle w:val="Fotnotsreferens"/>
        </w:rPr>
        <w:footnoteRef/>
      </w:r>
      <w:r w:rsidRPr="009D719B">
        <w:t xml:space="preserve"> Se LEMO-utredningens delbetänkande SOU 1991:112, </w:t>
      </w:r>
      <w:r w:rsidRPr="009D719B">
        <w:rPr>
          <w:i/>
        </w:rPr>
        <w:t>Försvarsmaktens ledning</w:t>
      </w:r>
      <w:r w:rsidRPr="009D719B">
        <w:t>.</w:t>
      </w:r>
    </w:p>
  </w:footnote>
  <w:footnote w:id="32">
    <w:p w:rsidR="001F14AF" w:rsidRPr="009D719B" w:rsidRDefault="001F14AF">
      <w:pPr>
        <w:pStyle w:val="Fotnotstext"/>
      </w:pPr>
      <w:r w:rsidRPr="009D719B">
        <w:rPr>
          <w:rStyle w:val="Fotnotsreferens"/>
        </w:rPr>
        <w:footnoteRef/>
      </w:r>
      <w:r w:rsidRPr="009D719B">
        <w:t xml:space="preserve"> Försvarsbesluten fattas av riksdagen vart tredje år. Det senaste fattades i december 2001 (prop. 2001/02:10, 2001/02:FöU2, rskr. 2001/02:91).</w:t>
      </w:r>
    </w:p>
  </w:footnote>
  <w:footnote w:id="33">
    <w:p w:rsidR="001F14AF" w:rsidRPr="009D719B" w:rsidRDefault="001F14AF">
      <w:pPr>
        <w:pStyle w:val="Fotnotstext"/>
      </w:pPr>
      <w:r w:rsidRPr="009D719B">
        <w:rPr>
          <w:rStyle w:val="Fotnotsreferens"/>
        </w:rPr>
        <w:footnoteRef/>
      </w:r>
      <w:r w:rsidRPr="009D719B">
        <w:t xml:space="preserve"> Se t.ex. propositionerna 1995/96:12, </w:t>
      </w:r>
      <w:r w:rsidRPr="009D719B">
        <w:rPr>
          <w:i/>
        </w:rPr>
        <w:t>Totalförsvar i förnyelse</w:t>
      </w:r>
      <w:r w:rsidRPr="009D719B">
        <w:t xml:space="preserve">; 1996/97:4, </w:t>
      </w:r>
      <w:r w:rsidRPr="009D719B">
        <w:rPr>
          <w:i/>
        </w:rPr>
        <w:t>Totalfö</w:t>
      </w:r>
      <w:r w:rsidRPr="009D719B">
        <w:rPr>
          <w:i/>
        </w:rPr>
        <w:t>r</w:t>
      </w:r>
      <w:r w:rsidRPr="009D719B">
        <w:rPr>
          <w:i/>
        </w:rPr>
        <w:t>svar i förnyelse – etapp 2</w:t>
      </w:r>
      <w:r w:rsidRPr="009D719B">
        <w:t xml:space="preserve"> och 2001/02:10, </w:t>
      </w:r>
      <w:r w:rsidRPr="009D719B">
        <w:rPr>
          <w:i/>
        </w:rPr>
        <w:t>Fortsatt förnyelse av totalförsvaret</w:t>
      </w:r>
      <w:r w:rsidRPr="009D71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huvud"/>
    </w:pPr>
  </w:p>
  <w:p w:rsidR="001F14AF" w:rsidRPr="009D719B" w:rsidRDefault="001F14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huvudKant"/>
      <w:framePr w:w="1758" w:h="2744" w:hRule="exact" w:wrap="around" w:vAnchor="page" w:hAnchor="page" w:x="7372" w:y="568" w:anchorLock="0"/>
    </w:pPr>
    <w:r w:rsidRPr="009D719B">
      <w:fldChar w:fldCharType="begin" w:fldLock="1"/>
    </w:r>
    <w:r w:rsidRPr="009D719B">
      <w:instrText xml:space="preserve"> if </w:instrText>
    </w:r>
    <w:r w:rsidRPr="009D719B">
      <w:fldChar w:fldCharType="begin" w:fldLock="1"/>
    </w:r>
    <w:r w:rsidRPr="009D719B">
      <w:instrText xml:space="preserve"> page</w:instrText>
    </w:r>
    <w:r w:rsidRPr="009D719B">
      <w:fldChar w:fldCharType="separate"/>
    </w:r>
    <w:r w:rsidR="009D719B">
      <w:rPr>
        <w:noProof/>
      </w:rPr>
      <w:instrText>12</w:instrText>
    </w:r>
    <w:r w:rsidRPr="009D719B">
      <w:fldChar w:fldCharType="end"/>
    </w:r>
    <w:r w:rsidRPr="009D719B">
      <w:instrText xml:space="preserve"> &gt; 1 "</w:instrText>
    </w:r>
    <w:r w:rsidRPr="009D719B">
      <w:fldChar w:fldCharType="begin" w:fldLock="1"/>
    </w:r>
    <w:r w:rsidRPr="009D719B">
      <w:instrText xml:space="preserve"> DOCPROPERTY BetänkandeÅr</w:instrText>
    </w:r>
    <w:r w:rsidRPr="009D719B">
      <w:fldChar w:fldCharType="separate"/>
    </w:r>
    <w:r w:rsidRPr="009D719B">
      <w:instrText>2002/03</w:instrText>
    </w:r>
    <w:r w:rsidRPr="009D719B">
      <w:fldChar w:fldCharType="end"/>
    </w:r>
    <w:r w:rsidRPr="009D719B">
      <w:instrText>:</w:instrTex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instrText>RR14</w:instrText>
    </w:r>
    <w:r w:rsidRPr="009D719B">
      <w:fldChar w:fldCharType="end"/>
    </w:r>
  </w:p>
  <w:p w:rsidR="001F14AF" w:rsidRPr="009D719B" w:rsidRDefault="001F14AF">
    <w:pPr>
      <w:pStyle w:val="SidhuvudKantBilaga"/>
      <w:framePr w:w="1758" w:h="2744" w:hRule="exact" w:wrap="around" w:vAnchor="page" w:hAnchor="page" w:x="7372" w:y="568" w:anchorLock="0"/>
    </w:pPr>
  </w:p>
  <w:p w:rsidR="009D719B" w:rsidRPr="009D719B" w:rsidRDefault="001F14AF">
    <w:pPr>
      <w:pStyle w:val="SidhuvudKant"/>
      <w:framePr w:w="1758" w:h="2744" w:hRule="exact" w:wrap="around" w:vAnchor="page" w:hAnchor="page" w:x="7372" w:y="568" w:anchorLock="0"/>
      <w:rPr>
        <w:noProof/>
      </w:rPr>
    </w:pPr>
    <w:r w:rsidRPr="009D719B">
      <w:instrText>"</w:instrText>
    </w:r>
    <w:r w:rsidRPr="009D719B">
      <w:fldChar w:fldCharType="separate"/>
    </w:r>
    <w:r w:rsidR="009D719B" w:rsidRPr="009D719B">
      <w:rPr>
        <w:noProof/>
      </w:rPr>
      <w:t>2002/03:RR14</w:t>
    </w:r>
  </w:p>
  <w:p w:rsidR="009D719B" w:rsidRPr="009D719B" w:rsidRDefault="009D719B">
    <w:pPr>
      <w:pStyle w:val="SidhuvudKantBilaga"/>
      <w:framePr w:w="1758" w:h="2744" w:hRule="exact" w:wrap="around" w:vAnchor="page" w:hAnchor="page" w:x="7372" w:y="568" w:anchorLock="0"/>
      <w:rPr>
        <w:noProof/>
      </w:rPr>
    </w:pPr>
  </w:p>
  <w:p w:rsidR="001F14AF" w:rsidRPr="009D719B" w:rsidRDefault="001F14AF">
    <w:pPr>
      <w:pStyle w:val="SidhuvudKant"/>
      <w:framePr w:w="1758" w:h="2744" w:hRule="exact" w:wrap="around" w:vAnchor="page" w:hAnchor="page" w:x="7372" w:y="568" w:anchorLock="0"/>
    </w:pPr>
    <w:r w:rsidRPr="009D719B">
      <w:fldChar w:fldCharType="end"/>
    </w:r>
  </w:p>
  <w:p w:rsidR="001F14AF" w:rsidRPr="009D719B" w:rsidRDefault="001F14AF">
    <w:pPr>
      <w:pStyle w:val="Sidhuvud"/>
    </w:pPr>
  </w:p>
  <w:p w:rsidR="001F14AF" w:rsidRPr="009D719B" w:rsidRDefault="001F14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huvudKant"/>
      <w:framePr w:w="1758" w:h="2744" w:hRule="exact" w:wrap="around" w:vAnchor="page" w:hAnchor="page" w:x="7372" w:y="568" w:anchorLock="0"/>
    </w:pPr>
    <w:r w:rsidRPr="009D719B">
      <w:fldChar w:fldCharType="begin" w:fldLock="1"/>
    </w:r>
    <w:r w:rsidRPr="009D719B">
      <w:instrText xml:space="preserve"> if </w:instrText>
    </w:r>
    <w:r w:rsidRPr="009D719B">
      <w:fldChar w:fldCharType="begin" w:fldLock="1"/>
    </w:r>
    <w:r w:rsidRPr="009D719B">
      <w:instrText xml:space="preserve"> page</w:instrText>
    </w:r>
    <w:r w:rsidRPr="009D719B">
      <w:fldChar w:fldCharType="separate"/>
    </w:r>
    <w:r w:rsidR="009D719B">
      <w:rPr>
        <w:noProof/>
      </w:rPr>
      <w:instrText>55</w:instrText>
    </w:r>
    <w:r w:rsidRPr="009D719B">
      <w:fldChar w:fldCharType="end"/>
    </w:r>
    <w:r w:rsidRPr="009D719B">
      <w:instrText xml:space="preserve"> &gt; 1 "</w:instrText>
    </w:r>
    <w:r w:rsidRPr="009D719B">
      <w:fldChar w:fldCharType="begin" w:fldLock="1"/>
    </w:r>
    <w:r w:rsidRPr="009D719B">
      <w:instrText xml:space="preserve"> DOCPROPERTY BetänkandeÅr</w:instrText>
    </w:r>
    <w:r w:rsidRPr="009D719B">
      <w:fldChar w:fldCharType="separate"/>
    </w:r>
    <w:r w:rsidRPr="009D719B">
      <w:instrText>2002/03</w:instrText>
    </w:r>
    <w:r w:rsidRPr="009D719B">
      <w:fldChar w:fldCharType="end"/>
    </w:r>
    <w:r w:rsidRPr="009D719B">
      <w:instrText>:</w:instrTex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instrText>RR14</w:instrText>
    </w:r>
    <w:r w:rsidRPr="009D719B">
      <w:fldChar w:fldCharType="end"/>
    </w:r>
  </w:p>
  <w:p w:rsidR="001F14AF" w:rsidRPr="009D719B" w:rsidRDefault="001F14AF">
    <w:pPr>
      <w:pStyle w:val="SidhuvudKantBilaga"/>
      <w:framePr w:w="1758" w:h="2744" w:hRule="exact" w:wrap="around" w:vAnchor="page" w:hAnchor="page" w:x="7372" w:y="568" w:anchorLock="0"/>
    </w:pPr>
    <w:r w:rsidRPr="009D719B">
      <w:instrText>Bilaga</w:instrText>
    </w:r>
  </w:p>
  <w:p w:rsidR="009D719B" w:rsidRPr="009D719B" w:rsidRDefault="001F14AF">
    <w:pPr>
      <w:pStyle w:val="SidhuvudKant"/>
      <w:framePr w:w="1758" w:h="2744" w:hRule="exact" w:wrap="around" w:vAnchor="page" w:hAnchor="page" w:x="7372" w:y="568" w:anchorLock="0"/>
      <w:rPr>
        <w:noProof/>
      </w:rPr>
    </w:pPr>
    <w:r w:rsidRPr="009D719B">
      <w:instrText>"</w:instrText>
    </w:r>
    <w:r w:rsidRPr="009D719B">
      <w:fldChar w:fldCharType="separate"/>
    </w:r>
    <w:r w:rsidR="009D719B" w:rsidRPr="009D719B">
      <w:rPr>
        <w:noProof/>
      </w:rPr>
      <w:t>2002/03:RR14</w:t>
    </w:r>
  </w:p>
  <w:p w:rsidR="009D719B" w:rsidRPr="009D719B" w:rsidRDefault="009D719B">
    <w:pPr>
      <w:pStyle w:val="SidhuvudKantBilaga"/>
      <w:framePr w:w="1758" w:h="2744" w:hRule="exact" w:wrap="around" w:vAnchor="page" w:hAnchor="page" w:x="7372" w:y="568" w:anchorLock="0"/>
      <w:rPr>
        <w:noProof/>
      </w:rPr>
    </w:pPr>
    <w:r w:rsidRPr="009D719B">
      <w:rPr>
        <w:noProof/>
      </w:rPr>
      <w:t>Bilaga</w:t>
    </w:r>
  </w:p>
  <w:p w:rsidR="001F14AF" w:rsidRPr="009D719B" w:rsidRDefault="001F14AF">
    <w:pPr>
      <w:pStyle w:val="SidhuvudKant"/>
      <w:framePr w:w="1758" w:h="2744" w:hRule="exact" w:wrap="around" w:vAnchor="page" w:hAnchor="page" w:x="7372" w:y="568" w:anchorLock="0"/>
    </w:pPr>
    <w:r w:rsidRPr="009D719B">
      <w:fldChar w:fldCharType="end"/>
    </w:r>
  </w:p>
  <w:p w:rsidR="001F14AF" w:rsidRPr="009D719B" w:rsidRDefault="001F14AF">
    <w:pPr>
      <w:pStyle w:val="Sidhuvud"/>
    </w:pPr>
  </w:p>
  <w:p w:rsidR="001F14AF" w:rsidRPr="009D719B" w:rsidRDefault="001F14A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huvudKant"/>
      <w:framePr w:w="1758" w:h="2744" w:hRule="exact" w:wrap="around" w:vAnchor="page" w:hAnchor="page" w:x="7372" w:y="568" w:anchorLock="0"/>
    </w:pPr>
    <w:r w:rsidRPr="009D719B">
      <w:fldChar w:fldCharType="begin" w:fldLock="1"/>
    </w:r>
    <w:r w:rsidRPr="009D719B">
      <w:instrText xml:space="preserve"> if </w:instrText>
    </w:r>
    <w:r w:rsidRPr="009D719B">
      <w:fldChar w:fldCharType="begin" w:fldLock="1"/>
    </w:r>
    <w:r w:rsidRPr="009D719B">
      <w:instrText xml:space="preserve"> page</w:instrText>
    </w:r>
    <w:r w:rsidRPr="009D719B">
      <w:fldChar w:fldCharType="separate"/>
    </w:r>
    <w:r w:rsidRPr="009D719B">
      <w:instrText>91</w:instrText>
    </w:r>
    <w:r w:rsidRPr="009D719B">
      <w:fldChar w:fldCharType="end"/>
    </w:r>
    <w:r w:rsidRPr="009D719B">
      <w:instrText xml:space="preserve"> &gt; 1 "</w:instrText>
    </w:r>
    <w:r w:rsidRPr="009D719B">
      <w:fldChar w:fldCharType="begin" w:fldLock="1"/>
    </w:r>
    <w:r w:rsidRPr="009D719B">
      <w:instrText xml:space="preserve"> DOCPROPERTY BetänkandeÅr</w:instrText>
    </w:r>
    <w:r w:rsidRPr="009D719B">
      <w:fldChar w:fldCharType="separate"/>
    </w:r>
    <w:r w:rsidRPr="009D719B">
      <w:instrText>2002/03</w:instrText>
    </w:r>
    <w:r w:rsidRPr="009D719B">
      <w:fldChar w:fldCharType="end"/>
    </w:r>
    <w:r w:rsidRPr="009D719B">
      <w:instrText>:</w:instrTex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instrText>RR14</w:instrText>
    </w:r>
    <w:r w:rsidRPr="009D719B">
      <w:fldChar w:fldCharType="end"/>
    </w:r>
  </w:p>
  <w:p w:rsidR="001F14AF" w:rsidRPr="009D719B" w:rsidRDefault="001F14AF">
    <w:pPr>
      <w:pStyle w:val="SidhuvudKantBilaga"/>
      <w:framePr w:w="1758" w:h="2744" w:hRule="exact" w:wrap="around" w:vAnchor="page" w:hAnchor="page" w:x="7372" w:y="568" w:anchorLock="0"/>
    </w:pPr>
    <w:r w:rsidRPr="009D719B">
      <w:instrText>Underbilaga</w:instrText>
    </w:r>
  </w:p>
  <w:p w:rsidR="001F14AF" w:rsidRPr="009D719B" w:rsidRDefault="001F14AF">
    <w:pPr>
      <w:pStyle w:val="SidhuvudKant"/>
      <w:framePr w:w="1758" w:h="2744" w:hRule="exact" w:wrap="around" w:vAnchor="page" w:hAnchor="page" w:x="7372" w:y="568" w:anchorLock="0"/>
    </w:pPr>
    <w:r w:rsidRPr="009D719B">
      <w:instrText>"</w:instrText>
    </w:r>
    <w:r w:rsidRPr="009D719B">
      <w:fldChar w:fldCharType="separate"/>
    </w:r>
    <w:r w:rsidRPr="009D719B">
      <w:fldChar w:fldCharType="begin" w:fldLock="1"/>
    </w:r>
    <w:r w:rsidRPr="009D719B">
      <w:instrText xml:space="preserve"> DOCPROPERTY BetänkandeÅr</w:instrText>
    </w:r>
    <w:r w:rsidRPr="009D719B">
      <w:fldChar w:fldCharType="separate"/>
    </w:r>
    <w:r w:rsidRPr="009D719B">
      <w:t>2002/03</w:t>
    </w:r>
    <w:r w:rsidRPr="009D719B">
      <w:fldChar w:fldCharType="end"/>
    </w:r>
    <w:r w:rsidRPr="009D719B">
      <w:t>:</w: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t>RR14</w:t>
    </w:r>
    <w:r w:rsidRPr="009D719B">
      <w:fldChar w:fldCharType="end"/>
    </w:r>
  </w:p>
  <w:p w:rsidR="001F14AF" w:rsidRPr="009D719B" w:rsidRDefault="001F14AF">
    <w:pPr>
      <w:pStyle w:val="SidhuvudKantBilaga"/>
      <w:framePr w:w="1758" w:h="2744" w:hRule="exact" w:wrap="around" w:vAnchor="page" w:hAnchor="page" w:x="7372" w:y="568" w:anchorLock="0"/>
    </w:pPr>
    <w:r w:rsidRPr="009D719B">
      <w:t>Underbilaga</w:t>
    </w:r>
  </w:p>
  <w:p w:rsidR="001F14AF" w:rsidRPr="009D719B" w:rsidRDefault="001F14AF">
    <w:pPr>
      <w:pStyle w:val="SidhuvudKant"/>
      <w:framePr w:w="1758" w:h="2744" w:hRule="exact" w:wrap="around" w:vAnchor="page" w:hAnchor="page" w:x="7372" w:y="568" w:anchorLock="0"/>
    </w:pPr>
    <w:r w:rsidRPr="009D719B">
      <w:fldChar w:fldCharType="end"/>
    </w:r>
  </w:p>
  <w:p w:rsidR="001F14AF" w:rsidRPr="009D719B" w:rsidRDefault="001F14AF">
    <w:pPr>
      <w:pStyle w:val="Sidhuvud"/>
    </w:pPr>
  </w:p>
  <w:p w:rsidR="001F14AF" w:rsidRPr="009D719B" w:rsidRDefault="001F14A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4AF" w:rsidRPr="009D719B" w:rsidRDefault="001F14AF">
    <w:pPr>
      <w:pStyle w:val="SidhuvudKant"/>
      <w:framePr w:w="1758" w:h="2744" w:hRule="exact" w:wrap="around" w:vAnchor="page" w:hAnchor="page" w:x="7372" w:y="568" w:anchorLock="0"/>
    </w:pPr>
    <w:r w:rsidRPr="009D719B">
      <w:fldChar w:fldCharType="begin" w:fldLock="1"/>
    </w:r>
    <w:r w:rsidRPr="009D719B">
      <w:instrText xml:space="preserve"> if </w:instrText>
    </w:r>
    <w:r w:rsidRPr="009D719B">
      <w:fldChar w:fldCharType="begin" w:fldLock="1"/>
    </w:r>
    <w:r w:rsidRPr="009D719B">
      <w:instrText xml:space="preserve"> page</w:instrText>
    </w:r>
    <w:r w:rsidRPr="009D719B">
      <w:fldChar w:fldCharType="separate"/>
    </w:r>
    <w:r w:rsidRPr="009D719B">
      <w:instrText>93</w:instrText>
    </w:r>
    <w:r w:rsidRPr="009D719B">
      <w:fldChar w:fldCharType="end"/>
    </w:r>
    <w:r w:rsidRPr="009D719B">
      <w:instrText xml:space="preserve"> &gt; 1 "</w:instrText>
    </w:r>
    <w:r w:rsidRPr="009D719B">
      <w:fldChar w:fldCharType="begin" w:fldLock="1"/>
    </w:r>
    <w:r w:rsidRPr="009D719B">
      <w:instrText xml:space="preserve"> DOCPROPERTY BetänkandeÅr</w:instrText>
    </w:r>
    <w:r w:rsidRPr="009D719B">
      <w:fldChar w:fldCharType="separate"/>
    </w:r>
    <w:r w:rsidRPr="009D719B">
      <w:instrText>2002/03</w:instrText>
    </w:r>
    <w:r w:rsidRPr="009D719B">
      <w:fldChar w:fldCharType="end"/>
    </w:r>
    <w:r w:rsidRPr="009D719B">
      <w:instrText>:</w:instrTex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instrText>RR14</w:instrText>
    </w:r>
    <w:r w:rsidRPr="009D719B">
      <w:fldChar w:fldCharType="end"/>
    </w:r>
  </w:p>
  <w:p w:rsidR="001F14AF" w:rsidRPr="009D719B" w:rsidRDefault="001F14AF">
    <w:pPr>
      <w:pStyle w:val="SidhuvudKantBilaga"/>
      <w:framePr w:w="1758" w:h="2744" w:hRule="exact" w:wrap="around" w:vAnchor="page" w:hAnchor="page" w:x="7372" w:y="568" w:anchorLock="0"/>
    </w:pPr>
  </w:p>
  <w:p w:rsidR="001F14AF" w:rsidRPr="009D719B" w:rsidRDefault="001F14AF">
    <w:pPr>
      <w:pStyle w:val="SidhuvudKant"/>
      <w:framePr w:w="1758" w:h="2744" w:hRule="exact" w:wrap="around" w:vAnchor="page" w:hAnchor="page" w:x="7372" w:y="568" w:anchorLock="0"/>
    </w:pPr>
    <w:r w:rsidRPr="009D719B">
      <w:instrText>"</w:instrText>
    </w:r>
    <w:r w:rsidRPr="009D719B">
      <w:fldChar w:fldCharType="separate"/>
    </w:r>
    <w:r w:rsidRPr="009D719B">
      <w:fldChar w:fldCharType="begin" w:fldLock="1"/>
    </w:r>
    <w:r w:rsidRPr="009D719B">
      <w:instrText xml:space="preserve"> DOCPROPERTY BetänkandeÅr</w:instrText>
    </w:r>
    <w:r w:rsidRPr="009D719B">
      <w:fldChar w:fldCharType="separate"/>
    </w:r>
    <w:r w:rsidRPr="009D719B">
      <w:t>2002/03</w:t>
    </w:r>
    <w:r w:rsidRPr="009D719B">
      <w:fldChar w:fldCharType="end"/>
    </w:r>
    <w:r w:rsidRPr="009D719B">
      <w:t>:</w:t>
    </w:r>
    <w:r w:rsidRPr="009D719B">
      <w:fldChar w:fldCharType="begin" w:fldLock="1"/>
    </w:r>
    <w:r w:rsidRPr="009D719B">
      <w:instrText xml:space="preserve"> DOCPROPERTY Betä</w:instrText>
    </w:r>
    <w:r w:rsidRPr="009D719B">
      <w:instrText>n</w:instrText>
    </w:r>
    <w:r w:rsidRPr="009D719B">
      <w:instrText>kandeNr</w:instrText>
    </w:r>
    <w:r w:rsidRPr="009D719B">
      <w:fldChar w:fldCharType="separate"/>
    </w:r>
    <w:r w:rsidRPr="009D719B">
      <w:t>RR14</w:t>
    </w:r>
    <w:r w:rsidRPr="009D719B">
      <w:fldChar w:fldCharType="end"/>
    </w:r>
  </w:p>
  <w:p w:rsidR="001F14AF" w:rsidRPr="009D719B" w:rsidRDefault="001F14AF">
    <w:pPr>
      <w:pStyle w:val="SidhuvudKantBilaga"/>
      <w:framePr w:w="1758" w:h="2744" w:hRule="exact" w:wrap="around" w:vAnchor="page" w:hAnchor="page" w:x="7372" w:y="568" w:anchorLock="0"/>
    </w:pPr>
  </w:p>
  <w:p w:rsidR="001F14AF" w:rsidRPr="009D719B" w:rsidRDefault="001F14AF">
    <w:pPr>
      <w:pStyle w:val="SidhuvudKant"/>
      <w:framePr w:w="1758" w:h="2744" w:hRule="exact" w:wrap="around" w:vAnchor="page" w:hAnchor="page" w:x="7372" w:y="568" w:anchorLock="0"/>
    </w:pPr>
    <w:r w:rsidRPr="009D719B">
      <w:fldChar w:fldCharType="end"/>
    </w:r>
  </w:p>
  <w:p w:rsidR="001F14AF" w:rsidRPr="009D719B" w:rsidRDefault="001F14AF">
    <w:pPr>
      <w:pStyle w:val="Sidhuvud"/>
    </w:pPr>
  </w:p>
  <w:p w:rsidR="001F14AF" w:rsidRPr="009D719B" w:rsidRDefault="001F1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1188F34E"/>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2F12F5"/>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5732F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4C1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E353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B75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D96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9" w15:restartNumberingAfterBreak="0">
    <w:nsid w:val="164D2A0B"/>
    <w:multiLevelType w:val="multilevel"/>
    <w:tmpl w:val="475E31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4116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942E3"/>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F5A68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A70C70"/>
    <w:multiLevelType w:val="multilevel"/>
    <w:tmpl w:val="9968944E"/>
    <w:lvl w:ilvl="0">
      <w:start w:val="1"/>
      <w:numFmt w:val="decimal"/>
      <w:pStyle w:val="Strecklista"/>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4" w15:restartNumberingAfterBreak="0">
    <w:nsid w:val="21AC7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4817B3"/>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27A63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B039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D42600B"/>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40344E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3A29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DB4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102C1A"/>
    <w:multiLevelType w:val="multilevel"/>
    <w:tmpl w:val="9168B21E"/>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1E4B40"/>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77A52F9"/>
    <w:multiLevelType w:val="multilevel"/>
    <w:tmpl w:val="21063CF8"/>
    <w:lvl w:ilvl="0">
      <w:start w:val="1"/>
      <w:numFmt w:val="decimal"/>
      <w:lvlText w:val="%1."/>
      <w:lvlJc w:val="left"/>
      <w:pPr>
        <w:tabs>
          <w:tab w:val="num" w:pos="360"/>
        </w:tabs>
        <w:ind w:left="360" w:hanging="36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rPr>
        <w:b/>
        <w:i w:val="0"/>
        <w:sz w:val="19"/>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8D6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645391"/>
    <w:multiLevelType w:val="singleLevel"/>
    <w:tmpl w:val="1188F34E"/>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EA01618"/>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4F7A39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F67E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3C7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4D6D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5F7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1065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4A85955"/>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669E0CF4"/>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67AB55B3"/>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688915D7"/>
    <w:multiLevelType w:val="multilevel"/>
    <w:tmpl w:val="FE1E5B3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FFA1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E47127"/>
    <w:multiLevelType w:val="singleLevel"/>
    <w:tmpl w:val="1188F34E"/>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6D0535C"/>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78703D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BA1E5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81314407">
    <w:abstractNumId w:val="39"/>
  </w:num>
  <w:num w:numId="2" w16cid:durableId="1425998920">
    <w:abstractNumId w:val="39"/>
  </w:num>
  <w:num w:numId="3" w16cid:durableId="1977642175">
    <w:abstractNumId w:val="39"/>
  </w:num>
  <w:num w:numId="4" w16cid:durableId="682168843">
    <w:abstractNumId w:val="39"/>
  </w:num>
  <w:num w:numId="5" w16cid:durableId="1580600373">
    <w:abstractNumId w:val="39"/>
  </w:num>
  <w:num w:numId="6" w16cid:durableId="204800958">
    <w:abstractNumId w:val="39"/>
  </w:num>
  <w:num w:numId="7" w16cid:durableId="1289239053">
    <w:abstractNumId w:val="39"/>
  </w:num>
  <w:num w:numId="8" w16cid:durableId="928660168">
    <w:abstractNumId w:val="39"/>
  </w:num>
  <w:num w:numId="9" w16cid:durableId="1487745904">
    <w:abstractNumId w:val="2"/>
  </w:num>
  <w:num w:numId="10" w16cid:durableId="210967925">
    <w:abstractNumId w:val="37"/>
  </w:num>
  <w:num w:numId="11" w16cid:durableId="1243953821">
    <w:abstractNumId w:val="36"/>
  </w:num>
  <w:num w:numId="12" w16cid:durableId="1400440994">
    <w:abstractNumId w:val="38"/>
  </w:num>
  <w:num w:numId="13" w16cid:durableId="1379935430">
    <w:abstractNumId w:val="42"/>
  </w:num>
  <w:num w:numId="14" w16cid:durableId="1986398400">
    <w:abstractNumId w:val="11"/>
  </w:num>
  <w:num w:numId="15" w16cid:durableId="1735153223">
    <w:abstractNumId w:val="28"/>
  </w:num>
  <w:num w:numId="16" w16cid:durableId="462623235">
    <w:abstractNumId w:val="19"/>
  </w:num>
  <w:num w:numId="17" w16cid:durableId="561260088">
    <w:abstractNumId w:val="24"/>
  </w:num>
  <w:num w:numId="18" w16cid:durableId="2012180227">
    <w:abstractNumId w:val="35"/>
  </w:num>
  <w:num w:numId="19" w16cid:durableId="304899671">
    <w:abstractNumId w:val="13"/>
  </w:num>
  <w:num w:numId="20" w16cid:durableId="1854759417">
    <w:abstractNumId w:val="8"/>
  </w:num>
  <w:num w:numId="21" w16cid:durableId="1584140110">
    <w:abstractNumId w:val="18"/>
  </w:num>
  <w:num w:numId="22" w16cid:durableId="1226794730">
    <w:abstractNumId w:val="27"/>
  </w:num>
  <w:num w:numId="23" w16cid:durableId="1659963339">
    <w:abstractNumId w:val="10"/>
  </w:num>
  <w:num w:numId="24" w16cid:durableId="750812980">
    <w:abstractNumId w:val="0"/>
  </w:num>
  <w:num w:numId="25" w16cid:durableId="920526225">
    <w:abstractNumId w:val="9"/>
  </w:num>
  <w:num w:numId="26" w16cid:durableId="22555960">
    <w:abstractNumId w:val="23"/>
  </w:num>
  <w:num w:numId="27" w16cid:durableId="2115855460">
    <w:abstractNumId w:val="25"/>
  </w:num>
  <w:num w:numId="28" w16cid:durableId="713387278">
    <w:abstractNumId w:val="31"/>
  </w:num>
  <w:num w:numId="29" w16cid:durableId="21170302">
    <w:abstractNumId w:val="44"/>
  </w:num>
  <w:num w:numId="30" w16cid:durableId="2114327286">
    <w:abstractNumId w:val="30"/>
  </w:num>
  <w:num w:numId="31" w16cid:durableId="671103639">
    <w:abstractNumId w:val="12"/>
  </w:num>
  <w:num w:numId="32" w16cid:durableId="1952390770">
    <w:abstractNumId w:val="32"/>
  </w:num>
  <w:num w:numId="33" w16cid:durableId="1128205459">
    <w:abstractNumId w:val="43"/>
  </w:num>
  <w:num w:numId="34" w16cid:durableId="250314734">
    <w:abstractNumId w:val="5"/>
  </w:num>
  <w:num w:numId="35" w16cid:durableId="722406122">
    <w:abstractNumId w:val="4"/>
  </w:num>
  <w:num w:numId="36" w16cid:durableId="1807312071">
    <w:abstractNumId w:val="34"/>
  </w:num>
  <w:num w:numId="37" w16cid:durableId="1933777266">
    <w:abstractNumId w:val="16"/>
  </w:num>
  <w:num w:numId="38" w16cid:durableId="1707019819">
    <w:abstractNumId w:val="14"/>
  </w:num>
  <w:num w:numId="39" w16cid:durableId="1176923490">
    <w:abstractNumId w:val="33"/>
  </w:num>
  <w:num w:numId="40" w16cid:durableId="232356122">
    <w:abstractNumId w:val="29"/>
  </w:num>
  <w:num w:numId="41" w16cid:durableId="442961270">
    <w:abstractNumId w:val="1"/>
  </w:num>
  <w:num w:numId="42" w16cid:durableId="544567742">
    <w:abstractNumId w:val="7"/>
  </w:num>
  <w:num w:numId="43" w16cid:durableId="1316300226">
    <w:abstractNumId w:val="21"/>
  </w:num>
  <w:num w:numId="44" w16cid:durableId="760224439">
    <w:abstractNumId w:val="3"/>
  </w:num>
  <w:num w:numId="45" w16cid:durableId="518197825">
    <w:abstractNumId w:val="40"/>
  </w:num>
  <w:num w:numId="46" w16cid:durableId="1797798935">
    <w:abstractNumId w:val="17"/>
  </w:num>
  <w:num w:numId="47" w16cid:durableId="2070609985">
    <w:abstractNumId w:val="26"/>
  </w:num>
  <w:num w:numId="48" w16cid:durableId="1862085919">
    <w:abstractNumId w:val="20"/>
  </w:num>
  <w:num w:numId="49" w16cid:durableId="1256599638">
    <w:abstractNumId w:val="6"/>
  </w:num>
  <w:num w:numId="50" w16cid:durableId="276328565">
    <w:abstractNumId w:val="22"/>
  </w:num>
  <w:num w:numId="51" w16cid:durableId="2005623028">
    <w:abstractNumId w:val="15"/>
  </w:num>
  <w:num w:numId="52" w16cid:durableId="724111415">
    <w:abstractNumId w:val="41"/>
  </w:num>
  <w:num w:numId="53" w16cid:durableId="1349865408">
    <w:abstractNumId w:val="41"/>
    <w:lvlOverride w:ilvl="0">
      <w:startOverride w:val="1"/>
    </w:lvlOverride>
  </w:num>
  <w:num w:numId="54" w16cid:durableId="894387655">
    <w:abstractNumId w:val="41"/>
    <w:lvlOverride w:ilvl="0">
      <w:startOverride w:val="1"/>
    </w:lvlOverride>
  </w:num>
  <w:num w:numId="55" w16cid:durableId="563569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C3280E"/>
    <w:rsid w:val="001F14AF"/>
    <w:rsid w:val="009D719B"/>
    <w:rsid w:val="00C328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24B91778-33E1-4E98-ADDB-A203CFF9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953"/>
      </w:tabs>
      <w:spacing w:before="0"/>
      <w:ind w:left="227" w:right="284" w:hanging="227"/>
      <w:jc w:val="left"/>
    </w:pPr>
    <w:rPr>
      <w:noProof/>
    </w:rPr>
  </w:style>
  <w:style w:type="paragraph" w:styleId="Innehll2">
    <w:name w:val="toc 2"/>
    <w:basedOn w:val="Normal"/>
    <w:next w:val="Normal"/>
    <w:autoRedefine/>
    <w:semiHidden/>
    <w:pPr>
      <w:tabs>
        <w:tab w:val="left" w:pos="760"/>
        <w:tab w:val="right" w:leader="dot" w:pos="5953"/>
      </w:tabs>
      <w:spacing w:before="0"/>
      <w:ind w:left="340" w:right="284" w:hanging="340"/>
      <w:jc w:val="left"/>
    </w:pPr>
    <w:rPr>
      <w:noProof/>
    </w:r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4-Utannumrering">
    <w:name w:val="Rubrik 4 - Utan numrering"/>
    <w:basedOn w:val="Rubrik4"/>
    <w:pPr>
      <w:numPr>
        <w:ilvl w:val="0"/>
        <w:numId w:val="0"/>
      </w:numPr>
      <w:tabs>
        <w:tab w:val="clear" w:pos="227"/>
      </w:tabs>
      <w:spacing w:before="300"/>
    </w:p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character" w:styleId="Hyperlnk">
    <w:name w:val="Hyperlink"/>
    <w:basedOn w:val="Standardstycketeckensnitt"/>
    <w:semiHidden/>
    <w:rPr>
      <w:color w:val="0000FF"/>
      <w:u w:val="single"/>
    </w:rPr>
  </w:style>
  <w:style w:type="character" w:styleId="Fotnotsreferens">
    <w:name w:val="footnote reference"/>
    <w:basedOn w:val="Standardstycketeckensnitt"/>
    <w:semiHidden/>
    <w:rPr>
      <w:vertAlign w:val="superscript"/>
    </w:rPr>
  </w:style>
  <w:style w:type="paragraph" w:customStyle="1" w:styleId="Strecklista">
    <w:name w:val="Strecklista"/>
    <w:basedOn w:val="Normal"/>
    <w:pPr>
      <w:numPr>
        <w:numId w:val="19"/>
      </w:numPr>
      <w:spacing w:before="0" w:line="280" w:lineRule="atLeast"/>
      <w:ind w:left="357" w:hanging="357"/>
    </w:pPr>
    <w:rPr>
      <w:sz w:val="22"/>
    </w:rPr>
  </w:style>
  <w:style w:type="paragraph" w:styleId="Beskrivning">
    <w:name w:val="caption"/>
    <w:basedOn w:val="Normal"/>
    <w:next w:val="Normal"/>
    <w:qFormat/>
    <w:pPr>
      <w:tabs>
        <w:tab w:val="left" w:pos="1077"/>
      </w:tabs>
      <w:spacing w:before="120" w:after="120" w:line="280" w:lineRule="atLeast"/>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header" Target="header5.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28071</Words>
  <Characters>185554</Characters>
  <Application>Microsoft Office Word</Application>
  <DocSecurity>4</DocSecurity>
  <Lines>3865</Lines>
  <Paragraphs>1443</Paragraphs>
  <ScaleCrop>false</ScaleCrop>
  <HeadingPairs>
    <vt:vector size="4" baseType="variant">
      <vt:variant>
        <vt:lpstr>Title</vt:lpstr>
      </vt:variant>
      <vt:variant>
        <vt:i4>1</vt:i4>
      </vt:variant>
      <vt:variant>
        <vt:lpstr>Rubriker</vt:lpstr>
      </vt:variant>
      <vt:variant>
        <vt:i4>77</vt:i4>
      </vt:variant>
    </vt:vector>
  </HeadingPairs>
  <TitlesOfParts>
    <vt:vector size="78" baseType="lpstr">
      <vt:lpstr>Förslag till riksdagen</vt:lpstr>
      <vt:lpstr>Revisorernas granskning</vt:lpstr>
      <vt:lpstr>Remissinstansernas synpunkter och revisorernas överväganden</vt:lpstr>
      <vt:lpstr>    Allmänna utgångspunkter</vt:lpstr>
      <vt:lpstr>        Rapporten</vt:lpstr>
      <vt:lpstr>        Remissinstansernas synpunkter</vt:lpstr>
      <vt:lpstr>        Revisorernas överväganden</vt:lpstr>
      <vt:lpstr>    Regeringens ansvar för arbetsgivarpolitiken</vt:lpstr>
      <vt:lpstr>        Rapporten</vt:lpstr>
      <vt:lpstr>        Remissinstansernas synpunkter</vt:lpstr>
      <vt:lpstr>        Revisorernas överväganden och förslag</vt:lpstr>
      <vt:lpstr>    Högkvarterets organisation</vt:lpstr>
      <vt:lpstr>        Rapporten</vt:lpstr>
      <vt:lpstr>        Remissinstansernas synpunkter</vt:lpstr>
      <vt:lpstr>        Revisorernas överväganden och förslag</vt:lpstr>
      <vt:lpstr>    Försvarsmaktens uppföljning av lönebildningen</vt:lpstr>
      <vt:lpstr>        Rapporten</vt:lpstr>
      <vt:lpstr>        Remissinstansernas synpunkter</vt:lpstr>
      <vt:lpstr>        Revisorernas överväganden och förslag</vt:lpstr>
      <vt:lpstr>    Försvarsmaktens styrning av kompetens och lönebildning</vt:lpstr>
      <vt:lpstr>        Rapporten</vt:lpstr>
      <vt:lpstr>        Remissinstansernas synpunkter</vt:lpstr>
      <vt:lpstr>        Revisorernas överväganden och förslag</vt:lpstr>
      <vt:lpstr>Revisorernas förslag</vt:lpstr>
      <vt:lpstr>        Försvarsdepartementets hantering av arbetsgivarpolitiken</vt:lpstr>
      <vt:lpstr>        Växeltjänstgöringen vid Försvarsdepartementet</vt:lpstr>
      <vt:lpstr>        Regeringens uppföljning av myndigheternas arbetsgivarpolitik</vt:lpstr>
      <vt:lpstr>        Tydligare organisation i Högkvarteret</vt:lpstr>
      <vt:lpstr>        Bättre uppföljning av Försvarsmaktens arbetsgivarpolitik </vt:lpstr>
      <vt:lpstr>        Regeringens uppföljning av försvarets omstrukturering</vt:lpstr>
      <vt:lpstr>Förord</vt:lpstr>
      <vt:lpstr>Sammanfattning</vt:lpstr>
      <vt:lpstr>        Arbetsgivarpolitik i staten</vt:lpstr>
      <vt:lpstr>        Lönebildningen inom Försvarsmakten</vt:lpstr>
      <vt:lpstr>        Löneutvecklingen inom Försvarsmakten</vt:lpstr>
      <vt:lpstr>        Revisorernas överväganden</vt:lpstr>
      <vt:lpstr>        Revisorernas förslag</vt:lpstr>
      <vt:lpstr>Om granskningen</vt:lpstr>
      <vt:lpstr>    Arbetsgivarpolitik</vt:lpstr>
      <vt:lpstr>        Varför granska lönebildningen?</vt:lpstr>
      <vt:lpstr>    Hur har granskningen genomförts?</vt:lpstr>
      <vt:lpstr>        Statistisk undersökning av löner</vt:lpstr>
      <vt:lpstr>        Intervjuer på central nivå</vt:lpstr>
      <vt:lpstr>        Förbandsbesök</vt:lpstr>
      <vt:lpstr>    Rapportens disposition</vt:lpstr>
      <vt:lpstr>Försvarsmakten</vt:lpstr>
      <vt:lpstr>    Försvarsmaktens centrala ledning</vt:lpstr>
      <vt:lpstr>        Personalstaben</vt:lpstr>
      <vt:lpstr>    Försvarsmaktens personal</vt:lpstr>
      <vt:lpstr>        Armén</vt:lpstr>
      <vt:lpstr>        Marinen</vt:lpstr>
      <vt:lpstr>        Flygvapnet</vt:lpstr>
      <vt:lpstr>        Försvarsmaktens logistik (FMLOG)</vt:lpstr>
      <vt:lpstr>    Försvarsmakten förändras</vt:lpstr>
      <vt:lpstr>        Organisationsförändringar i Högkvarteret</vt:lpstr>
      <vt:lpstr>        Neddragningar</vt:lpstr>
      <vt:lpstr>        Personalavvecklingen</vt:lpstr>
      <vt:lpstr>Arbetsgivarpolitik</vt:lpstr>
      <vt:lpstr>    Delegeringen av arbetsgivarpolitiken i staten</vt:lpstr>
      <vt:lpstr>    Den statliga lönebildningen</vt:lpstr>
      <vt:lpstr>        Vad är en god lönebildning?</vt:lpstr>
      <vt:lpstr>        Hur har lönebildningen bedrivits inom staten?</vt:lpstr>
      <vt:lpstr>    Att granska arbetsgivarpolitik</vt:lpstr>
      <vt:lpstr>    Att stärka arbetsgivarrollen</vt:lpstr>
      <vt:lpstr>        Tidigare utredningar</vt:lpstr>
      <vt:lpstr>        Hur stärker man arbetsgivarrollen?</vt:lpstr>
      <vt:lpstr>    Delegeringen inom Försvarsmakten</vt:lpstr>
      <vt:lpstr>    Försvarsmaktens givna förutsättningar</vt:lpstr>
      <vt:lpstr>        Myndighetens storlek och struktur</vt:lpstr>
      <vt:lpstr>        Kårandan</vt:lpstr>
      <vt:lpstr>        Arbetsförhållanden</vt:lpstr>
      <vt:lpstr>        Omstruktureringen</vt:lpstr>
      <vt:lpstr>Personalkostnader</vt:lpstr>
      <vt:lpstr>    Ökande kostnader per anställd</vt:lpstr>
      <vt:lpstr>        Pensionsutbetalningar</vt:lpstr>
      <vt:lpstr>    Löneutvecklingen</vt:lpstr>
      <vt:lpstr>        Identiska individer eller kollektivet?</vt:lpstr>
      <vt:lpstr>        Lönenivåer</vt:lpstr>
    </vt:vector>
  </TitlesOfParts>
  <Company>Riksdagen</Company>
  <LinksUpToDate>false</LinksUpToDate>
  <CharactersWithSpaces>212182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2003-04-16T12:35:00Z</cp:lastPrinted>
  <dcterms:created xsi:type="dcterms:W3CDTF">2025-12-16T01:52:00Z</dcterms:created>
  <dcterms:modified xsi:type="dcterms:W3CDTF">2025-12-16T01:52:00Z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RR14</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