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D30" w:rsidRPr="000D4D30" w:rsidRDefault="000D4D30">
      <w:pPr>
        <w:pStyle w:val="Frslagsrubrik"/>
        <w:shd w:val="clear" w:color="000000" w:fill="auto"/>
      </w:pPr>
      <w:r w:rsidRPr="000D4D30">
        <w:t>Förslag till riksdagsbeslut</w:t>
      </w:r>
    </w:p>
    <w:p w:rsidR="000D4D30" w:rsidRPr="000D4D30" w:rsidRDefault="000D4D30">
      <w:pPr>
        <w:pStyle w:val="Hemstlatt"/>
        <w:shd w:val="clear" w:color="000000" w:fill="auto"/>
      </w:pPr>
      <w:r w:rsidRPr="000D4D30">
        <w:t>Riksdagen anvisar med följande ändringar i förhålla</w:t>
      </w:r>
      <w:r w:rsidRPr="000D4D30">
        <w:t>n</w:t>
      </w:r>
      <w:r w:rsidRPr="000D4D30">
        <w:t>de till regeringens förslag anslagen under utgiftsområde 16 Utbildning och universitetsforskning enligt uppställning:</w:t>
      </w:r>
    </w:p>
    <w:tbl>
      <w:tblPr>
        <w:tblW w:w="5810" w:type="dxa"/>
        <w:tblInd w:w="55" w:type="dxa"/>
        <w:tblLayout w:type="fixed"/>
        <w:tblCellMar>
          <w:left w:w="70" w:type="dxa"/>
          <w:right w:w="70" w:type="dxa"/>
        </w:tblCellMar>
        <w:tblLook w:val="0000" w:firstRow="0" w:lastRow="0" w:firstColumn="0" w:lastColumn="0" w:noHBand="0" w:noVBand="0"/>
      </w:tblPr>
      <w:tblGrid>
        <w:gridCol w:w="701"/>
        <w:gridCol w:w="2914"/>
        <w:gridCol w:w="1080"/>
        <w:gridCol w:w="1115"/>
      </w:tblGrid>
      <w:tr w:rsidR="00000000" w:rsidRPr="000D4D30">
        <w:trPr>
          <w:trHeight w:val="420"/>
        </w:trPr>
        <w:tc>
          <w:tcPr>
            <w:tcW w:w="701" w:type="dxa"/>
            <w:tcBorders>
              <w:top w:val="single" w:sz="4" w:space="0" w:color="auto"/>
              <w:left w:val="nil"/>
              <w:bottom w:val="single" w:sz="8" w:space="0" w:color="000000"/>
              <w:right w:val="nil"/>
            </w:tcBorders>
          </w:tcPr>
          <w:p w:rsidR="000D4D30" w:rsidRPr="000D4D30" w:rsidRDefault="000D4D30">
            <w:pPr>
              <w:shd w:val="clear" w:color="000000" w:fill="auto"/>
              <w:spacing w:line="120" w:lineRule="exact"/>
              <w:rPr>
                <w:b/>
                <w:bCs/>
                <w:color w:val="000000"/>
                <w:sz w:val="16"/>
                <w:szCs w:val="16"/>
              </w:rPr>
            </w:pPr>
            <w:r w:rsidRPr="000D4D30">
              <w:rPr>
                <w:b/>
                <w:bCs/>
                <w:color w:val="000000"/>
                <w:sz w:val="16"/>
                <w:szCs w:val="16"/>
              </w:rPr>
              <w:t>Anslag</w:t>
            </w:r>
          </w:p>
        </w:tc>
        <w:tc>
          <w:tcPr>
            <w:tcW w:w="2914" w:type="dxa"/>
            <w:tcBorders>
              <w:top w:val="single" w:sz="4" w:space="0" w:color="auto"/>
              <w:left w:val="nil"/>
              <w:bottom w:val="single" w:sz="8" w:space="0" w:color="000000"/>
              <w:right w:val="nil"/>
            </w:tcBorders>
          </w:tcPr>
          <w:p w:rsidR="000D4D30" w:rsidRPr="000D4D30" w:rsidRDefault="000D4D30">
            <w:pPr>
              <w:shd w:val="clear" w:color="000000" w:fill="auto"/>
              <w:spacing w:line="120" w:lineRule="exact"/>
              <w:rPr>
                <w:b/>
                <w:bCs/>
                <w:color w:val="000000"/>
                <w:sz w:val="16"/>
                <w:szCs w:val="16"/>
              </w:rPr>
            </w:pPr>
          </w:p>
        </w:tc>
        <w:tc>
          <w:tcPr>
            <w:tcW w:w="1080" w:type="dxa"/>
            <w:tcBorders>
              <w:top w:val="single" w:sz="4" w:space="0" w:color="auto"/>
              <w:left w:val="nil"/>
              <w:bottom w:val="single" w:sz="8" w:space="0" w:color="000000"/>
              <w:right w:val="nil"/>
            </w:tcBorders>
          </w:tcPr>
          <w:p w:rsidR="000D4D30" w:rsidRPr="000D4D30" w:rsidRDefault="000D4D30">
            <w:pPr>
              <w:shd w:val="clear" w:color="000000" w:fill="auto"/>
              <w:spacing w:line="120" w:lineRule="exact"/>
              <w:jc w:val="right"/>
              <w:rPr>
                <w:b/>
                <w:bCs/>
                <w:color w:val="000000"/>
                <w:sz w:val="16"/>
                <w:szCs w:val="16"/>
              </w:rPr>
            </w:pPr>
            <w:r w:rsidRPr="000D4D30">
              <w:rPr>
                <w:b/>
                <w:bCs/>
                <w:color w:val="000000"/>
                <w:sz w:val="16"/>
                <w:szCs w:val="16"/>
              </w:rPr>
              <w:t xml:space="preserve">Regeringens </w:t>
            </w:r>
          </w:p>
          <w:p w:rsidR="000D4D30" w:rsidRPr="000D4D30" w:rsidRDefault="000D4D30">
            <w:pPr>
              <w:shd w:val="clear" w:color="000000" w:fill="auto"/>
              <w:spacing w:line="120" w:lineRule="exact"/>
              <w:jc w:val="right"/>
              <w:rPr>
                <w:b/>
                <w:bCs/>
                <w:color w:val="000000"/>
                <w:sz w:val="16"/>
                <w:szCs w:val="16"/>
              </w:rPr>
            </w:pPr>
            <w:r w:rsidRPr="000D4D30">
              <w:rPr>
                <w:b/>
                <w:bCs/>
                <w:color w:val="000000"/>
                <w:sz w:val="16"/>
                <w:szCs w:val="16"/>
              </w:rPr>
              <w:t>förslag (tkr)</w:t>
            </w:r>
          </w:p>
        </w:tc>
        <w:tc>
          <w:tcPr>
            <w:tcW w:w="1115" w:type="dxa"/>
            <w:tcBorders>
              <w:top w:val="single" w:sz="4" w:space="0" w:color="auto"/>
              <w:left w:val="nil"/>
              <w:bottom w:val="single" w:sz="8" w:space="0" w:color="000000"/>
              <w:right w:val="nil"/>
            </w:tcBorders>
          </w:tcPr>
          <w:p w:rsidR="000D4D30" w:rsidRPr="000D4D30" w:rsidRDefault="000D4D30">
            <w:pPr>
              <w:shd w:val="clear" w:color="000000" w:fill="auto"/>
              <w:spacing w:line="120" w:lineRule="exact"/>
              <w:jc w:val="right"/>
              <w:rPr>
                <w:b/>
                <w:bCs/>
                <w:color w:val="000000"/>
                <w:sz w:val="16"/>
                <w:szCs w:val="16"/>
              </w:rPr>
            </w:pPr>
            <w:r w:rsidRPr="000D4D30">
              <w:rPr>
                <w:b/>
                <w:bCs/>
                <w:color w:val="000000"/>
                <w:sz w:val="16"/>
                <w:szCs w:val="16"/>
              </w:rPr>
              <w:t xml:space="preserve">Förändring </w:t>
            </w:r>
          </w:p>
          <w:p w:rsidR="000D4D30" w:rsidRPr="000D4D30" w:rsidRDefault="000D4D30">
            <w:pPr>
              <w:shd w:val="clear" w:color="000000" w:fill="auto"/>
              <w:spacing w:line="120" w:lineRule="exact"/>
              <w:jc w:val="right"/>
              <w:rPr>
                <w:b/>
                <w:bCs/>
                <w:color w:val="000000"/>
                <w:sz w:val="16"/>
                <w:szCs w:val="16"/>
              </w:rPr>
            </w:pPr>
            <w:r w:rsidRPr="000D4D30">
              <w:rPr>
                <w:b/>
                <w:bCs/>
                <w:color w:val="000000"/>
                <w:sz w:val="16"/>
                <w:szCs w:val="16"/>
              </w:rPr>
              <w:t>(tkr)</w:t>
            </w:r>
          </w:p>
        </w:tc>
      </w:tr>
      <w:tr w:rsidR="00000000" w:rsidRPr="000D4D30">
        <w:trPr>
          <w:trHeight w:val="319"/>
        </w:trPr>
        <w:tc>
          <w:tcPr>
            <w:tcW w:w="701" w:type="dxa"/>
            <w:tcBorders>
              <w:top w:val="nil"/>
              <w:left w:val="nil"/>
              <w:bottom w:val="nil"/>
              <w:right w:val="nil"/>
            </w:tcBorders>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1:5</w:t>
            </w:r>
          </w:p>
        </w:tc>
        <w:tc>
          <w:tcPr>
            <w:tcW w:w="2914" w:type="dxa"/>
            <w:tcBorders>
              <w:top w:val="nil"/>
              <w:left w:val="nil"/>
              <w:bottom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Utveckling av skolväsende, förskolever</w:t>
            </w:r>
            <w:r w:rsidRPr="000D4D30">
              <w:rPr>
                <w:color w:val="000000"/>
                <w:sz w:val="16"/>
                <w:szCs w:val="16"/>
              </w:rPr>
              <w:t>k</w:t>
            </w:r>
            <w:r w:rsidRPr="000D4D30">
              <w:rPr>
                <w:color w:val="000000"/>
                <w:sz w:val="16"/>
                <w:szCs w:val="16"/>
              </w:rPr>
              <w:t>samhet och skolbarnsomsorg</w:t>
            </w:r>
          </w:p>
        </w:tc>
        <w:tc>
          <w:tcPr>
            <w:tcW w:w="1080" w:type="dxa"/>
            <w:tcBorders>
              <w:top w:val="nil"/>
              <w:left w:val="nil"/>
              <w:bottom w:val="nil"/>
              <w:right w:val="nil"/>
            </w:tcBorders>
            <w:vAlign w:val="bottom"/>
          </w:tcPr>
          <w:p w:rsidR="000D4D30" w:rsidRPr="000D4D30" w:rsidRDefault="000D4D30">
            <w:pPr>
              <w:shd w:val="clear" w:color="000000" w:fill="auto"/>
              <w:spacing w:before="60" w:line="200" w:lineRule="exact"/>
              <w:jc w:val="right"/>
              <w:rPr>
                <w:color w:val="000000"/>
                <w:sz w:val="16"/>
                <w:szCs w:val="16"/>
              </w:rPr>
            </w:pPr>
            <w:r w:rsidRPr="000D4D30">
              <w:rPr>
                <w:color w:val="000000"/>
                <w:sz w:val="16"/>
                <w:szCs w:val="16"/>
              </w:rPr>
              <w:t>906 499</w:t>
            </w:r>
          </w:p>
        </w:tc>
        <w:tc>
          <w:tcPr>
            <w:tcW w:w="1115" w:type="dxa"/>
            <w:tcBorders>
              <w:top w:val="nil"/>
              <w:left w:val="nil"/>
              <w:bottom w:val="nil"/>
              <w:right w:val="nil"/>
            </w:tcBorders>
            <w:vAlign w:val="bottom"/>
          </w:tcPr>
          <w:p w:rsidR="000D4D30" w:rsidRPr="000D4D30" w:rsidRDefault="000D4D30">
            <w:pPr>
              <w:pStyle w:val="PunktlistaTankstreck"/>
              <w:numPr>
                <w:ilvl w:val="0"/>
                <w:numId w:val="0"/>
              </w:numPr>
              <w:shd w:val="clear" w:color="000000" w:fill="auto"/>
              <w:spacing w:before="60" w:line="200" w:lineRule="exact"/>
              <w:jc w:val="right"/>
              <w:rPr>
                <w:sz w:val="16"/>
                <w:szCs w:val="16"/>
              </w:rPr>
            </w:pPr>
            <w:r w:rsidRPr="000D4D30">
              <w:rPr>
                <w:sz w:val="16"/>
                <w:szCs w:val="16"/>
              </w:rPr>
              <w:t>– 300 000</w:t>
            </w:r>
          </w:p>
        </w:tc>
      </w:tr>
      <w:tr w:rsidR="00000000" w:rsidRPr="000D4D30">
        <w:trPr>
          <w:trHeight w:val="319"/>
        </w:trPr>
        <w:tc>
          <w:tcPr>
            <w:tcW w:w="701" w:type="dxa"/>
            <w:tcBorders>
              <w:top w:val="nil"/>
              <w:left w:val="nil"/>
              <w:bottom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1:11</w:t>
            </w:r>
          </w:p>
        </w:tc>
        <w:tc>
          <w:tcPr>
            <w:tcW w:w="2914" w:type="dxa"/>
            <w:tcBorders>
              <w:top w:val="nil"/>
              <w:left w:val="nil"/>
              <w:bottom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Förstärkning av basfärdigheter</w:t>
            </w:r>
          </w:p>
        </w:tc>
        <w:tc>
          <w:tcPr>
            <w:tcW w:w="1080" w:type="dxa"/>
            <w:tcBorders>
              <w:top w:val="nil"/>
              <w:left w:val="nil"/>
              <w:bottom w:val="nil"/>
              <w:right w:val="nil"/>
            </w:tcBorders>
            <w:vAlign w:val="bottom"/>
          </w:tcPr>
          <w:p w:rsidR="000D4D30" w:rsidRPr="000D4D30" w:rsidRDefault="000D4D30">
            <w:pPr>
              <w:shd w:val="clear" w:color="000000" w:fill="auto"/>
              <w:spacing w:before="60" w:line="200" w:lineRule="exact"/>
              <w:jc w:val="right"/>
              <w:rPr>
                <w:color w:val="000000"/>
                <w:sz w:val="16"/>
                <w:szCs w:val="16"/>
              </w:rPr>
            </w:pPr>
            <w:r w:rsidRPr="000D4D30">
              <w:rPr>
                <w:color w:val="000000"/>
                <w:sz w:val="16"/>
                <w:szCs w:val="16"/>
              </w:rPr>
              <w:t>500 000</w:t>
            </w:r>
          </w:p>
        </w:tc>
        <w:tc>
          <w:tcPr>
            <w:tcW w:w="1115" w:type="dxa"/>
            <w:tcBorders>
              <w:top w:val="nil"/>
              <w:left w:val="nil"/>
              <w:bottom w:val="nil"/>
              <w:right w:val="nil"/>
            </w:tcBorders>
            <w:vAlign w:val="bottom"/>
          </w:tcPr>
          <w:p w:rsidR="000D4D30" w:rsidRPr="000D4D30" w:rsidRDefault="000D4D30">
            <w:pPr>
              <w:pStyle w:val="PunktlistaTankstreck"/>
              <w:numPr>
                <w:ilvl w:val="0"/>
                <w:numId w:val="0"/>
              </w:numPr>
              <w:shd w:val="clear" w:color="000000" w:fill="auto"/>
              <w:spacing w:before="60" w:line="200" w:lineRule="exact"/>
              <w:jc w:val="right"/>
              <w:rPr>
                <w:sz w:val="16"/>
                <w:szCs w:val="16"/>
              </w:rPr>
            </w:pPr>
            <w:r w:rsidRPr="000D4D30">
              <w:rPr>
                <w:sz w:val="16"/>
                <w:szCs w:val="16"/>
              </w:rPr>
              <w:t>–500 000</w:t>
            </w:r>
          </w:p>
        </w:tc>
      </w:tr>
      <w:tr w:rsidR="00000000" w:rsidRPr="000D4D30">
        <w:trPr>
          <w:trHeight w:val="319"/>
        </w:trPr>
        <w:tc>
          <w:tcPr>
            <w:tcW w:w="701" w:type="dxa"/>
            <w:tcBorders>
              <w:top w:val="nil"/>
              <w:left w:val="nil"/>
              <w:bottom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1:15</w:t>
            </w:r>
          </w:p>
        </w:tc>
        <w:tc>
          <w:tcPr>
            <w:tcW w:w="2914" w:type="dxa"/>
            <w:tcBorders>
              <w:top w:val="nil"/>
              <w:left w:val="nil"/>
              <w:bottom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Statligt stöd till vuxenutbildning</w:t>
            </w:r>
          </w:p>
        </w:tc>
        <w:tc>
          <w:tcPr>
            <w:tcW w:w="1080" w:type="dxa"/>
            <w:tcBorders>
              <w:top w:val="nil"/>
              <w:left w:val="nil"/>
              <w:bottom w:val="nil"/>
              <w:right w:val="nil"/>
            </w:tcBorders>
            <w:vAlign w:val="bottom"/>
          </w:tcPr>
          <w:p w:rsidR="000D4D30" w:rsidRPr="000D4D30" w:rsidRDefault="000D4D30">
            <w:pPr>
              <w:shd w:val="clear" w:color="000000" w:fill="auto"/>
              <w:spacing w:before="60" w:line="200" w:lineRule="exact"/>
              <w:jc w:val="right"/>
              <w:rPr>
                <w:color w:val="000000"/>
                <w:sz w:val="16"/>
                <w:szCs w:val="16"/>
              </w:rPr>
            </w:pPr>
            <w:r w:rsidRPr="000D4D30">
              <w:rPr>
                <w:color w:val="000000"/>
                <w:sz w:val="16"/>
                <w:szCs w:val="16"/>
              </w:rPr>
              <w:t>608 708</w:t>
            </w:r>
          </w:p>
        </w:tc>
        <w:tc>
          <w:tcPr>
            <w:tcW w:w="1115" w:type="dxa"/>
            <w:tcBorders>
              <w:top w:val="nil"/>
              <w:left w:val="nil"/>
              <w:bottom w:val="nil"/>
              <w:right w:val="nil"/>
            </w:tcBorders>
            <w:vAlign w:val="bottom"/>
          </w:tcPr>
          <w:p w:rsidR="000D4D30" w:rsidRPr="000D4D30" w:rsidRDefault="000D4D30">
            <w:pPr>
              <w:pStyle w:val="PunktlistaTankstreck"/>
              <w:numPr>
                <w:ilvl w:val="0"/>
                <w:numId w:val="0"/>
              </w:numPr>
              <w:shd w:val="clear" w:color="000000" w:fill="auto"/>
              <w:spacing w:before="60" w:line="200" w:lineRule="exact"/>
              <w:jc w:val="right"/>
              <w:rPr>
                <w:sz w:val="16"/>
                <w:szCs w:val="16"/>
              </w:rPr>
            </w:pPr>
            <w:r w:rsidRPr="000D4D30">
              <w:rPr>
                <w:sz w:val="16"/>
                <w:szCs w:val="16"/>
              </w:rPr>
              <w:t>745 000</w:t>
            </w:r>
          </w:p>
        </w:tc>
      </w:tr>
      <w:tr w:rsidR="00000000" w:rsidRPr="000D4D30">
        <w:trPr>
          <w:trHeight w:val="319"/>
        </w:trPr>
        <w:tc>
          <w:tcPr>
            <w:tcW w:w="701" w:type="dxa"/>
            <w:tcBorders>
              <w:top w:val="nil"/>
              <w:left w:val="nil"/>
              <w:bottom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1:16</w:t>
            </w:r>
          </w:p>
        </w:tc>
        <w:tc>
          <w:tcPr>
            <w:tcW w:w="2914" w:type="dxa"/>
            <w:tcBorders>
              <w:top w:val="nil"/>
              <w:left w:val="nil"/>
              <w:bottom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Feministiskt självförsvar</w:t>
            </w:r>
          </w:p>
        </w:tc>
        <w:tc>
          <w:tcPr>
            <w:tcW w:w="1080" w:type="dxa"/>
            <w:tcBorders>
              <w:top w:val="nil"/>
              <w:left w:val="nil"/>
              <w:bottom w:val="nil"/>
              <w:right w:val="nil"/>
            </w:tcBorders>
            <w:vAlign w:val="bottom"/>
          </w:tcPr>
          <w:p w:rsidR="000D4D30" w:rsidRPr="000D4D30" w:rsidRDefault="000D4D30">
            <w:pPr>
              <w:shd w:val="clear" w:color="000000" w:fill="auto"/>
              <w:spacing w:before="60" w:line="200" w:lineRule="exact"/>
              <w:jc w:val="right"/>
              <w:rPr>
                <w:color w:val="000000"/>
                <w:sz w:val="16"/>
                <w:szCs w:val="16"/>
              </w:rPr>
            </w:pPr>
          </w:p>
        </w:tc>
        <w:tc>
          <w:tcPr>
            <w:tcW w:w="1115" w:type="dxa"/>
            <w:tcBorders>
              <w:top w:val="nil"/>
              <w:left w:val="nil"/>
              <w:bottom w:val="nil"/>
              <w:right w:val="nil"/>
            </w:tcBorders>
            <w:vAlign w:val="bottom"/>
          </w:tcPr>
          <w:p w:rsidR="000D4D30" w:rsidRPr="000D4D30" w:rsidRDefault="000D4D30">
            <w:pPr>
              <w:shd w:val="clear" w:color="000000" w:fill="auto"/>
              <w:spacing w:before="60" w:line="200" w:lineRule="exact"/>
              <w:jc w:val="right"/>
              <w:rPr>
                <w:color w:val="000000"/>
                <w:sz w:val="16"/>
                <w:szCs w:val="16"/>
              </w:rPr>
            </w:pPr>
            <w:r w:rsidRPr="000D4D30">
              <w:rPr>
                <w:color w:val="000000"/>
                <w:sz w:val="16"/>
                <w:szCs w:val="16"/>
              </w:rPr>
              <w:t>1 000</w:t>
            </w:r>
          </w:p>
        </w:tc>
      </w:tr>
      <w:tr w:rsidR="00000000" w:rsidRPr="000D4D30">
        <w:trPr>
          <w:trHeight w:val="319"/>
        </w:trPr>
        <w:tc>
          <w:tcPr>
            <w:tcW w:w="701" w:type="dxa"/>
            <w:tcBorders>
              <w:top w:val="nil"/>
              <w:left w:val="nil"/>
              <w:bottom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1:17</w:t>
            </w:r>
          </w:p>
        </w:tc>
        <w:tc>
          <w:tcPr>
            <w:tcW w:w="2914" w:type="dxa"/>
            <w:tcBorders>
              <w:top w:val="nil"/>
              <w:left w:val="nil"/>
              <w:bottom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Statlig finansiering av lärcentra</w:t>
            </w:r>
          </w:p>
        </w:tc>
        <w:tc>
          <w:tcPr>
            <w:tcW w:w="1080" w:type="dxa"/>
            <w:tcBorders>
              <w:top w:val="nil"/>
              <w:left w:val="nil"/>
              <w:bottom w:val="nil"/>
              <w:right w:val="nil"/>
            </w:tcBorders>
            <w:vAlign w:val="bottom"/>
          </w:tcPr>
          <w:p w:rsidR="000D4D30" w:rsidRPr="000D4D30" w:rsidRDefault="000D4D30">
            <w:pPr>
              <w:shd w:val="clear" w:color="000000" w:fill="auto"/>
              <w:spacing w:before="60" w:line="200" w:lineRule="exact"/>
              <w:jc w:val="right"/>
              <w:rPr>
                <w:color w:val="000000"/>
                <w:sz w:val="16"/>
                <w:szCs w:val="16"/>
              </w:rPr>
            </w:pPr>
          </w:p>
        </w:tc>
        <w:tc>
          <w:tcPr>
            <w:tcW w:w="1115" w:type="dxa"/>
            <w:tcBorders>
              <w:top w:val="nil"/>
              <w:left w:val="nil"/>
              <w:bottom w:val="nil"/>
              <w:right w:val="nil"/>
            </w:tcBorders>
            <w:vAlign w:val="bottom"/>
          </w:tcPr>
          <w:p w:rsidR="000D4D30" w:rsidRPr="000D4D30" w:rsidRDefault="000D4D30">
            <w:pPr>
              <w:shd w:val="clear" w:color="000000" w:fill="auto"/>
              <w:spacing w:before="60" w:line="200" w:lineRule="exact"/>
              <w:jc w:val="right"/>
              <w:rPr>
                <w:color w:val="000000"/>
                <w:sz w:val="16"/>
                <w:szCs w:val="16"/>
              </w:rPr>
            </w:pPr>
            <w:r w:rsidRPr="000D4D30">
              <w:rPr>
                <w:color w:val="000000"/>
                <w:sz w:val="16"/>
                <w:szCs w:val="16"/>
              </w:rPr>
              <w:t>300 000</w:t>
            </w:r>
          </w:p>
        </w:tc>
      </w:tr>
      <w:tr w:rsidR="00000000" w:rsidRPr="000D4D30">
        <w:trPr>
          <w:trHeight w:val="319"/>
        </w:trPr>
        <w:tc>
          <w:tcPr>
            <w:tcW w:w="701" w:type="dxa"/>
            <w:tcBorders>
              <w:top w:val="nil"/>
              <w:left w:val="nil"/>
              <w:right w:val="nil"/>
            </w:tcBorders>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2:54</w:t>
            </w:r>
          </w:p>
        </w:tc>
        <w:tc>
          <w:tcPr>
            <w:tcW w:w="2914" w:type="dxa"/>
            <w:tcBorders>
              <w:top w:val="nil"/>
              <w:left w:val="nil"/>
              <w:right w:val="nil"/>
            </w:tcBorders>
            <w:vAlign w:val="bottom"/>
          </w:tcPr>
          <w:p w:rsidR="000D4D30" w:rsidRPr="000D4D30" w:rsidRDefault="000D4D30">
            <w:pPr>
              <w:shd w:val="clear" w:color="000000" w:fill="auto"/>
              <w:spacing w:before="60" w:line="200" w:lineRule="exact"/>
              <w:rPr>
                <w:color w:val="000000"/>
                <w:sz w:val="16"/>
                <w:szCs w:val="16"/>
              </w:rPr>
            </w:pPr>
            <w:r w:rsidRPr="000D4D30">
              <w:rPr>
                <w:color w:val="000000"/>
                <w:sz w:val="16"/>
                <w:szCs w:val="16"/>
              </w:rPr>
              <w:t>Särskilda utgifter inom universitet och högskolor m.m.</w:t>
            </w:r>
          </w:p>
        </w:tc>
        <w:tc>
          <w:tcPr>
            <w:tcW w:w="1080" w:type="dxa"/>
            <w:tcBorders>
              <w:top w:val="nil"/>
              <w:left w:val="nil"/>
              <w:right w:val="nil"/>
            </w:tcBorders>
            <w:vAlign w:val="bottom"/>
          </w:tcPr>
          <w:p w:rsidR="000D4D30" w:rsidRPr="000D4D30" w:rsidRDefault="000D4D30">
            <w:pPr>
              <w:shd w:val="clear" w:color="000000" w:fill="auto"/>
              <w:spacing w:before="60" w:line="200" w:lineRule="exact"/>
              <w:jc w:val="right"/>
              <w:rPr>
                <w:color w:val="000000"/>
                <w:sz w:val="16"/>
                <w:szCs w:val="16"/>
              </w:rPr>
            </w:pPr>
            <w:r w:rsidRPr="000D4D30">
              <w:rPr>
                <w:color w:val="000000"/>
                <w:sz w:val="16"/>
                <w:szCs w:val="16"/>
              </w:rPr>
              <w:t>412 906</w:t>
            </w:r>
          </w:p>
        </w:tc>
        <w:tc>
          <w:tcPr>
            <w:tcW w:w="1115" w:type="dxa"/>
            <w:tcBorders>
              <w:top w:val="nil"/>
              <w:left w:val="nil"/>
              <w:right w:val="nil"/>
            </w:tcBorders>
            <w:vAlign w:val="bottom"/>
          </w:tcPr>
          <w:p w:rsidR="000D4D30" w:rsidRPr="000D4D30" w:rsidRDefault="000D4D30">
            <w:pPr>
              <w:shd w:val="clear" w:color="000000" w:fill="auto"/>
              <w:spacing w:before="60" w:line="200" w:lineRule="exact"/>
              <w:jc w:val="right"/>
              <w:rPr>
                <w:color w:val="000000"/>
                <w:sz w:val="16"/>
                <w:szCs w:val="16"/>
              </w:rPr>
            </w:pPr>
            <w:r w:rsidRPr="000D4D30">
              <w:rPr>
                <w:color w:val="000000"/>
                <w:sz w:val="16"/>
                <w:szCs w:val="16"/>
              </w:rPr>
              <w:t>812 000</w:t>
            </w:r>
          </w:p>
        </w:tc>
      </w:tr>
      <w:tr w:rsidR="00000000" w:rsidRPr="000D4D30">
        <w:trPr>
          <w:trHeight w:val="319"/>
        </w:trPr>
        <w:tc>
          <w:tcPr>
            <w:tcW w:w="701" w:type="dxa"/>
            <w:tcBorders>
              <w:top w:val="nil"/>
              <w:left w:val="nil"/>
              <w:bottom w:val="single" w:sz="4" w:space="0" w:color="auto"/>
              <w:right w:val="nil"/>
            </w:tcBorders>
            <w:vAlign w:val="bottom"/>
          </w:tcPr>
          <w:p w:rsidR="000D4D30" w:rsidRPr="000D4D30" w:rsidRDefault="000D4D30">
            <w:pPr>
              <w:shd w:val="clear" w:color="000000" w:fill="auto"/>
              <w:spacing w:before="60" w:line="200" w:lineRule="exact"/>
              <w:rPr>
                <w:b/>
                <w:bCs/>
                <w:color w:val="000000"/>
                <w:sz w:val="16"/>
                <w:szCs w:val="16"/>
              </w:rPr>
            </w:pPr>
          </w:p>
        </w:tc>
        <w:tc>
          <w:tcPr>
            <w:tcW w:w="2914" w:type="dxa"/>
            <w:tcBorders>
              <w:top w:val="nil"/>
              <w:left w:val="nil"/>
              <w:bottom w:val="single" w:sz="4" w:space="0" w:color="auto"/>
              <w:right w:val="nil"/>
            </w:tcBorders>
            <w:vAlign w:val="bottom"/>
          </w:tcPr>
          <w:p w:rsidR="000D4D30" w:rsidRPr="000D4D30" w:rsidRDefault="000D4D30">
            <w:pPr>
              <w:shd w:val="clear" w:color="000000" w:fill="auto"/>
              <w:spacing w:before="60" w:line="200" w:lineRule="exact"/>
              <w:rPr>
                <w:b/>
                <w:bCs/>
                <w:color w:val="000000"/>
                <w:sz w:val="16"/>
                <w:szCs w:val="16"/>
              </w:rPr>
            </w:pPr>
            <w:r w:rsidRPr="000D4D30">
              <w:rPr>
                <w:b/>
                <w:bCs/>
                <w:color w:val="000000"/>
                <w:sz w:val="16"/>
                <w:szCs w:val="16"/>
              </w:rPr>
              <w:t>Summa</w:t>
            </w:r>
          </w:p>
        </w:tc>
        <w:tc>
          <w:tcPr>
            <w:tcW w:w="1080" w:type="dxa"/>
            <w:tcBorders>
              <w:top w:val="nil"/>
              <w:left w:val="nil"/>
              <w:bottom w:val="single" w:sz="4" w:space="0" w:color="auto"/>
              <w:right w:val="nil"/>
            </w:tcBorders>
            <w:vAlign w:val="bottom"/>
          </w:tcPr>
          <w:p w:rsidR="000D4D30" w:rsidRPr="000D4D30" w:rsidRDefault="000D4D30">
            <w:pPr>
              <w:shd w:val="clear" w:color="000000" w:fill="auto"/>
              <w:spacing w:before="60" w:line="200" w:lineRule="exact"/>
              <w:jc w:val="right"/>
              <w:rPr>
                <w:b/>
                <w:bCs/>
                <w:color w:val="000000"/>
                <w:sz w:val="16"/>
                <w:szCs w:val="16"/>
              </w:rPr>
            </w:pPr>
          </w:p>
        </w:tc>
        <w:tc>
          <w:tcPr>
            <w:tcW w:w="1115" w:type="dxa"/>
            <w:tcBorders>
              <w:top w:val="nil"/>
              <w:left w:val="nil"/>
              <w:bottom w:val="single" w:sz="4" w:space="0" w:color="auto"/>
              <w:right w:val="nil"/>
            </w:tcBorders>
            <w:vAlign w:val="bottom"/>
          </w:tcPr>
          <w:p w:rsidR="000D4D30" w:rsidRPr="000D4D30" w:rsidRDefault="000D4D30">
            <w:pPr>
              <w:shd w:val="clear" w:color="000000" w:fill="auto"/>
              <w:spacing w:before="60" w:line="200" w:lineRule="exact"/>
              <w:jc w:val="right"/>
              <w:rPr>
                <w:b/>
                <w:bCs/>
                <w:color w:val="000000"/>
                <w:sz w:val="16"/>
                <w:szCs w:val="16"/>
              </w:rPr>
            </w:pPr>
            <w:r w:rsidRPr="000D4D30">
              <w:rPr>
                <w:b/>
                <w:bCs/>
                <w:color w:val="000000"/>
                <w:sz w:val="16"/>
                <w:szCs w:val="16"/>
              </w:rPr>
              <w:t>1 058 000</w:t>
            </w:r>
          </w:p>
        </w:tc>
      </w:tr>
    </w:tbl>
    <w:p w:rsidR="000D4D30" w:rsidRPr="000D4D30" w:rsidRDefault="000D4D30">
      <w:pPr>
        <w:shd w:val="clear" w:color="000000" w:fill="auto"/>
      </w:pPr>
    </w:p>
    <w:p w:rsidR="000D4D30" w:rsidRPr="000D4D30" w:rsidRDefault="000D4D30">
      <w:pPr>
        <w:pStyle w:val="Rubrik1"/>
        <w:shd w:val="clear" w:color="000000" w:fill="auto"/>
        <w:spacing w:before="480"/>
      </w:pPr>
      <w:r w:rsidRPr="000D4D30">
        <w:t>Gymnasieskolan ska ge kunskaper</w:t>
      </w:r>
    </w:p>
    <w:p w:rsidR="000D4D30" w:rsidRPr="000D4D30" w:rsidRDefault="000D4D30">
      <w:pPr>
        <w:shd w:val="clear" w:color="000000" w:fill="auto"/>
      </w:pPr>
      <w:r w:rsidRPr="000D4D30">
        <w:t>Vänsterpartiet anser att all gymnasieutbildning ska ge tillräckliga kunskaper för såväl fortsatta studier som arbets- och samhällsliv och anser därför att försöket med lärlingsutbildning ska upphöra eftersom antalet kurser reduc</w:t>
      </w:r>
      <w:r w:rsidRPr="000D4D30">
        <w:t>e</w:t>
      </w:r>
      <w:r w:rsidRPr="000D4D30">
        <w:t>ras. Vi minskar anslag 1:5 med 400 000 kronor 2010 som är avsedda att gå till denna försöksverksamhet.</w:t>
      </w:r>
    </w:p>
    <w:p w:rsidR="000D4D30" w:rsidRPr="000D4D30" w:rsidRDefault="000D4D30">
      <w:pPr>
        <w:pStyle w:val="Rubrik1"/>
        <w:shd w:val="clear" w:color="000000" w:fill="auto"/>
      </w:pPr>
      <w:r w:rsidRPr="000D4D30">
        <w:lastRenderedPageBreak/>
        <w:t>Satsa på skolan</w:t>
      </w:r>
    </w:p>
    <w:p w:rsidR="000D4D30" w:rsidRPr="000D4D30" w:rsidRDefault="000D4D30">
      <w:pPr>
        <w:shd w:val="clear" w:color="000000" w:fill="auto"/>
      </w:pPr>
      <w:r w:rsidRPr="000D4D30">
        <w:t>För att stärka alla elevers rätt till kunskaper anser Vänsterpartiet att det b</w:t>
      </w:r>
      <w:r w:rsidRPr="000D4D30">
        <w:t>e</w:t>
      </w:r>
      <w:r w:rsidRPr="000D4D30">
        <w:t>hövs en permanent förstärkning av skolans resurser. Framför allt behövs det fler vuxna i skolan. Det behövs pedagogisk personal som kan hjälpa eleverna i deras lärande men även personal som kan ge stöd på annat sätt. Det innebär att vi avvisar den kortsiktiga resursförstärkning på 500 000 kronor för 2010 som regeringen föreslår under anslag 1:11.</w:t>
      </w:r>
    </w:p>
    <w:p w:rsidR="000D4D30" w:rsidRPr="000D4D30" w:rsidRDefault="000D4D30">
      <w:pPr>
        <w:pStyle w:val="Rubrik1"/>
        <w:shd w:val="clear" w:color="000000" w:fill="auto"/>
      </w:pPr>
      <w:r w:rsidRPr="000D4D30">
        <w:t>Ungdomspaket</w:t>
      </w:r>
    </w:p>
    <w:p w:rsidR="000D4D30" w:rsidRPr="000D4D30" w:rsidRDefault="000D4D30">
      <w:pPr>
        <w:shd w:val="clear" w:color="000000" w:fill="auto"/>
      </w:pPr>
      <w:r w:rsidRPr="000D4D30">
        <w:t>Vänsterpartiet har tillsammans med Socialdemokraterna och Miljöpartiet kommit överens om åtgärder för att minska ungdomsarbetslösheten bl.a. g</w:t>
      </w:r>
      <w:r w:rsidRPr="000D4D30">
        <w:t>e</w:t>
      </w:r>
      <w:r w:rsidRPr="000D4D30">
        <w:t>nom att ge bättre möjligheter att studera.</w:t>
      </w:r>
    </w:p>
    <w:p w:rsidR="000D4D30" w:rsidRPr="000D4D30" w:rsidRDefault="000D4D30">
      <w:pPr>
        <w:pStyle w:val="Normaltindrag"/>
        <w:shd w:val="clear" w:color="000000" w:fill="auto"/>
      </w:pPr>
      <w:r w:rsidRPr="000D4D30">
        <w:t>Anslag 1:5 ökar med 100 000 kronor 2010 som en följd att vi föreslår en förstärkning av studie- och yrkesvägledningen i gymnasieskolan. Under a</w:t>
      </w:r>
      <w:r w:rsidRPr="000D4D30">
        <w:t>n</w:t>
      </w:r>
      <w:r w:rsidRPr="000D4D30">
        <w:t>slag 2:54 finns också en förstärkning med 100 000 kronor 2010 som ska a</w:t>
      </w:r>
      <w:r w:rsidRPr="000D4D30">
        <w:t>n</w:t>
      </w:r>
      <w:r w:rsidRPr="000D4D30">
        <w:t>vändas för praktik och karriärvägledning vid högskolan.</w:t>
      </w:r>
    </w:p>
    <w:p w:rsidR="000D4D30" w:rsidRPr="000D4D30" w:rsidRDefault="000D4D30">
      <w:pPr>
        <w:pStyle w:val="Normaltindrag"/>
        <w:shd w:val="clear" w:color="000000" w:fill="auto"/>
      </w:pPr>
      <w:r w:rsidRPr="000D4D30">
        <w:t>Vi föreslår ett ungdomslyft med 10 000 fler platser på Komvux samt 700 fler platser inom yrkeshögskolan. Anslag 1:15 ökar därför med 545 000 kr</w:t>
      </w:r>
      <w:r w:rsidRPr="000D4D30">
        <w:t>o</w:t>
      </w:r>
      <w:r w:rsidRPr="000D4D30">
        <w:t>nor.</w:t>
      </w:r>
    </w:p>
    <w:p w:rsidR="000D4D30" w:rsidRPr="000D4D30" w:rsidRDefault="000D4D30">
      <w:pPr>
        <w:pStyle w:val="Normaltindrag"/>
        <w:shd w:val="clear" w:color="000000" w:fill="auto"/>
      </w:pPr>
      <w:r w:rsidRPr="000D4D30">
        <w:t>Högskolan utökas med 2 500 platser, vilket innebär att anslag 2:54 fö</w:t>
      </w:r>
      <w:r w:rsidRPr="000D4D30">
        <w:t>r</w:t>
      </w:r>
      <w:r w:rsidRPr="000D4D30">
        <w:t>stärks med 122 000 kronor. Samma anslag, 2:54, ökar också med 400 000 kronor tack vare att vi föreslår en kvalitetförstärkning av högskoleutbildning.</w:t>
      </w:r>
    </w:p>
    <w:p w:rsidR="000D4D30" w:rsidRPr="000D4D30" w:rsidRDefault="000D4D30">
      <w:pPr>
        <w:pStyle w:val="Normaltindrag"/>
        <w:shd w:val="clear" w:color="000000" w:fill="auto"/>
      </w:pPr>
      <w:r w:rsidRPr="000D4D30">
        <w:t>Fler utbildningsplatser innebär fler studerande med studiemedel, och kos</w:t>
      </w:r>
      <w:r w:rsidRPr="000D4D30">
        <w:t>t</w:t>
      </w:r>
      <w:r w:rsidRPr="000D4D30">
        <w:t>naderna för detta återfinns i motion 2009/10:Ub383 Utgiftsområde 15 Studi</w:t>
      </w:r>
      <w:r w:rsidRPr="000D4D30">
        <w:t>e</w:t>
      </w:r>
      <w:r w:rsidRPr="000D4D30">
        <w:t>stöd.</w:t>
      </w:r>
    </w:p>
    <w:p w:rsidR="000D4D30" w:rsidRPr="000D4D30" w:rsidRDefault="000D4D30">
      <w:pPr>
        <w:pStyle w:val="Rubrik1"/>
        <w:shd w:val="clear" w:color="000000" w:fill="auto"/>
      </w:pPr>
      <w:r w:rsidRPr="000D4D30">
        <w:t>Kunskapslyft 2.0</w:t>
      </w:r>
    </w:p>
    <w:p w:rsidR="000D4D30" w:rsidRPr="000D4D30" w:rsidRDefault="000D4D30">
      <w:pPr>
        <w:shd w:val="clear" w:color="000000" w:fill="auto"/>
      </w:pPr>
      <w:r w:rsidRPr="000D4D30">
        <w:t>Många människor behöver komplettera sin tidigare utbildning eller skaffa sig en yrkesutbildning. Kunskapslyftet 2.0 innebär fler utbildningsplatser inom komvux. År 2010 inrättas 5 000 fler platser, vilket ökar till 10 000 platser 2011 och 2012. Vi förstärker därför anslag 1:15 med 200 000 kronor 2010. Detta medför också ökade kostnader för studiemedel vilket redovisas i motion 2009/10:Ub383 Utgiftsområde 15 Studiestöd.</w:t>
      </w:r>
    </w:p>
    <w:p w:rsidR="000D4D30" w:rsidRPr="000D4D30" w:rsidRDefault="000D4D30">
      <w:pPr>
        <w:pStyle w:val="Rubrik1"/>
        <w:shd w:val="clear" w:color="000000" w:fill="auto"/>
      </w:pPr>
      <w:r w:rsidRPr="000D4D30">
        <w:t>Avgiftsfri högskola</w:t>
      </w:r>
    </w:p>
    <w:p w:rsidR="000D4D30" w:rsidRPr="000D4D30" w:rsidRDefault="000D4D30">
      <w:pPr>
        <w:shd w:val="clear" w:color="000000" w:fill="auto"/>
      </w:pPr>
      <w:r w:rsidRPr="000D4D30">
        <w:t>I budgetpropositionen aviserar regeringen en kommande proposition om att införa studieavgifter för studenter utanför EES-området. För Vänsterpartiet är det en grundläggande princip att utbildning skall vara avgiftsfri för individen. Kunskap är en demokratisk rättighet, och när regeringen nu har för avsikt att avgiftsbelägga högskoleutbildning är det steg mot en helt ny syn på utbil</w:t>
      </w:r>
      <w:r w:rsidRPr="000D4D30">
        <w:t>d</w:t>
      </w:r>
      <w:r w:rsidRPr="000D4D30">
        <w:t>ning, dvs. utbildning som handelsvara, vilket också riskerar att vara steg bort från de värden om frihet, jämlikhet, kritisk granskning och vetenskaplighet som högre utbildning står för i dag. Vi återkommer dock i den frågan när regeringen lägger fram sin proposition.</w:t>
      </w:r>
    </w:p>
    <w:p w:rsidR="000D4D30" w:rsidRPr="000D4D30" w:rsidRDefault="000D4D30">
      <w:pPr>
        <w:pStyle w:val="Rubrik1"/>
        <w:shd w:val="clear" w:color="000000" w:fill="auto"/>
      </w:pPr>
      <w:r w:rsidRPr="000D4D30">
        <w:t>Lärarutbildning</w:t>
      </w:r>
    </w:p>
    <w:p w:rsidR="000D4D30" w:rsidRPr="000D4D30" w:rsidRDefault="000D4D30">
      <w:pPr>
        <w:shd w:val="clear" w:color="000000" w:fill="auto"/>
      </w:pPr>
      <w:r w:rsidRPr="000D4D30">
        <w:t>Ett stort problem med den nuvarande lärarutbildningen är att inte alla exam</w:t>
      </w:r>
      <w:r w:rsidRPr="000D4D30">
        <w:t>i</w:t>
      </w:r>
      <w:r w:rsidRPr="000D4D30">
        <w:t>na ger behörighet till forskarutbildning. Regeringen har aviserat att det ko</w:t>
      </w:r>
      <w:r w:rsidRPr="000D4D30">
        <w:t>m</w:t>
      </w:r>
      <w:r w:rsidRPr="000D4D30">
        <w:t>mer en proposition om lärarutbildningen i december, men man har inte ansl</w:t>
      </w:r>
      <w:r w:rsidRPr="000D4D30">
        <w:t>a</w:t>
      </w:r>
      <w:r w:rsidRPr="000D4D30">
        <w:t>git några extra resurser som skulle kunna möjliggöra en förlängning av lära</w:t>
      </w:r>
      <w:r w:rsidRPr="000D4D30">
        <w:t>r</w:t>
      </w:r>
      <w:r w:rsidRPr="000D4D30">
        <w:t>examen med inriktning mot undervisning i förskola, förskoleklass, grundsk</w:t>
      </w:r>
      <w:r w:rsidRPr="000D4D30">
        <w:t>o</w:t>
      </w:r>
      <w:r w:rsidRPr="000D4D30">
        <w:t>lans tidigare år och fritidshem samt undervisning i modersmål. Vi anslår dä</w:t>
      </w:r>
      <w:r w:rsidRPr="000D4D30">
        <w:t>r</w:t>
      </w:r>
      <w:r w:rsidRPr="000D4D30">
        <w:t>för 120 000 kronor under anslag 2:54 för en förlängning av vissa examina inom lärarutbildningen så att de ges på avancerad nivå.</w:t>
      </w:r>
    </w:p>
    <w:p w:rsidR="000D4D30" w:rsidRPr="000D4D30" w:rsidRDefault="000D4D30">
      <w:pPr>
        <w:pStyle w:val="Rubrik1"/>
        <w:shd w:val="clear" w:color="000000" w:fill="auto"/>
      </w:pPr>
      <w:r w:rsidRPr="000D4D30">
        <w:t>Femin</w:t>
      </w:r>
      <w:r w:rsidRPr="000D4D30">
        <w:t>istiskt självförsvar</w:t>
      </w:r>
    </w:p>
    <w:p w:rsidR="000D4D30" w:rsidRPr="000D4D30" w:rsidRDefault="000D4D30">
      <w:pPr>
        <w:shd w:val="clear" w:color="000000" w:fill="auto"/>
      </w:pPr>
      <w:r w:rsidRPr="000D4D30">
        <w:t>I vår motion 2009/10:Ub356 En skola för jämställdhet föreslår vi att femini</w:t>
      </w:r>
      <w:r w:rsidRPr="000D4D30">
        <w:t>s</w:t>
      </w:r>
      <w:r w:rsidRPr="000D4D30">
        <w:t>tiskt självförsvar bör erbjudas alla flickor från årskurs 7. Under detta utgift</w:t>
      </w:r>
      <w:r w:rsidRPr="000D4D30">
        <w:t>s</w:t>
      </w:r>
      <w:r w:rsidRPr="000D4D30">
        <w:t>område avsätter vi totalt 5 miljoner kronor för att stärka arbetet med femini</w:t>
      </w:r>
      <w:r w:rsidRPr="000D4D30">
        <w:t>s</w:t>
      </w:r>
      <w:r w:rsidRPr="000D4D30">
        <w:t>tiskt självförsvar ute på skolorna varav 1 000 kronor 2010 under ett nytt a</w:t>
      </w:r>
      <w:r w:rsidRPr="000D4D30">
        <w:t>n</w:t>
      </w:r>
      <w:r w:rsidRPr="000D4D30">
        <w:t>slag 1:16 Feministiskt självförsvar.</w:t>
      </w:r>
    </w:p>
    <w:p w:rsidR="000D4D30" w:rsidRPr="000D4D30" w:rsidRDefault="000D4D30">
      <w:pPr>
        <w:pStyle w:val="Rubrik1"/>
        <w:shd w:val="clear" w:color="000000" w:fill="auto"/>
      </w:pPr>
      <w:r w:rsidRPr="000D4D30">
        <w:t>Lärcentrum</w:t>
      </w:r>
    </w:p>
    <w:p w:rsidR="000D4D30" w:rsidRPr="000D4D30" w:rsidRDefault="000D4D30">
      <w:pPr>
        <w:shd w:val="clear" w:color="000000" w:fill="auto"/>
      </w:pPr>
      <w:r w:rsidRPr="000D4D30">
        <w:t>För att förtydliga statens ansvar för att tillhandahålla en fungerande infr</w:t>
      </w:r>
      <w:r w:rsidRPr="000D4D30">
        <w:t>a</w:t>
      </w:r>
      <w:r w:rsidRPr="000D4D30">
        <w:t>struktur för studier på distans bör staten överta ansvaret för finansieringen av kommunala lärcentrum vilket beräknas medföra ökade kostnader med 300 000 kronor årligen fr.o.m. 2010, vilket återfinns under anslag 1:17.</w:t>
      </w:r>
    </w:p>
    <w:p w:rsidR="000D4D30" w:rsidRPr="000D4D30" w:rsidRDefault="000D4D30">
      <w:pPr>
        <w:pStyle w:val="Rubrik1"/>
        <w:shd w:val="clear" w:color="000000" w:fill="auto"/>
      </w:pPr>
      <w:r w:rsidRPr="000D4D30">
        <w:t>Studentinflytande och studiesocial verksamhet</w:t>
      </w:r>
    </w:p>
    <w:p w:rsidR="000D4D30" w:rsidRPr="000D4D30" w:rsidRDefault="000D4D30">
      <w:pPr>
        <w:shd w:val="clear" w:color="000000" w:fill="auto"/>
      </w:pPr>
      <w:r w:rsidRPr="000D4D30">
        <w:t>Vi föreslår att anslag 2:54 förstärks med 70 000 kronor 2010 för att finansiera studentinflytande och studiesocial verksamhet efter kårobligatoriets upph</w:t>
      </w:r>
      <w:r w:rsidRPr="000D4D30">
        <w:t>ö</w:t>
      </w:r>
      <w:r w:rsidRPr="000D4D30">
        <w:t>rande. För en närmare motivering hänvisar vi till vår motion 2009/10:Ub357 Studenters sociala och ekonomiska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4D30">
        <w:trPr>
          <w:cantSplit/>
        </w:trPr>
        <w:tc>
          <w:tcPr>
            <w:tcW w:w="3046" w:type="dxa"/>
          </w:tcPr>
          <w:p w:rsidR="000D4D30" w:rsidRPr="000D4D30" w:rsidRDefault="000D4D30">
            <w:pPr>
              <w:pStyle w:val="UnderskriftDatum"/>
              <w:shd w:val="clear" w:color="000000" w:fill="auto"/>
              <w:spacing w:before="240"/>
            </w:pPr>
            <w:r w:rsidRPr="000D4D30">
              <w:t>Stockholm den 3 oktober 2009</w:t>
            </w:r>
          </w:p>
        </w:tc>
        <w:tc>
          <w:tcPr>
            <w:tcW w:w="3047" w:type="dxa"/>
          </w:tcPr>
          <w:p w:rsidR="000D4D30" w:rsidRPr="000D4D30" w:rsidRDefault="000D4D30">
            <w:pPr>
              <w:pStyle w:val="Underskrifter"/>
              <w:shd w:val="clear" w:color="000000" w:fill="auto"/>
              <w:spacing w:before="240"/>
            </w:pPr>
          </w:p>
        </w:tc>
      </w:tr>
      <w:tr w:rsidR="00000000" w:rsidRPr="000D4D30">
        <w:trPr>
          <w:cantSplit/>
        </w:trPr>
        <w:tc>
          <w:tcPr>
            <w:tcW w:w="3046" w:type="dxa"/>
          </w:tcPr>
          <w:p w:rsidR="000D4D30" w:rsidRPr="000D4D30" w:rsidRDefault="000D4D30">
            <w:pPr>
              <w:pStyle w:val="Underskrifter"/>
              <w:shd w:val="clear" w:color="000000" w:fill="auto"/>
            </w:pPr>
            <w:r w:rsidRPr="000D4D30">
              <w:t>Lars Ohly (v)</w:t>
            </w:r>
          </w:p>
        </w:tc>
        <w:tc>
          <w:tcPr>
            <w:tcW w:w="3046" w:type="dxa"/>
          </w:tcPr>
          <w:p w:rsidR="000D4D30" w:rsidRPr="000D4D30" w:rsidRDefault="000D4D30">
            <w:pPr>
              <w:pStyle w:val="Underskrifter"/>
              <w:shd w:val="clear" w:color="000000" w:fill="auto"/>
            </w:pPr>
          </w:p>
        </w:tc>
      </w:tr>
      <w:tr w:rsidR="00000000" w:rsidRPr="000D4D30">
        <w:trPr>
          <w:cantSplit/>
        </w:trPr>
        <w:tc>
          <w:tcPr>
            <w:tcW w:w="3046" w:type="dxa"/>
          </w:tcPr>
          <w:p w:rsidR="000D4D30" w:rsidRPr="000D4D30" w:rsidRDefault="000D4D30">
            <w:pPr>
              <w:pStyle w:val="Underskrifter"/>
              <w:shd w:val="clear" w:color="000000" w:fill="auto"/>
            </w:pPr>
            <w:r w:rsidRPr="000D4D30">
              <w:t>Marianne Berg (v)</w:t>
            </w:r>
          </w:p>
        </w:tc>
        <w:tc>
          <w:tcPr>
            <w:tcW w:w="3046" w:type="dxa"/>
          </w:tcPr>
          <w:p w:rsidR="000D4D30" w:rsidRPr="000D4D30" w:rsidRDefault="000D4D30">
            <w:pPr>
              <w:pStyle w:val="Underskrifter"/>
              <w:shd w:val="clear" w:color="000000" w:fill="auto"/>
            </w:pPr>
            <w:r w:rsidRPr="000D4D30">
              <w:t>Jacob Johnson (v)</w:t>
            </w:r>
          </w:p>
        </w:tc>
      </w:tr>
      <w:tr w:rsidR="00000000" w:rsidRPr="000D4D30">
        <w:trPr>
          <w:cantSplit/>
        </w:trPr>
        <w:tc>
          <w:tcPr>
            <w:tcW w:w="3046" w:type="dxa"/>
          </w:tcPr>
          <w:p w:rsidR="000D4D30" w:rsidRPr="000D4D30" w:rsidRDefault="000D4D30">
            <w:pPr>
              <w:pStyle w:val="Underskrifter"/>
              <w:shd w:val="clear" w:color="000000" w:fill="auto"/>
            </w:pPr>
            <w:r w:rsidRPr="000D4D30">
              <w:t>Hans Linde (v)</w:t>
            </w:r>
          </w:p>
        </w:tc>
        <w:tc>
          <w:tcPr>
            <w:tcW w:w="3046" w:type="dxa"/>
          </w:tcPr>
          <w:p w:rsidR="000D4D30" w:rsidRPr="000D4D30" w:rsidRDefault="000D4D30">
            <w:pPr>
              <w:pStyle w:val="Underskrifter"/>
              <w:shd w:val="clear" w:color="000000" w:fill="auto"/>
            </w:pPr>
            <w:r w:rsidRPr="000D4D30">
              <w:t>Elina Linna (v)</w:t>
            </w:r>
          </w:p>
        </w:tc>
      </w:tr>
      <w:tr w:rsidR="00000000" w:rsidRPr="000D4D30">
        <w:trPr>
          <w:cantSplit/>
        </w:trPr>
        <w:tc>
          <w:tcPr>
            <w:tcW w:w="3046" w:type="dxa"/>
          </w:tcPr>
          <w:p w:rsidR="000D4D30" w:rsidRPr="000D4D30" w:rsidRDefault="000D4D30">
            <w:pPr>
              <w:pStyle w:val="Underskrifter"/>
              <w:shd w:val="clear" w:color="000000" w:fill="auto"/>
            </w:pPr>
            <w:r w:rsidRPr="000D4D30">
              <w:t>Lena Olsson (v)</w:t>
            </w:r>
          </w:p>
        </w:tc>
        <w:tc>
          <w:tcPr>
            <w:tcW w:w="3046" w:type="dxa"/>
          </w:tcPr>
          <w:p w:rsidR="000D4D30" w:rsidRPr="000D4D30" w:rsidRDefault="000D4D30">
            <w:pPr>
              <w:pStyle w:val="Underskrifter"/>
              <w:shd w:val="clear" w:color="000000" w:fill="auto"/>
            </w:pPr>
            <w:r w:rsidRPr="000D4D30">
              <w:t>Alice Åström (v)</w:t>
            </w:r>
          </w:p>
        </w:tc>
      </w:tr>
      <w:tr w:rsidR="00000000" w:rsidRPr="000D4D30">
        <w:trPr>
          <w:cantSplit/>
        </w:trPr>
        <w:tc>
          <w:tcPr>
            <w:tcW w:w="3046" w:type="dxa"/>
          </w:tcPr>
          <w:p w:rsidR="000D4D30" w:rsidRPr="000D4D30" w:rsidRDefault="000D4D30">
            <w:pPr>
              <w:pStyle w:val="Underskrifter"/>
              <w:shd w:val="clear" w:color="000000" w:fill="auto"/>
            </w:pPr>
            <w:r w:rsidRPr="000D4D30">
              <w:t>Rossana Dinamarca (v)</w:t>
            </w:r>
          </w:p>
        </w:tc>
        <w:tc>
          <w:tcPr>
            <w:tcW w:w="3046" w:type="dxa"/>
          </w:tcPr>
          <w:p w:rsidR="000D4D30" w:rsidRPr="000D4D30" w:rsidRDefault="000D4D30">
            <w:pPr>
              <w:pStyle w:val="Underskrifter"/>
              <w:shd w:val="clear" w:color="000000" w:fill="auto"/>
            </w:pPr>
          </w:p>
        </w:tc>
      </w:tr>
    </w:tbl>
    <w:p w:rsidR="000D4D30" w:rsidRPr="000D4D30" w:rsidRDefault="000D4D30">
      <w:pPr>
        <w:pStyle w:val="Normaltindrag"/>
        <w:shd w:val="clear" w:color="000000" w:fill="auto"/>
      </w:pPr>
    </w:p>
    <w:sectPr w:rsidR="00000000" w:rsidRPr="000D4D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D30" w:rsidRPr="000D4D30" w:rsidRDefault="000D4D30">
      <w:r w:rsidRPr="000D4D30">
        <w:separator/>
      </w:r>
    </w:p>
  </w:endnote>
  <w:endnote w:type="continuationSeparator" w:id="0">
    <w:p w:rsidR="000D4D30" w:rsidRPr="000D4D30" w:rsidRDefault="000D4D30">
      <w:r w:rsidRPr="000D4D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30" w:rsidRPr="000D4D30" w:rsidRDefault="000D4D30">
    <w:pPr>
      <w:pStyle w:val="Sidfot"/>
    </w:pPr>
    <w:r w:rsidRPr="000D4D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71587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30" w:rsidRDefault="000D4D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D30" w:rsidRDefault="000D4D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30" w:rsidRPr="000D4D30" w:rsidRDefault="000D4D30">
    <w:pPr>
      <w:pStyle w:val="Sidfot"/>
    </w:pPr>
    <w:r w:rsidRPr="000D4D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17237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30" w:rsidRDefault="000D4D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D30" w:rsidRDefault="000D4D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30" w:rsidRPr="000D4D30" w:rsidRDefault="000D4D30">
    <w:pPr>
      <w:pStyle w:val="Sidfot"/>
    </w:pPr>
    <w:r w:rsidRPr="000D4D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99916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30" w:rsidRDefault="000D4D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D30" w:rsidRDefault="000D4D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D30" w:rsidRPr="000D4D30" w:rsidRDefault="000D4D30">
      <w:r w:rsidRPr="000D4D30">
        <w:separator/>
      </w:r>
    </w:p>
  </w:footnote>
  <w:footnote w:type="continuationSeparator" w:id="0">
    <w:p w:rsidR="000D4D30" w:rsidRPr="000D4D30" w:rsidRDefault="000D4D30">
      <w:r w:rsidRPr="000D4D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30" w:rsidRPr="000D4D30" w:rsidRDefault="000D4D30">
    <w:pPr>
      <w:pStyle w:val="Sidhuvud"/>
    </w:pPr>
    <w:r w:rsidRPr="000D4D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82039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30" w:rsidRDefault="000D4D3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D30" w:rsidRDefault="000D4D3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30" w:rsidRPr="000D4D30" w:rsidRDefault="000D4D30">
    <w:pPr>
      <w:pStyle w:val="Sidhuvud"/>
    </w:pPr>
    <w:r w:rsidRPr="000D4D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12578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30" w:rsidRDefault="000D4D3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D30" w:rsidRDefault="000D4D3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30" w:rsidRPr="000D4D30" w:rsidRDefault="000D4D30">
    <w:pPr>
      <w:pStyle w:val="FSHNormal"/>
      <w:tabs>
        <w:tab w:val="right" w:pos="5840"/>
      </w:tabs>
    </w:pPr>
    <w:r w:rsidRPr="000D4D30">
      <w:br/>
    </w:r>
    <w:r w:rsidRPr="000D4D30">
      <w:fldChar w:fldCharType="begin" w:fldLock="1"/>
    </w:r>
    <w:r w:rsidRPr="000D4D30">
      <w:instrText xml:space="preserve"> DOCPROPERTY</w:instrText>
    </w:r>
    <w:r w:rsidRPr="000D4D30">
      <w:rPr>
        <w:sz w:val="18"/>
      </w:rPr>
      <w:instrText xml:space="preserve"> "YearUser" *\charformat </w:instrText>
    </w:r>
    <w:r w:rsidRPr="000D4D30">
      <w:fldChar w:fldCharType="separate"/>
    </w:r>
    <w:r w:rsidRPr="000D4D30">
      <w:t>2009/10</w:t>
    </w:r>
    <w:r w:rsidRPr="000D4D30">
      <w:fldChar w:fldCharType="end"/>
    </w:r>
    <w:r w:rsidRPr="000D4D30">
      <w:t xml:space="preserve"> </w:t>
    </w:r>
    <w:r w:rsidRPr="000D4D30">
      <w:tab/>
      <w:t xml:space="preserve">mnr: </w:t>
    </w:r>
    <w:r w:rsidRPr="000D4D30">
      <w:fldChar w:fldCharType="begin" w:fldLock="1"/>
    </w:r>
    <w:r w:rsidRPr="000D4D30">
      <w:instrText xml:space="preserve"> DOCPROPERTY</w:instrText>
    </w:r>
    <w:r w:rsidRPr="000D4D30">
      <w:rPr>
        <w:sz w:val="18"/>
      </w:rPr>
      <w:instrText xml:space="preserve"> "Motionsnummer" *\charformat </w:instrText>
    </w:r>
    <w:r w:rsidRPr="000D4D30">
      <w:fldChar w:fldCharType="separate"/>
    </w:r>
    <w:r w:rsidRPr="000D4D30">
      <w:t>Ub350</w:t>
    </w:r>
    <w:r w:rsidRPr="000D4D30">
      <w:fldChar w:fldCharType="end"/>
    </w:r>
    <w:r w:rsidRPr="000D4D30">
      <w:br/>
    </w:r>
    <w:r w:rsidRPr="000D4D30">
      <w:fldChar w:fldCharType="begin" w:fldLock="1"/>
    </w:r>
    <w:r w:rsidRPr="000D4D30">
      <w:instrText xml:space="preserve"> DOCPROPERTY</w:instrText>
    </w:r>
    <w:r w:rsidRPr="000D4D30">
      <w:rPr>
        <w:sz w:val="18"/>
      </w:rPr>
      <w:instrText xml:space="preserve"> "Samling" *\charformat </w:instrText>
    </w:r>
    <w:r w:rsidRPr="000D4D30">
      <w:fldChar w:fldCharType="end"/>
    </w:r>
    <w:r w:rsidRPr="000D4D30">
      <w:tab/>
      <w:t xml:space="preserve">pnr: </w:t>
    </w:r>
    <w:r w:rsidRPr="000D4D30">
      <w:fldChar w:fldCharType="begin" w:fldLock="1"/>
    </w:r>
    <w:r w:rsidRPr="000D4D30">
      <w:instrText xml:space="preserve"> DOCPROPERTY</w:instrText>
    </w:r>
    <w:r w:rsidRPr="000D4D30">
      <w:rPr>
        <w:sz w:val="18"/>
      </w:rPr>
      <w:instrText xml:space="preserve"> "Partinummer" *\charformat </w:instrText>
    </w:r>
    <w:r w:rsidRPr="000D4D30">
      <w:fldChar w:fldCharType="separate"/>
    </w:r>
    <w:r w:rsidRPr="000D4D30">
      <w:t>v361</w:t>
    </w:r>
    <w:r w:rsidRPr="000D4D30">
      <w:fldChar w:fldCharType="end"/>
    </w:r>
  </w:p>
  <w:p w:rsidR="000D4D30" w:rsidRPr="000D4D30" w:rsidRDefault="000D4D30">
    <w:pPr>
      <w:pStyle w:val="FSHRub1"/>
    </w:pPr>
    <w:r w:rsidRPr="000D4D30">
      <w:t>Motion till riksdagen</w:t>
    </w:r>
    <w:r w:rsidRPr="000D4D30">
      <w:br/>
    </w:r>
    <w:r w:rsidRPr="000D4D30">
      <w:fldChar w:fldCharType="begin" w:fldLock="1"/>
    </w:r>
    <w:r w:rsidRPr="000D4D30">
      <w:instrText xml:space="preserve"> DOCPROPERTY "YearUser" *\charformat </w:instrText>
    </w:r>
    <w:r w:rsidRPr="000D4D30">
      <w:fldChar w:fldCharType="separate"/>
    </w:r>
    <w:r w:rsidRPr="000D4D30">
      <w:t>2009/10</w:t>
    </w:r>
    <w:r w:rsidRPr="000D4D30">
      <w:fldChar w:fldCharType="end"/>
    </w:r>
    <w:r w:rsidRPr="000D4D30">
      <w:t>:</w:t>
    </w:r>
    <w:r w:rsidRPr="000D4D30">
      <w:fldChar w:fldCharType="begin" w:fldLock="1"/>
    </w:r>
    <w:r w:rsidRPr="000D4D30">
      <w:instrText xml:space="preserve"> DOCPROPERTY "Motionsnummer" *\charformat </w:instrText>
    </w:r>
    <w:r w:rsidRPr="000D4D30">
      <w:fldChar w:fldCharType="separate"/>
    </w:r>
    <w:r w:rsidRPr="000D4D30">
      <w:t>Ub350</w:t>
    </w:r>
    <w:r w:rsidRPr="000D4D30">
      <w:fldChar w:fldCharType="end"/>
    </w:r>
  </w:p>
  <w:p w:rsidR="000D4D30" w:rsidRPr="000D4D30" w:rsidRDefault="000D4D30">
    <w:pPr>
      <w:pStyle w:val="FSHNormalS5"/>
    </w:pPr>
    <w:r w:rsidRPr="000D4D30">
      <w:fldChar w:fldCharType="begin" w:fldLock="1"/>
    </w:r>
    <w:r w:rsidRPr="000D4D30">
      <w:instrText xml:space="preserve"> DOCPROPERTY "MotionarText" *\charformat </w:instrText>
    </w:r>
    <w:r w:rsidRPr="000D4D30">
      <w:fldChar w:fldCharType="separate"/>
    </w:r>
    <w:r w:rsidRPr="000D4D30">
      <w:t>av Lars Ohly m.fl. (v)</w:t>
    </w:r>
    <w:r w:rsidRPr="000D4D30">
      <w:fldChar w:fldCharType="end"/>
    </w:r>
    <w:r w:rsidRPr="000D4D30">
      <w:br/>
    </w:r>
    <w:r w:rsidRPr="000D4D30">
      <w:fldChar w:fldCharType="begin" w:fldLock="1"/>
    </w:r>
    <w:r w:rsidRPr="000D4D30">
      <w:instrText xml:space="preserve"> DOCPROPERTY "SvarFrasKort" *\charformat </w:instrText>
    </w:r>
    <w:r w:rsidRPr="000D4D30">
      <w:fldChar w:fldCharType="end"/>
    </w:r>
  </w:p>
  <w:p w:rsidR="000D4D30" w:rsidRPr="000D4D30" w:rsidRDefault="000D4D30">
    <w:pPr>
      <w:pStyle w:val="FSHTitel"/>
    </w:pPr>
    <w:r w:rsidRPr="000D4D30">
      <w:fldChar w:fldCharType="begin" w:fldLock="1"/>
    </w:r>
    <w:r w:rsidRPr="000D4D30">
      <w:instrText xml:space="preserve"> DOCPROPERTY</w:instrText>
    </w:r>
    <w:r w:rsidRPr="000D4D30">
      <w:rPr>
        <w:sz w:val="18"/>
      </w:rPr>
      <w:instrText xml:space="preserve"> "RubrikSvar" *\charformat </w:instrText>
    </w:r>
    <w:r w:rsidRPr="000D4D30">
      <w:fldChar w:fldCharType="separate"/>
    </w:r>
    <w:r w:rsidRPr="000D4D30">
      <w:t>Utgiftsområde 16 Utbildning och universitetsforskning</w:t>
    </w:r>
    <w:r w:rsidRPr="000D4D30">
      <w:fldChar w:fldCharType="end"/>
    </w:r>
  </w:p>
  <w:p w:rsidR="000D4D30" w:rsidRPr="000D4D30" w:rsidRDefault="000D4D30">
    <w:pPr>
      <w:pStyle w:val="Normal00"/>
    </w:pPr>
  </w:p>
  <w:p w:rsidR="000D4D30" w:rsidRPr="000D4D30" w:rsidRDefault="000D4D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3175E9"/>
    <w:multiLevelType w:val="hybridMultilevel"/>
    <w:tmpl w:val="923EBCD8"/>
    <w:lvl w:ilvl="0" w:tplc="6AB646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4D900EF"/>
    <w:multiLevelType w:val="hybridMultilevel"/>
    <w:tmpl w:val="030422F6"/>
    <w:lvl w:ilvl="0" w:tplc="F7A284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2E48FF"/>
    <w:multiLevelType w:val="multilevel"/>
    <w:tmpl w:val="CD0834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39E6625"/>
    <w:multiLevelType w:val="multilevel"/>
    <w:tmpl w:val="CA0854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0697642">
    <w:abstractNumId w:val="8"/>
  </w:num>
  <w:num w:numId="2" w16cid:durableId="949094170">
    <w:abstractNumId w:val="9"/>
  </w:num>
  <w:num w:numId="3" w16cid:durableId="846864144">
    <w:abstractNumId w:val="8"/>
  </w:num>
  <w:num w:numId="4" w16cid:durableId="1530803196">
    <w:abstractNumId w:val="9"/>
  </w:num>
  <w:num w:numId="5" w16cid:durableId="154228405">
    <w:abstractNumId w:val="15"/>
  </w:num>
  <w:num w:numId="6" w16cid:durableId="494034430">
    <w:abstractNumId w:val="10"/>
  </w:num>
  <w:num w:numId="7" w16cid:durableId="372581487">
    <w:abstractNumId w:val="13"/>
  </w:num>
  <w:num w:numId="8" w16cid:durableId="1786000876">
    <w:abstractNumId w:val="14"/>
  </w:num>
  <w:num w:numId="9" w16cid:durableId="1298023559">
    <w:abstractNumId w:val="8"/>
  </w:num>
  <w:num w:numId="10" w16cid:durableId="821703416">
    <w:abstractNumId w:val="3"/>
  </w:num>
  <w:num w:numId="11" w16cid:durableId="101077669">
    <w:abstractNumId w:val="2"/>
  </w:num>
  <w:num w:numId="12" w16cid:durableId="1398287334">
    <w:abstractNumId w:val="1"/>
  </w:num>
  <w:num w:numId="13" w16cid:durableId="1134442150">
    <w:abstractNumId w:val="0"/>
  </w:num>
  <w:num w:numId="14" w16cid:durableId="1071925312">
    <w:abstractNumId w:val="9"/>
  </w:num>
  <w:num w:numId="15" w16cid:durableId="15934277">
    <w:abstractNumId w:val="7"/>
  </w:num>
  <w:num w:numId="16" w16cid:durableId="1184124944">
    <w:abstractNumId w:val="6"/>
  </w:num>
  <w:num w:numId="17" w16cid:durableId="1129283411">
    <w:abstractNumId w:val="5"/>
  </w:num>
  <w:num w:numId="18" w16cid:durableId="1598173937">
    <w:abstractNumId w:val="4"/>
  </w:num>
  <w:num w:numId="19" w16cid:durableId="2129086682">
    <w:abstractNumId w:val="12"/>
  </w:num>
  <w:num w:numId="20" w16cid:durableId="73937873">
    <w:abstractNumId w:val="11"/>
  </w:num>
  <w:num w:numId="21" w16cid:durableId="517239261">
    <w:abstractNumId w:val="17"/>
  </w:num>
  <w:num w:numId="22" w16cid:durableId="1806655891">
    <w:abstractNumId w:val="13"/>
  </w:num>
  <w:num w:numId="23" w16cid:durableId="454372932">
    <w:abstractNumId w:val="10"/>
  </w:num>
  <w:num w:numId="24" w16cid:durableId="781191419">
    <w:abstractNumId w:val="14"/>
  </w:num>
  <w:num w:numId="25" w16cid:durableId="6168324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F1A2565D-4D2F-4887-9B1D-3D7BE825DA8C},{25384487-954A-4B3D-A759-FB67661DCC6F},{70ED92E7-062B-44F5-98C0-1732E6D079B7},{88576935-7337-4AFA-923F-6E59D33EEBED},{8B923F15-4996-4696-A089-6A5BE8BF8E1B},{5E1F5B3E-DDB9-4605-85F6-1CAF1124E96C},{7E0BF71E-CD03-4DBF-9F51-3B5B798F2741},{E342D5A8-46A1-48DE-8F45-AD50F7AFB7F8}"/>
  </w:docVars>
  <w:rsids>
    <w:rsidRoot w:val="00CD51C2"/>
    <w:rsid w:val="000D4D30"/>
    <w:rsid w:val="00CD51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1085BE5-6D9C-4CCB-87A6-1F792CC1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jc w:val="left"/>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Frslagsrubrik">
    <w:name w:val="Förslagsrubrik"/>
    <w:basedOn w:val="Rubrik1"/>
    <w:next w:val="Normal"/>
    <w:pPr>
      <w:spacing w:after="250"/>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4556</Characters>
  <Application>Microsoft Office Word</Application>
  <DocSecurity>4</DocSecurity>
  <Lines>126</Lines>
  <Paragraphs>71</Paragraphs>
  <ScaleCrop>false</ScaleCrop>
  <HeadingPairs>
    <vt:vector size="2" baseType="variant">
      <vt:variant>
        <vt:lpstr>Rubrik</vt:lpstr>
      </vt:variant>
      <vt:variant>
        <vt:i4>1</vt:i4>
      </vt:variant>
    </vt:vector>
  </HeadingPairs>
  <TitlesOfParts>
    <vt:vector size="1" baseType="lpstr">
      <vt:lpstr>v361</vt:lpstr>
    </vt:vector>
  </TitlesOfParts>
  <Company>Riksdagen</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v361</dc:title>
  <dc:subject>v361</dc:subject>
  <dc:creator>Riksdagen</dc:creator>
  <cp:keywords>Riksdagen</cp:keywords>
  <dc:description>B</dc:description>
  <cp:lastModifiedBy>Lars Brink</cp:lastModifiedBy>
  <cp:revision>2</cp:revision>
  <cp:lastPrinted>2010-02-02T13:37:00Z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20092010000000000118000003610080</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20092010000000000118000003610080</vt:lpwstr>
  </property>
  <property fmtid="{D5CDD505-2E9C-101B-9397-08002B2CF9AE}" pid="50" name="nummer">
    <vt:lpwstr>350</vt:lpwstr>
  </property>
  <property fmtid="{D5CDD505-2E9C-101B-9397-08002B2CF9AE}" pid="51" name="utskottsbeteckning">
    <vt:lpwstr>Ub</vt:lpwstr>
  </property>
  <property fmtid="{D5CDD505-2E9C-101B-9397-08002B2CF9AE}" pid="52" name="GlobalUID">
    <vt:lpwstr>{4FA897C5-8CF3-4282-9176-9FF7A09CCC5C}</vt:lpwstr>
  </property>
  <property fmtid="{D5CDD505-2E9C-101B-9397-08002B2CF9AE}" pid="53" name="Överföringar">
    <vt:i4>0</vt:i4>
  </property>
  <property fmtid="{D5CDD505-2E9C-101B-9397-08002B2CF9AE}" pid="54" name="Checksum">
    <vt:lpwstr>*1004006290877*</vt:lpwstr>
  </property>
  <property fmtid="{D5CDD505-2E9C-101B-9397-08002B2CF9AE}" pid="55" name="skuggnummer">
    <vt:lpwstr>1864</vt:lpwstr>
  </property>
  <property fmtid="{D5CDD505-2E9C-101B-9397-08002B2CF9AE}" pid="56" name="urixVersion">
    <vt:lpwstr>4.1.1.6</vt:lpwstr>
  </property>
  <property fmtid="{D5CDD505-2E9C-101B-9397-08002B2CF9AE}" pid="57" name="urixOrigin">
    <vt:lpwstr>100202 15:17:11.158</vt:lpwstr>
  </property>
  <property fmtid="{D5CDD505-2E9C-101B-9397-08002B2CF9AE}" pid="58" name="urixGuid">
    <vt:lpwstr>{C4F1FD88-9D5B-46EB-8F35-56030C7FB731}</vt:lpwstr>
  </property>
</Properties>
</file>