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000000" w:rsidRPr="00A24BC5">
        <w:tblPrEx>
          <w:tblCellMar>
            <w:top w:w="0" w:type="dxa"/>
            <w:bottom w:w="0" w:type="dxa"/>
          </w:tblCellMar>
        </w:tblPrEx>
        <w:tc>
          <w:tcPr>
            <w:tcW w:w="2268" w:type="dxa"/>
          </w:tcPr>
          <w:p w:rsidR="00A830FE" w:rsidRPr="00A24BC5" w:rsidRDefault="00A830FE">
            <w:pPr>
              <w:framePr w:w="4400" w:h="1644" w:wrap="notBeside" w:vAnchor="page" w:hAnchor="page" w:x="6573" w:y="721"/>
              <w:rPr>
                <w:rFonts w:ascii="TradeGothic" w:hAnsi="TradeGothic"/>
                <w:i/>
                <w:sz w:val="18"/>
              </w:rPr>
            </w:pPr>
          </w:p>
        </w:tc>
        <w:tc>
          <w:tcPr>
            <w:tcW w:w="2347" w:type="dxa"/>
            <w:gridSpan w:val="2"/>
          </w:tcPr>
          <w:p w:rsidR="00A830FE" w:rsidRPr="00A24BC5" w:rsidRDefault="00A830FE">
            <w:pPr>
              <w:framePr w:w="4400" w:h="1644" w:wrap="notBeside" w:vAnchor="page" w:hAnchor="page" w:x="6573" w:y="721"/>
              <w:rPr>
                <w:rFonts w:ascii="TradeGothic" w:hAnsi="TradeGothic"/>
                <w:i/>
                <w:sz w:val="18"/>
              </w:rPr>
            </w:pPr>
          </w:p>
        </w:tc>
      </w:tr>
      <w:tr w:rsidR="00000000" w:rsidRPr="00A24BC5">
        <w:tblPrEx>
          <w:tblCellMar>
            <w:top w:w="0" w:type="dxa"/>
            <w:bottom w:w="0" w:type="dxa"/>
          </w:tblCellMar>
        </w:tblPrEx>
        <w:tc>
          <w:tcPr>
            <w:tcW w:w="2268" w:type="dxa"/>
          </w:tcPr>
          <w:p w:rsidR="00A830FE" w:rsidRPr="00A24BC5" w:rsidRDefault="00A830FE">
            <w:pPr>
              <w:framePr w:w="4400" w:h="1644" w:wrap="notBeside" w:vAnchor="page" w:hAnchor="page" w:x="6573" w:y="721"/>
              <w:rPr>
                <w:rFonts w:ascii="TradeGothic" w:hAnsi="TradeGothic"/>
                <w:b/>
                <w:sz w:val="22"/>
              </w:rPr>
            </w:pPr>
            <w:r w:rsidRPr="00A24BC5">
              <w:rPr>
                <w:rFonts w:ascii="TradeGothic" w:hAnsi="TradeGothic"/>
                <w:b/>
                <w:sz w:val="22"/>
              </w:rPr>
              <w:t xml:space="preserve">Mötes-PM </w:t>
            </w:r>
          </w:p>
        </w:tc>
        <w:tc>
          <w:tcPr>
            <w:tcW w:w="2347" w:type="dxa"/>
            <w:gridSpan w:val="2"/>
          </w:tcPr>
          <w:p w:rsidR="00A830FE" w:rsidRPr="00A24BC5" w:rsidRDefault="00A830FE">
            <w:pPr>
              <w:framePr w:w="4400" w:h="1644" w:wrap="notBeside" w:vAnchor="page" w:hAnchor="page" w:x="6573" w:y="721"/>
              <w:rPr>
                <w:rFonts w:ascii="TradeGothic" w:hAnsi="TradeGothic"/>
                <w:b/>
                <w:i/>
                <w:iCs/>
                <w:sz w:val="22"/>
              </w:rPr>
            </w:pPr>
          </w:p>
        </w:tc>
      </w:tr>
      <w:tr w:rsidR="00000000" w:rsidRPr="00A24BC5">
        <w:tblPrEx>
          <w:tblCellMar>
            <w:top w:w="0" w:type="dxa"/>
            <w:bottom w:w="0" w:type="dxa"/>
          </w:tblCellMar>
        </w:tblPrEx>
        <w:tc>
          <w:tcPr>
            <w:tcW w:w="3402" w:type="dxa"/>
            <w:gridSpan w:val="2"/>
          </w:tcPr>
          <w:p w:rsidR="00A830FE" w:rsidRPr="00A24BC5" w:rsidRDefault="00A830FE">
            <w:pPr>
              <w:framePr w:w="4400" w:h="1644" w:wrap="notBeside" w:vAnchor="page" w:hAnchor="page" w:x="6573" w:y="721"/>
            </w:pPr>
          </w:p>
        </w:tc>
        <w:tc>
          <w:tcPr>
            <w:tcW w:w="1213" w:type="dxa"/>
          </w:tcPr>
          <w:p w:rsidR="00A830FE" w:rsidRPr="00A24BC5" w:rsidRDefault="00A830FE">
            <w:pPr>
              <w:framePr w:w="4400" w:h="1644" w:wrap="notBeside" w:vAnchor="page" w:hAnchor="page" w:x="6573" w:y="721"/>
            </w:pPr>
          </w:p>
        </w:tc>
      </w:tr>
      <w:tr w:rsidR="00000000" w:rsidRPr="00A24BC5">
        <w:tblPrEx>
          <w:tblCellMar>
            <w:top w:w="0" w:type="dxa"/>
            <w:bottom w:w="0" w:type="dxa"/>
          </w:tblCellMar>
        </w:tblPrEx>
        <w:tc>
          <w:tcPr>
            <w:tcW w:w="2268" w:type="dxa"/>
          </w:tcPr>
          <w:p w:rsidR="00A830FE" w:rsidRPr="00A24BC5" w:rsidRDefault="00A830FE">
            <w:pPr>
              <w:framePr w:w="4400" w:h="1644" w:wrap="notBeside" w:vAnchor="page" w:hAnchor="page" w:x="6573" w:y="721"/>
            </w:pPr>
            <w:r w:rsidRPr="00A24BC5">
              <w:t>2006-06-29</w:t>
            </w:r>
          </w:p>
        </w:tc>
        <w:tc>
          <w:tcPr>
            <w:tcW w:w="2347" w:type="dxa"/>
            <w:gridSpan w:val="2"/>
          </w:tcPr>
          <w:p w:rsidR="00A830FE" w:rsidRPr="00A24BC5" w:rsidRDefault="00A830FE">
            <w:pPr>
              <w:framePr w:w="4400" w:h="1644" w:wrap="notBeside" w:vAnchor="page" w:hAnchor="page" w:x="6573" w:y="721"/>
            </w:pPr>
          </w:p>
        </w:tc>
      </w:tr>
      <w:tr w:rsidR="00000000" w:rsidRPr="00A24BC5">
        <w:tblPrEx>
          <w:tblCellMar>
            <w:top w:w="0" w:type="dxa"/>
            <w:bottom w:w="0" w:type="dxa"/>
          </w:tblCellMar>
        </w:tblPrEx>
        <w:tc>
          <w:tcPr>
            <w:tcW w:w="2268" w:type="dxa"/>
          </w:tcPr>
          <w:p w:rsidR="00A830FE" w:rsidRPr="00A24BC5" w:rsidRDefault="00A830FE">
            <w:pPr>
              <w:framePr w:w="4400" w:h="1644" w:wrap="notBeside" w:vAnchor="page" w:hAnchor="page" w:x="6573" w:y="721"/>
            </w:pPr>
          </w:p>
        </w:tc>
        <w:tc>
          <w:tcPr>
            <w:tcW w:w="2347" w:type="dxa"/>
            <w:gridSpan w:val="2"/>
          </w:tcPr>
          <w:p w:rsidR="00A830FE" w:rsidRPr="00A24BC5" w:rsidRDefault="00A830FE">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A24BC5">
        <w:tblPrEx>
          <w:tblCellMar>
            <w:top w:w="0" w:type="dxa"/>
            <w:bottom w:w="0" w:type="dxa"/>
          </w:tblCellMar>
        </w:tblPrEx>
        <w:trPr>
          <w:trHeight w:val="284"/>
        </w:trPr>
        <w:tc>
          <w:tcPr>
            <w:tcW w:w="4911" w:type="dxa"/>
          </w:tcPr>
          <w:p w:rsidR="00A830FE" w:rsidRPr="00A24BC5" w:rsidRDefault="00A830FE">
            <w:pPr>
              <w:pStyle w:val="Avsndare"/>
              <w:framePr w:h="2483" w:wrap="notBeside" w:x="1504"/>
              <w:rPr>
                <w:b/>
                <w:i w:val="0"/>
                <w:sz w:val="22"/>
              </w:rPr>
            </w:pPr>
            <w:r w:rsidRPr="00A24BC5">
              <w:rPr>
                <w:b/>
                <w:i w:val="0"/>
                <w:sz w:val="22"/>
              </w:rPr>
              <w:t>Finansdepartementet</w:t>
            </w:r>
          </w:p>
        </w:tc>
      </w:tr>
      <w:tr w:rsidR="00000000" w:rsidRPr="00A24BC5">
        <w:tblPrEx>
          <w:tblCellMar>
            <w:top w:w="0" w:type="dxa"/>
            <w:bottom w:w="0" w:type="dxa"/>
          </w:tblCellMar>
        </w:tblPrEx>
        <w:trPr>
          <w:trHeight w:val="284"/>
        </w:trPr>
        <w:tc>
          <w:tcPr>
            <w:tcW w:w="4911" w:type="dxa"/>
          </w:tcPr>
          <w:p w:rsidR="00A830FE" w:rsidRPr="00A24BC5" w:rsidRDefault="00A830FE">
            <w:pPr>
              <w:pStyle w:val="Avsndare"/>
              <w:framePr w:h="2483" w:wrap="notBeside" w:x="1504"/>
              <w:rPr>
                <w:bCs/>
                <w:iCs/>
              </w:rPr>
            </w:pPr>
          </w:p>
        </w:tc>
      </w:tr>
      <w:tr w:rsidR="00000000" w:rsidRPr="00A24BC5">
        <w:tblPrEx>
          <w:tblCellMar>
            <w:top w:w="0" w:type="dxa"/>
            <w:bottom w:w="0" w:type="dxa"/>
          </w:tblCellMar>
        </w:tblPrEx>
        <w:trPr>
          <w:trHeight w:val="284"/>
        </w:trPr>
        <w:tc>
          <w:tcPr>
            <w:tcW w:w="4911" w:type="dxa"/>
          </w:tcPr>
          <w:p w:rsidR="00A830FE" w:rsidRPr="00A24BC5" w:rsidRDefault="00A830FE">
            <w:pPr>
              <w:pStyle w:val="Avsndare"/>
              <w:framePr w:h="2483" w:wrap="notBeside" w:x="1504"/>
              <w:rPr>
                <w:bCs/>
                <w:iCs/>
              </w:rPr>
            </w:pPr>
            <w:r w:rsidRPr="00A24BC5">
              <w:rPr>
                <w:bCs/>
                <w:iCs/>
              </w:rPr>
              <w:t>Budgetavdelningen</w:t>
            </w:r>
          </w:p>
        </w:tc>
      </w:tr>
      <w:tr w:rsidR="00000000" w:rsidRPr="00A24BC5">
        <w:tblPrEx>
          <w:tblCellMar>
            <w:top w:w="0" w:type="dxa"/>
            <w:bottom w:w="0" w:type="dxa"/>
          </w:tblCellMar>
        </w:tblPrEx>
        <w:trPr>
          <w:trHeight w:val="284"/>
        </w:trPr>
        <w:tc>
          <w:tcPr>
            <w:tcW w:w="4911" w:type="dxa"/>
          </w:tcPr>
          <w:p w:rsidR="00A830FE" w:rsidRPr="00A24BC5" w:rsidRDefault="00A830FE">
            <w:pPr>
              <w:pStyle w:val="Avsndare"/>
              <w:framePr w:h="2483" w:wrap="notBeside" w:x="1504"/>
              <w:rPr>
                <w:bCs/>
                <w:iCs/>
              </w:rPr>
            </w:pPr>
            <w:r w:rsidRPr="00A24BC5">
              <w:rPr>
                <w:bCs/>
                <w:iCs/>
              </w:rPr>
              <w:t>EU-budgetenheten</w:t>
            </w:r>
          </w:p>
        </w:tc>
      </w:tr>
      <w:tr w:rsidR="00000000" w:rsidRPr="00A24BC5">
        <w:tblPrEx>
          <w:tblCellMar>
            <w:top w:w="0" w:type="dxa"/>
            <w:bottom w:w="0" w:type="dxa"/>
          </w:tblCellMar>
        </w:tblPrEx>
        <w:trPr>
          <w:trHeight w:val="284"/>
        </w:trPr>
        <w:tc>
          <w:tcPr>
            <w:tcW w:w="4911" w:type="dxa"/>
          </w:tcPr>
          <w:p w:rsidR="00A830FE" w:rsidRPr="00A24BC5" w:rsidRDefault="00A830FE">
            <w:pPr>
              <w:pStyle w:val="Avsndare"/>
              <w:framePr w:h="2483" w:wrap="notBeside" w:x="1504"/>
              <w:rPr>
                <w:bCs/>
                <w:iCs/>
              </w:rPr>
            </w:pPr>
          </w:p>
        </w:tc>
      </w:tr>
      <w:tr w:rsidR="00000000" w:rsidRPr="00A24BC5">
        <w:tblPrEx>
          <w:tblCellMar>
            <w:top w:w="0" w:type="dxa"/>
            <w:bottom w:w="0" w:type="dxa"/>
          </w:tblCellMar>
        </w:tblPrEx>
        <w:trPr>
          <w:trHeight w:val="284"/>
        </w:trPr>
        <w:tc>
          <w:tcPr>
            <w:tcW w:w="4911" w:type="dxa"/>
          </w:tcPr>
          <w:p w:rsidR="00A830FE" w:rsidRPr="00A24BC5" w:rsidRDefault="00A830FE">
            <w:pPr>
              <w:pStyle w:val="Avsndare"/>
              <w:framePr w:h="2483" w:wrap="notBeside" w:x="1504"/>
              <w:rPr>
                <w:bCs/>
                <w:iCs/>
              </w:rPr>
            </w:pPr>
          </w:p>
        </w:tc>
      </w:tr>
      <w:tr w:rsidR="00000000" w:rsidRPr="00A24BC5">
        <w:tblPrEx>
          <w:tblCellMar>
            <w:top w:w="0" w:type="dxa"/>
            <w:bottom w:w="0" w:type="dxa"/>
          </w:tblCellMar>
        </w:tblPrEx>
        <w:trPr>
          <w:trHeight w:val="284"/>
        </w:trPr>
        <w:tc>
          <w:tcPr>
            <w:tcW w:w="4911" w:type="dxa"/>
          </w:tcPr>
          <w:p w:rsidR="00A830FE" w:rsidRPr="00A24BC5" w:rsidRDefault="00A830FE">
            <w:pPr>
              <w:pStyle w:val="Avsndare"/>
              <w:framePr w:h="2483" w:wrap="notBeside" w:x="1504"/>
              <w:rPr>
                <w:bCs/>
                <w:iCs/>
              </w:rPr>
            </w:pPr>
          </w:p>
        </w:tc>
      </w:tr>
      <w:tr w:rsidR="00000000" w:rsidRPr="00A24BC5">
        <w:tblPrEx>
          <w:tblCellMar>
            <w:top w:w="0" w:type="dxa"/>
            <w:bottom w:w="0" w:type="dxa"/>
          </w:tblCellMar>
        </w:tblPrEx>
        <w:trPr>
          <w:trHeight w:val="284"/>
        </w:trPr>
        <w:tc>
          <w:tcPr>
            <w:tcW w:w="4911" w:type="dxa"/>
          </w:tcPr>
          <w:p w:rsidR="00A830FE" w:rsidRPr="00A24BC5" w:rsidRDefault="00A830FE">
            <w:pPr>
              <w:pStyle w:val="Avsndare"/>
              <w:framePr w:h="2483" w:wrap="notBeside" w:x="1504"/>
              <w:rPr>
                <w:bCs/>
                <w:iCs/>
              </w:rPr>
            </w:pPr>
          </w:p>
        </w:tc>
      </w:tr>
      <w:tr w:rsidR="00000000" w:rsidRPr="00A24BC5">
        <w:tblPrEx>
          <w:tblCellMar>
            <w:top w:w="0" w:type="dxa"/>
            <w:bottom w:w="0" w:type="dxa"/>
          </w:tblCellMar>
        </w:tblPrEx>
        <w:trPr>
          <w:trHeight w:val="284"/>
        </w:trPr>
        <w:tc>
          <w:tcPr>
            <w:tcW w:w="4911" w:type="dxa"/>
          </w:tcPr>
          <w:p w:rsidR="00A830FE" w:rsidRPr="00A24BC5" w:rsidRDefault="00A830FE">
            <w:pPr>
              <w:pStyle w:val="Avsndare"/>
              <w:framePr w:h="2483" w:wrap="notBeside" w:x="1504"/>
              <w:rPr>
                <w:bCs/>
                <w:iCs/>
              </w:rPr>
            </w:pPr>
          </w:p>
        </w:tc>
      </w:tr>
      <w:tr w:rsidR="00000000" w:rsidRPr="00A24BC5">
        <w:tblPrEx>
          <w:tblCellMar>
            <w:top w:w="0" w:type="dxa"/>
            <w:bottom w:w="0" w:type="dxa"/>
          </w:tblCellMar>
        </w:tblPrEx>
        <w:trPr>
          <w:trHeight w:val="284"/>
        </w:trPr>
        <w:tc>
          <w:tcPr>
            <w:tcW w:w="4911" w:type="dxa"/>
          </w:tcPr>
          <w:p w:rsidR="00A830FE" w:rsidRPr="00A24BC5" w:rsidRDefault="00A830FE">
            <w:pPr>
              <w:pStyle w:val="Avsndare"/>
              <w:framePr w:h="2483" w:wrap="notBeside" w:x="1504"/>
              <w:rPr>
                <w:bCs/>
                <w:iCs/>
              </w:rPr>
            </w:pPr>
          </w:p>
        </w:tc>
      </w:tr>
    </w:tbl>
    <w:p w:rsidR="00A830FE" w:rsidRPr="00A24BC5" w:rsidRDefault="00A830FE">
      <w:pPr>
        <w:framePr w:w="4400" w:h="2523" w:wrap="notBeside" w:vAnchor="page" w:hAnchor="page" w:x="6453" w:y="2445"/>
        <w:ind w:left="142"/>
      </w:pPr>
      <w:r w:rsidRPr="00A24BC5">
        <w:t>EU-nämnden</w:t>
      </w:r>
    </w:p>
    <w:p w:rsidR="00A830FE" w:rsidRPr="00A24BC5" w:rsidRDefault="00A830FE">
      <w:pPr>
        <w:framePr w:w="4400" w:h="2523" w:wrap="notBeside" w:vAnchor="page" w:hAnchor="page" w:x="6453" w:y="2445"/>
        <w:ind w:left="142"/>
      </w:pPr>
    </w:p>
    <w:p w:rsidR="00A830FE" w:rsidRPr="00A24BC5" w:rsidRDefault="00A830FE">
      <w:pPr>
        <w:framePr w:w="4400" w:h="2523" w:wrap="notBeside" w:vAnchor="page" w:hAnchor="page" w:x="6453" w:y="2445"/>
        <w:ind w:left="142"/>
      </w:pPr>
      <w:r w:rsidRPr="00A24BC5">
        <w:t>Inför Ekofinrådet den 14 juli 2007</w:t>
      </w:r>
    </w:p>
    <w:p w:rsidR="00A830FE" w:rsidRPr="00A24BC5" w:rsidRDefault="00A830FE">
      <w:pPr>
        <w:framePr w:w="4400" w:h="2523" w:wrap="notBeside" w:vAnchor="page" w:hAnchor="page" w:x="6453" w:y="2445"/>
        <w:ind w:left="142"/>
      </w:pPr>
    </w:p>
    <w:p w:rsidR="00A830FE" w:rsidRPr="00A24BC5" w:rsidRDefault="00A830FE">
      <w:pPr>
        <w:framePr w:w="4400" w:h="2523" w:wrap="notBeside" w:vAnchor="page" w:hAnchor="page" w:x="6453" w:y="2445"/>
        <w:ind w:left="142"/>
        <w:rPr>
          <w:i/>
          <w:iCs/>
        </w:rPr>
      </w:pPr>
    </w:p>
    <w:p w:rsidR="00A830FE" w:rsidRPr="00A24BC5" w:rsidRDefault="00A830FE">
      <w:pPr>
        <w:pStyle w:val="RKrubrik"/>
        <w:pBdr>
          <w:bottom w:val="single" w:sz="4" w:space="1" w:color="000000"/>
        </w:pBdr>
        <w:spacing w:before="0" w:after="0"/>
      </w:pPr>
      <w:r w:rsidRPr="00A24BC5">
        <w:t>Rådets första läsning av EU:s budget för 2007</w:t>
      </w:r>
    </w:p>
    <w:p w:rsidR="00A830FE" w:rsidRPr="00A24BC5" w:rsidRDefault="00A830FE">
      <w:pPr>
        <w:pStyle w:val="RKrubrik"/>
      </w:pPr>
      <w:r w:rsidRPr="00A24BC5">
        <w:t>EU:s budgetprocess</w:t>
      </w:r>
    </w:p>
    <w:p w:rsidR="00A830FE" w:rsidRPr="00A24BC5" w:rsidRDefault="00A830FE">
      <w:pPr>
        <w:pStyle w:val="RKnormal"/>
        <w:numPr>
          <w:ilvl w:val="0"/>
          <w:numId w:val="1"/>
        </w:numPr>
      </w:pPr>
      <w:r w:rsidRPr="00A24BC5">
        <w:t>Kommissionen (KOM) fattade beslut om sitt budgetförslag för 2007 den 3 maj i år.</w:t>
      </w:r>
    </w:p>
    <w:p w:rsidR="00A830FE" w:rsidRPr="00A24BC5" w:rsidRDefault="00A830FE">
      <w:pPr>
        <w:pStyle w:val="RKnormal"/>
        <w:numPr>
          <w:ilvl w:val="0"/>
          <w:numId w:val="1"/>
        </w:numPr>
      </w:pPr>
      <w:r w:rsidRPr="00A24BC5">
        <w:t>Förslaget har behandlats av budgetkommittén som har nått en uppgörelse med kvalificerad majoritet. Uppgörelsen kommer att behandlas av Coreper den 5 juli.</w:t>
      </w:r>
    </w:p>
    <w:p w:rsidR="00A830FE" w:rsidRPr="00A24BC5" w:rsidRDefault="00A830FE">
      <w:pPr>
        <w:pStyle w:val="RKnormal"/>
        <w:numPr>
          <w:ilvl w:val="0"/>
          <w:numId w:val="1"/>
        </w:numPr>
      </w:pPr>
      <w:r w:rsidRPr="00A24BC5">
        <w:t>Den 14 juli genomför Ekofin rådets första läsning av KOM:s förslag. I samband med Ekofinmötet sker ett förlikningsmöte med Europaparlamentet.</w:t>
      </w:r>
    </w:p>
    <w:p w:rsidR="00A830FE" w:rsidRPr="00A24BC5" w:rsidRDefault="00A830FE">
      <w:pPr>
        <w:pStyle w:val="RKnormal"/>
        <w:numPr>
          <w:ilvl w:val="0"/>
          <w:numId w:val="1"/>
        </w:numPr>
      </w:pPr>
      <w:r w:rsidRPr="00A24BC5">
        <w:t xml:space="preserve">Den 26 oktober genomför Europaparlamentet (EP) sin första läsning av rådets förslag. </w:t>
      </w:r>
    </w:p>
    <w:p w:rsidR="00A830FE" w:rsidRPr="00A24BC5" w:rsidRDefault="00A830FE">
      <w:pPr>
        <w:pStyle w:val="RKnormal"/>
        <w:numPr>
          <w:ilvl w:val="0"/>
          <w:numId w:val="1"/>
        </w:numPr>
      </w:pPr>
      <w:r w:rsidRPr="00A24BC5">
        <w:t xml:space="preserve">Den 21 november genomför Ekofin rådets andra läsning av budgetförslaget. </w:t>
      </w:r>
    </w:p>
    <w:p w:rsidR="00A830FE" w:rsidRPr="00A24BC5" w:rsidRDefault="00A830FE">
      <w:pPr>
        <w:pStyle w:val="RKnormal"/>
        <w:numPr>
          <w:ilvl w:val="0"/>
          <w:numId w:val="1"/>
        </w:numPr>
      </w:pPr>
      <w:r w:rsidRPr="00A24BC5">
        <w:t xml:space="preserve">EP genomför sin andra läsning av budgeten den 14 december och fastställer därmed budgeten för 2007. </w:t>
      </w:r>
    </w:p>
    <w:p w:rsidR="00A830FE" w:rsidRPr="00A24BC5" w:rsidRDefault="00A830FE">
      <w:pPr>
        <w:pStyle w:val="RKrubrik"/>
      </w:pPr>
      <w:r w:rsidRPr="00A24BC5">
        <w:t>KOM:s preliminära budgetutkast för 2007</w:t>
      </w:r>
    </w:p>
    <w:p w:rsidR="00A830FE" w:rsidRPr="00A24BC5" w:rsidRDefault="00A830FE">
      <w:pPr>
        <w:spacing w:before="120" w:line="240" w:lineRule="atLeast"/>
        <w:jc w:val="both"/>
        <w:rPr>
          <w:color w:val="000000"/>
        </w:rPr>
      </w:pPr>
      <w:r w:rsidRPr="00A24BC5">
        <w:t xml:space="preserve">KOM:s förslag till budget innebär en ökning av åtagandeanslagen jämfört med budgeten för 2006 med 4,6% till 126,8 miljarder euro och betalningsanslagen med 3,9% till 116,4 miljarder euro. Om KOM:s </w:t>
      </w:r>
      <w:r w:rsidRPr="00A24BC5">
        <w:rPr>
          <w:color w:val="000000"/>
        </w:rPr>
        <w:t xml:space="preserve">föreslagna ökning av betalningarna för 2007 skulle innebära en ökning av den svenska avgiften till EU för 2007 med cirka 1 miljard kronor jämfört med beräkningen av prognosen som uppskattades till 27,4 miljarder kronor i 2006 års ekonomiska vårproposition [antagande växelkurs 9,0 och 2,7% som svensk finansieringsandel]. Skillnaden mellan KOM:s förslag och den svenska beräkningen förklaras av Sverige antar en lägre genomförandegrad. </w:t>
      </w:r>
    </w:p>
    <w:p w:rsidR="00A830FE" w:rsidRPr="00A24BC5" w:rsidRDefault="00A830FE">
      <w:pPr>
        <w:pStyle w:val="RKnormal"/>
      </w:pPr>
    </w:p>
    <w:p w:rsidR="00A830FE" w:rsidRPr="00A24BC5" w:rsidRDefault="00A830FE">
      <w:pPr>
        <w:pStyle w:val="RKnormal"/>
      </w:pPr>
      <w:r w:rsidRPr="00A24BC5">
        <w:t>Den svenska avgiften kommer, i enlighet med decembermötet 2005, reduceras men eftersom det saknas ett formellt egna medelsbeslut finns den inte med i prognosen. Sammanlagt under budgetperioden 2007-2013 kommer avgiften att minskas med 2 820 miljoner euro, dvs. 403 miljoner euro per år. Det innebär minskade utgifter på statsbudgeten, allt annat lika, med 3 625 miljoner kronor per år.</w:t>
      </w:r>
    </w:p>
    <w:p w:rsidR="00A830FE" w:rsidRPr="00A24BC5" w:rsidRDefault="00A830FE">
      <w:pPr>
        <w:pStyle w:val="RKnormal"/>
      </w:pPr>
    </w:p>
    <w:p w:rsidR="00A830FE" w:rsidRPr="00A24BC5" w:rsidRDefault="00A830FE">
      <w:pPr>
        <w:pStyle w:val="RKrubrik"/>
      </w:pPr>
      <w:r w:rsidRPr="00A24BC5">
        <w:t>Rådets kompromiss</w:t>
      </w:r>
    </w:p>
    <w:p w:rsidR="00A830FE" w:rsidRPr="00A24BC5" w:rsidRDefault="00A830FE">
      <w:pPr>
        <w:pStyle w:val="RKnormal"/>
      </w:pPr>
      <w:r w:rsidRPr="00A24BC5">
        <w:t xml:space="preserve">Kompromissförslaget innebär en minskning gentemot KOMs förslag med 1025 miljoner euro för åtaganden och 1762 miljoner euro för betalningarna. Kompromissens nivåer skulle innebära en minskning av den svenska avgiften till EU med 428 miljoner kronor 2007. </w:t>
      </w:r>
    </w:p>
    <w:p w:rsidR="00A830FE" w:rsidRPr="00A24BC5" w:rsidRDefault="00A830FE">
      <w:pPr>
        <w:pStyle w:val="RKnormal"/>
      </w:pPr>
    </w:p>
    <w:p w:rsidR="00A830FE" w:rsidRPr="00A24BC5" w:rsidRDefault="00A830FE">
      <w:pPr>
        <w:pStyle w:val="RKnormal"/>
      </w:pPr>
      <w:r w:rsidRPr="00A24BC5">
        <w:t>Det största positiva resultatet på sikt är förmodligen rådets förslag att minska administrationen, och att det pågår diskussioner med EP om deras stöd. Hälften av samtliga vakanser vid institutionerna som uppstår pga. pension ska inte återtillsättas. För 2007 innebär det 200 tjänster (exklusive EP bidrag) och avsikten är att detta ska bli en princip framöver. Dessutom ska KOM redovisa hur ytterligare 500 tjänster ska kunna tas bort fram till 2010 med anledning av färre programunder perioden 2007-2013. Rådet</w:t>
      </w:r>
      <w:r w:rsidRPr="00A24BC5">
        <w:t xml:space="preserve"> får minskat anslag med 0,56 % eller 3,3 miljoner euro jämfört med år 2006 och detta är en signal till EP om att vi vill minska administrationen. I de förhandlingar som pågår med EP finns signaler att de kan tänkas minska sin administration med 100 poster 2007.</w:t>
      </w:r>
    </w:p>
    <w:p w:rsidR="00A830FE" w:rsidRPr="00A24BC5" w:rsidRDefault="00A830FE">
      <w:pPr>
        <w:pStyle w:val="RKnormal"/>
      </w:pPr>
    </w:p>
    <w:p w:rsidR="00A830FE" w:rsidRPr="00A24BC5" w:rsidRDefault="00A830FE">
      <w:pPr>
        <w:pStyle w:val="RKnormal"/>
      </w:pPr>
      <w:r w:rsidRPr="00A24BC5">
        <w:t>Förändringarna i relation till KOM:s förslag ser översiktligen ut på följande sätt:</w:t>
      </w:r>
    </w:p>
    <w:p w:rsidR="00A830FE" w:rsidRPr="00A24BC5" w:rsidRDefault="00A830FE">
      <w:pPr>
        <w:pStyle w:val="RKnormal"/>
        <w:rPr>
          <w:highlight w:val="yellow"/>
        </w:rPr>
      </w:pPr>
    </w:p>
    <w:p w:rsidR="00A830FE" w:rsidRPr="00A24BC5" w:rsidRDefault="00A830FE">
      <w:pPr>
        <w:pStyle w:val="RKnormal"/>
        <w:numPr>
          <w:ilvl w:val="0"/>
          <w:numId w:val="2"/>
        </w:numPr>
      </w:pPr>
      <w:r w:rsidRPr="00A24BC5">
        <w:t xml:space="preserve">Rubrik 1a: Åtagandena dras ned med 14 miljoner euro och betalningarna med 176 miljoner euro. Åtagandena minskar pga. dåliga resultat och motiveringar i KOMs verksamhetsförklaringar (activity statement) och betalningarna främst för slutförande av sjätte ramprogrammet för forskning och utveckling, TEN och rymdforskning. </w:t>
      </w:r>
    </w:p>
    <w:p w:rsidR="00A830FE" w:rsidRPr="00A24BC5" w:rsidRDefault="00A830FE">
      <w:pPr>
        <w:pStyle w:val="RKnormal"/>
      </w:pPr>
    </w:p>
    <w:p w:rsidR="00A830FE" w:rsidRPr="00A24BC5" w:rsidRDefault="00A830FE">
      <w:pPr>
        <w:pStyle w:val="RKnormal"/>
        <w:numPr>
          <w:ilvl w:val="0"/>
          <w:numId w:val="2"/>
        </w:numPr>
      </w:pPr>
      <w:r w:rsidRPr="00A24BC5">
        <w:t xml:space="preserve">Rubrik 1b: Betalningarna dras ned med 425 miljoner euro, främst för social- och regionalfond för perioden 2000-2006. </w:t>
      </w:r>
    </w:p>
    <w:p w:rsidR="00A830FE" w:rsidRPr="00A24BC5" w:rsidRDefault="00A830FE">
      <w:pPr>
        <w:pStyle w:val="RKnormal"/>
      </w:pPr>
    </w:p>
    <w:p w:rsidR="00A830FE" w:rsidRPr="00A24BC5" w:rsidRDefault="00A830FE">
      <w:pPr>
        <w:pStyle w:val="RKnormal"/>
        <w:numPr>
          <w:ilvl w:val="0"/>
          <w:numId w:val="2"/>
        </w:numPr>
      </w:pPr>
      <w:r w:rsidRPr="00A24BC5">
        <w:t xml:space="preserve">Rubrik 2: Åtagandena dras ned med 746 miljoner euro och betalningarna med 788 miljoner euro </w:t>
      </w:r>
      <w:r w:rsidRPr="00A24BC5">
        <w:rPr>
          <w:color w:val="000000"/>
          <w:szCs w:val="24"/>
        </w:rPr>
        <w:t>vilket ger en marginal till taket på 1 880 miljoner euro. Största neddragningarna görs horisontellt på jordbruksintervention, godkännande av tidigare års räkenskaper med avseende på utgifter och bidrag för mjölk och mjölkprodukter.</w:t>
      </w:r>
    </w:p>
    <w:p w:rsidR="00A830FE" w:rsidRPr="00A24BC5" w:rsidRDefault="00A830FE">
      <w:pPr>
        <w:pStyle w:val="RKnormal"/>
        <w:ind w:left="360"/>
      </w:pPr>
    </w:p>
    <w:p w:rsidR="00A830FE" w:rsidRPr="00A24BC5" w:rsidRDefault="00A830FE">
      <w:pPr>
        <w:pStyle w:val="RKnormal"/>
        <w:numPr>
          <w:ilvl w:val="0"/>
          <w:numId w:val="2"/>
        </w:numPr>
      </w:pPr>
      <w:r w:rsidRPr="00A24BC5">
        <w:t xml:space="preserve">Rubrik 3a och 3b: Åtagandena minskar med 26 miljoner euro och betalningarna 58 miljoner euro. </w:t>
      </w:r>
    </w:p>
    <w:p w:rsidR="00A830FE" w:rsidRPr="00A24BC5" w:rsidRDefault="00A830FE">
      <w:pPr>
        <w:pStyle w:val="RKnormal"/>
        <w:ind w:left="360"/>
      </w:pPr>
    </w:p>
    <w:p w:rsidR="00A830FE" w:rsidRPr="00A24BC5" w:rsidRDefault="00A830FE">
      <w:pPr>
        <w:pStyle w:val="RKnormal"/>
        <w:numPr>
          <w:ilvl w:val="0"/>
          <w:numId w:val="2"/>
        </w:numPr>
      </w:pPr>
      <w:r w:rsidRPr="00A24BC5">
        <w:t xml:space="preserve">Rubrik 4: Åtagandena sänks med 110 miljoner euro och betalningarna med 186 miljoner euro. Neddragningen görs genom en horistonell neddragning på samtliga geografiska program samt vissa riktade besparingar. Främst på makroekonomiskt bistånd. Anslaget till Irak ökar med 17 miljoner euro. </w:t>
      </w:r>
    </w:p>
    <w:p w:rsidR="00A830FE" w:rsidRPr="00A24BC5" w:rsidRDefault="00A830FE">
      <w:pPr>
        <w:pStyle w:val="RKnormal"/>
        <w:ind w:left="360"/>
      </w:pPr>
    </w:p>
    <w:p w:rsidR="00A830FE" w:rsidRPr="00A24BC5" w:rsidRDefault="00A830FE">
      <w:pPr>
        <w:pStyle w:val="RKnormal"/>
        <w:numPr>
          <w:ilvl w:val="0"/>
          <w:numId w:val="2"/>
        </w:numPr>
      </w:pPr>
      <w:r w:rsidRPr="00A24BC5">
        <w:t>Rubrik 5: Åtagandena och betalningarna sänks med 130 miljoner euro, främst genom en minskad ökning för KOM och minskat anslag för rådet.</w:t>
      </w:r>
    </w:p>
    <w:p w:rsidR="00A830FE" w:rsidRPr="00A24BC5" w:rsidRDefault="00A830FE">
      <w:pPr>
        <w:pStyle w:val="RKnormal"/>
      </w:pPr>
    </w:p>
    <w:p w:rsidR="00A830FE" w:rsidRPr="00A24BC5" w:rsidRDefault="00A830FE">
      <w:pPr>
        <w:pStyle w:val="RKnormal"/>
      </w:pPr>
    </w:p>
    <w:tbl>
      <w:tblPr>
        <w:tblW w:w="9923" w:type="dxa"/>
        <w:tblInd w:w="-1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299"/>
        <w:gridCol w:w="954"/>
        <w:gridCol w:w="1088"/>
        <w:gridCol w:w="954"/>
        <w:gridCol w:w="1375"/>
        <w:gridCol w:w="1276"/>
      </w:tblGrid>
      <w:tr w:rsidR="00000000" w:rsidRPr="00A24BC5">
        <w:tblPrEx>
          <w:tblCellMar>
            <w:top w:w="0" w:type="dxa"/>
            <w:bottom w:w="0" w:type="dxa"/>
          </w:tblCellMar>
        </w:tblPrEx>
        <w:trPr>
          <w:cantSplit/>
          <w:trHeight w:val="485"/>
        </w:trPr>
        <w:tc>
          <w:tcPr>
            <w:tcW w:w="2977" w:type="dxa"/>
          </w:tcPr>
          <w:p w:rsidR="00A830FE" w:rsidRPr="00A24BC5" w:rsidRDefault="00A830FE">
            <w:pPr>
              <w:pStyle w:val="Normaltindrag"/>
              <w:ind w:firstLine="0"/>
              <w:rPr>
                <w:b/>
              </w:rPr>
            </w:pPr>
          </w:p>
        </w:tc>
        <w:tc>
          <w:tcPr>
            <w:tcW w:w="4295" w:type="dxa"/>
            <w:gridSpan w:val="4"/>
          </w:tcPr>
          <w:p w:rsidR="00A830FE" w:rsidRPr="00A24BC5" w:rsidRDefault="00A830FE">
            <w:pPr>
              <w:pStyle w:val="Normaltindrag"/>
              <w:ind w:firstLine="0"/>
              <w:rPr>
                <w:b/>
                <w:i/>
                <w:iCs/>
              </w:rPr>
            </w:pPr>
            <w:r w:rsidRPr="00A24BC5">
              <w:rPr>
                <w:b/>
                <w:i/>
                <w:iCs/>
              </w:rPr>
              <w:t>Kommissionens förslag</w:t>
            </w:r>
          </w:p>
        </w:tc>
        <w:tc>
          <w:tcPr>
            <w:tcW w:w="2651" w:type="dxa"/>
            <w:gridSpan w:val="2"/>
          </w:tcPr>
          <w:p w:rsidR="00A830FE" w:rsidRPr="00A24BC5" w:rsidRDefault="00A830FE">
            <w:pPr>
              <w:pStyle w:val="Normaltindrag"/>
              <w:ind w:firstLine="0"/>
              <w:rPr>
                <w:b/>
                <w:i/>
                <w:iCs/>
              </w:rPr>
            </w:pPr>
            <w:r w:rsidRPr="00A24BC5">
              <w:rPr>
                <w:b/>
                <w:i/>
                <w:iCs/>
              </w:rPr>
              <w:t>Besparingar i rådets kompromissförslag jämfört med KOM-förslaget</w:t>
            </w:r>
          </w:p>
        </w:tc>
      </w:tr>
      <w:tr w:rsidR="00000000" w:rsidRPr="00A24BC5">
        <w:tblPrEx>
          <w:tblCellMar>
            <w:top w:w="0" w:type="dxa"/>
            <w:bottom w:w="0" w:type="dxa"/>
          </w:tblCellMar>
        </w:tblPrEx>
        <w:trPr>
          <w:trHeight w:val="485"/>
        </w:trPr>
        <w:tc>
          <w:tcPr>
            <w:tcW w:w="2977" w:type="dxa"/>
          </w:tcPr>
          <w:p w:rsidR="00A830FE" w:rsidRPr="00A24BC5" w:rsidRDefault="00A830FE">
            <w:pPr>
              <w:pStyle w:val="Normaltindrag"/>
              <w:ind w:firstLine="0"/>
              <w:rPr>
                <w:b/>
              </w:rPr>
            </w:pPr>
            <w:r w:rsidRPr="00A24BC5">
              <w:rPr>
                <w:b/>
              </w:rPr>
              <w:t>Rubrik</w:t>
            </w:r>
          </w:p>
          <w:p w:rsidR="00A830FE" w:rsidRPr="00A24BC5" w:rsidRDefault="00A830FE">
            <w:pPr>
              <w:pStyle w:val="Normaltindrag"/>
              <w:ind w:firstLine="0"/>
              <w:rPr>
                <w:bCs/>
                <w:i/>
                <w:iCs/>
              </w:rPr>
            </w:pPr>
            <w:r w:rsidRPr="00A24BC5">
              <w:rPr>
                <w:bCs/>
                <w:i/>
                <w:iCs/>
              </w:rPr>
              <w:t>(miljoner euro)</w:t>
            </w:r>
          </w:p>
        </w:tc>
        <w:tc>
          <w:tcPr>
            <w:tcW w:w="1299" w:type="dxa"/>
          </w:tcPr>
          <w:p w:rsidR="00A830FE" w:rsidRPr="00A24BC5" w:rsidRDefault="00A830FE">
            <w:pPr>
              <w:pStyle w:val="Normaltindrag"/>
              <w:ind w:firstLine="0"/>
              <w:rPr>
                <w:b/>
              </w:rPr>
            </w:pPr>
            <w:r w:rsidRPr="00A24BC5">
              <w:rPr>
                <w:b/>
              </w:rPr>
              <w:t xml:space="preserve">Åtagande-anslag </w:t>
            </w:r>
          </w:p>
        </w:tc>
        <w:tc>
          <w:tcPr>
            <w:tcW w:w="954" w:type="dxa"/>
          </w:tcPr>
          <w:p w:rsidR="00A830FE" w:rsidRPr="00A24BC5" w:rsidRDefault="00A830FE">
            <w:pPr>
              <w:pStyle w:val="Normaltindrag"/>
              <w:ind w:firstLine="0"/>
              <w:rPr>
                <w:b/>
              </w:rPr>
            </w:pPr>
            <w:r w:rsidRPr="00A24BC5">
              <w:rPr>
                <w:b/>
              </w:rPr>
              <w:t>% jfr 06</w:t>
            </w:r>
          </w:p>
        </w:tc>
        <w:tc>
          <w:tcPr>
            <w:tcW w:w="1088" w:type="dxa"/>
          </w:tcPr>
          <w:p w:rsidR="00A830FE" w:rsidRPr="00A24BC5" w:rsidRDefault="00A830FE">
            <w:pPr>
              <w:pStyle w:val="Normaltindrag"/>
              <w:ind w:firstLine="0"/>
              <w:rPr>
                <w:b/>
              </w:rPr>
            </w:pPr>
            <w:r w:rsidRPr="00A24BC5">
              <w:rPr>
                <w:b/>
              </w:rPr>
              <w:t xml:space="preserve">Betalningsanslag </w:t>
            </w:r>
          </w:p>
        </w:tc>
        <w:tc>
          <w:tcPr>
            <w:tcW w:w="954" w:type="dxa"/>
          </w:tcPr>
          <w:p w:rsidR="00A830FE" w:rsidRPr="00A24BC5" w:rsidRDefault="00A830FE">
            <w:pPr>
              <w:pStyle w:val="Normaltindrag"/>
              <w:ind w:firstLine="0"/>
              <w:rPr>
                <w:b/>
              </w:rPr>
            </w:pPr>
            <w:r w:rsidRPr="00A24BC5">
              <w:rPr>
                <w:b/>
              </w:rPr>
              <w:t>% jfr 06</w:t>
            </w:r>
          </w:p>
        </w:tc>
        <w:tc>
          <w:tcPr>
            <w:tcW w:w="1375" w:type="dxa"/>
          </w:tcPr>
          <w:p w:rsidR="00A830FE" w:rsidRPr="00A24BC5" w:rsidRDefault="00A830FE">
            <w:pPr>
              <w:pStyle w:val="Normaltindrag"/>
              <w:ind w:firstLine="0"/>
              <w:rPr>
                <w:b/>
              </w:rPr>
            </w:pPr>
            <w:r w:rsidRPr="00A24BC5">
              <w:rPr>
                <w:b/>
              </w:rPr>
              <w:t>Åtagande-anslag</w:t>
            </w:r>
          </w:p>
        </w:tc>
        <w:tc>
          <w:tcPr>
            <w:tcW w:w="1276" w:type="dxa"/>
          </w:tcPr>
          <w:p w:rsidR="00A830FE" w:rsidRPr="00A24BC5" w:rsidRDefault="00A830FE">
            <w:pPr>
              <w:pStyle w:val="Normaltindrag"/>
              <w:ind w:firstLine="0"/>
              <w:rPr>
                <w:b/>
              </w:rPr>
            </w:pPr>
            <w:r w:rsidRPr="00A24BC5">
              <w:rPr>
                <w:b/>
              </w:rPr>
              <w:t>Betalnings-anslag</w:t>
            </w:r>
          </w:p>
        </w:tc>
      </w:tr>
      <w:tr w:rsidR="00000000" w:rsidRPr="00A24BC5">
        <w:tblPrEx>
          <w:tblCellMar>
            <w:top w:w="0" w:type="dxa"/>
            <w:bottom w:w="0" w:type="dxa"/>
          </w:tblCellMar>
        </w:tblPrEx>
        <w:trPr>
          <w:trHeight w:val="500"/>
        </w:trPr>
        <w:tc>
          <w:tcPr>
            <w:tcW w:w="2977" w:type="dxa"/>
          </w:tcPr>
          <w:p w:rsidR="00A830FE" w:rsidRPr="00A24BC5" w:rsidRDefault="00A830FE">
            <w:pPr>
              <w:pStyle w:val="Normaltindrag"/>
              <w:ind w:firstLine="0"/>
            </w:pPr>
            <w:r w:rsidRPr="00A24BC5">
              <w:t>1a. Konkurrens för tillväxt och sysselsättning (forskning)</w:t>
            </w:r>
          </w:p>
        </w:tc>
        <w:tc>
          <w:tcPr>
            <w:tcW w:w="1299" w:type="dxa"/>
          </w:tcPr>
          <w:p w:rsidR="00A830FE" w:rsidRPr="00A24BC5" w:rsidRDefault="00A830FE">
            <w:pPr>
              <w:pStyle w:val="Normaltindrag"/>
              <w:ind w:firstLine="0"/>
              <w:jc w:val="right"/>
            </w:pPr>
            <w:r w:rsidRPr="00A24BC5">
              <w:t>8 796</w:t>
            </w:r>
          </w:p>
        </w:tc>
        <w:tc>
          <w:tcPr>
            <w:tcW w:w="954" w:type="dxa"/>
          </w:tcPr>
          <w:p w:rsidR="00A830FE" w:rsidRPr="00A24BC5" w:rsidRDefault="00A830FE">
            <w:pPr>
              <w:pStyle w:val="Normaltindrag"/>
              <w:ind w:firstLine="0"/>
              <w:jc w:val="right"/>
            </w:pPr>
            <w:r w:rsidRPr="00A24BC5">
              <w:t>+11,5%</w:t>
            </w:r>
          </w:p>
        </w:tc>
        <w:tc>
          <w:tcPr>
            <w:tcW w:w="1088" w:type="dxa"/>
          </w:tcPr>
          <w:p w:rsidR="00A830FE" w:rsidRPr="00A24BC5" w:rsidRDefault="00A830FE">
            <w:pPr>
              <w:pStyle w:val="Normaltindrag"/>
              <w:ind w:firstLine="0"/>
              <w:jc w:val="right"/>
            </w:pPr>
            <w:r w:rsidRPr="00A24BC5">
              <w:t xml:space="preserve">6 944 </w:t>
            </w:r>
          </w:p>
        </w:tc>
        <w:tc>
          <w:tcPr>
            <w:tcW w:w="954" w:type="dxa"/>
          </w:tcPr>
          <w:p w:rsidR="00A830FE" w:rsidRPr="00A24BC5" w:rsidRDefault="00A830FE">
            <w:pPr>
              <w:pStyle w:val="Normaltindrag"/>
              <w:ind w:firstLine="0"/>
              <w:jc w:val="right"/>
            </w:pPr>
            <w:r w:rsidRPr="00A24BC5">
              <w:t>-6,5%</w:t>
            </w:r>
          </w:p>
        </w:tc>
        <w:tc>
          <w:tcPr>
            <w:tcW w:w="1375" w:type="dxa"/>
          </w:tcPr>
          <w:p w:rsidR="00A830FE" w:rsidRPr="00A24BC5" w:rsidRDefault="00A830FE">
            <w:pPr>
              <w:pStyle w:val="Normaltindrag"/>
              <w:ind w:firstLine="0"/>
              <w:jc w:val="right"/>
            </w:pPr>
            <w:r w:rsidRPr="00A24BC5">
              <w:t>-14</w:t>
            </w:r>
          </w:p>
        </w:tc>
        <w:tc>
          <w:tcPr>
            <w:tcW w:w="1276" w:type="dxa"/>
          </w:tcPr>
          <w:p w:rsidR="00A830FE" w:rsidRPr="00A24BC5" w:rsidRDefault="00A830FE">
            <w:pPr>
              <w:pStyle w:val="Normaltindrag"/>
              <w:ind w:firstLine="0"/>
              <w:jc w:val="right"/>
            </w:pPr>
            <w:r w:rsidRPr="00A24BC5">
              <w:t>-176</w:t>
            </w:r>
          </w:p>
        </w:tc>
      </w:tr>
      <w:tr w:rsidR="00000000" w:rsidRPr="00A24BC5">
        <w:tblPrEx>
          <w:tblCellMar>
            <w:top w:w="0" w:type="dxa"/>
            <w:bottom w:w="0" w:type="dxa"/>
          </w:tblCellMar>
        </w:tblPrEx>
        <w:trPr>
          <w:trHeight w:val="242"/>
        </w:trPr>
        <w:tc>
          <w:tcPr>
            <w:tcW w:w="2977" w:type="dxa"/>
          </w:tcPr>
          <w:p w:rsidR="00A830FE" w:rsidRPr="00A24BC5" w:rsidRDefault="00A830FE">
            <w:pPr>
              <w:pStyle w:val="Normaltindrag"/>
              <w:ind w:firstLine="0"/>
            </w:pPr>
            <w:r w:rsidRPr="00A24BC5">
              <w:t>1b. Ökad sammanhållning för tillväxt och sysselsättning (struktur-fonder)</w:t>
            </w:r>
          </w:p>
        </w:tc>
        <w:tc>
          <w:tcPr>
            <w:tcW w:w="1299" w:type="dxa"/>
          </w:tcPr>
          <w:p w:rsidR="00A830FE" w:rsidRPr="00A24BC5" w:rsidRDefault="00A830FE">
            <w:pPr>
              <w:pStyle w:val="Normaltindrag"/>
              <w:ind w:firstLine="0"/>
              <w:jc w:val="right"/>
            </w:pPr>
            <w:r w:rsidRPr="00A24BC5">
              <w:t>45 487</w:t>
            </w:r>
          </w:p>
        </w:tc>
        <w:tc>
          <w:tcPr>
            <w:tcW w:w="954" w:type="dxa"/>
          </w:tcPr>
          <w:p w:rsidR="00A830FE" w:rsidRPr="00A24BC5" w:rsidRDefault="00A830FE">
            <w:pPr>
              <w:pStyle w:val="Normaltindrag"/>
              <w:ind w:firstLine="0"/>
              <w:jc w:val="right"/>
            </w:pPr>
            <w:r w:rsidRPr="00A24BC5">
              <w:t>+14,8%</w:t>
            </w:r>
          </w:p>
        </w:tc>
        <w:tc>
          <w:tcPr>
            <w:tcW w:w="1088" w:type="dxa"/>
          </w:tcPr>
          <w:p w:rsidR="00A830FE" w:rsidRPr="00A24BC5" w:rsidRDefault="00A830FE">
            <w:pPr>
              <w:pStyle w:val="Normaltindrag"/>
              <w:ind w:firstLine="0"/>
              <w:jc w:val="right"/>
            </w:pPr>
            <w:r w:rsidRPr="00A24BC5">
              <w:t>37 790</w:t>
            </w:r>
          </w:p>
        </w:tc>
        <w:tc>
          <w:tcPr>
            <w:tcW w:w="954" w:type="dxa"/>
          </w:tcPr>
          <w:p w:rsidR="00A830FE" w:rsidRPr="00A24BC5" w:rsidRDefault="00A830FE">
            <w:pPr>
              <w:pStyle w:val="Normaltindrag"/>
              <w:ind w:firstLine="0"/>
              <w:jc w:val="right"/>
            </w:pPr>
            <w:r w:rsidRPr="00A24BC5">
              <w:t>+19,1%</w:t>
            </w:r>
          </w:p>
        </w:tc>
        <w:tc>
          <w:tcPr>
            <w:tcW w:w="1375" w:type="dxa"/>
          </w:tcPr>
          <w:p w:rsidR="00A830FE" w:rsidRPr="00A24BC5" w:rsidRDefault="00A830FE">
            <w:pPr>
              <w:pStyle w:val="Normaltindrag"/>
              <w:ind w:firstLine="0"/>
              <w:jc w:val="right"/>
            </w:pPr>
          </w:p>
        </w:tc>
        <w:tc>
          <w:tcPr>
            <w:tcW w:w="1276" w:type="dxa"/>
          </w:tcPr>
          <w:p w:rsidR="00A830FE" w:rsidRPr="00A24BC5" w:rsidRDefault="00A830FE">
            <w:pPr>
              <w:pStyle w:val="Normaltindrag"/>
              <w:ind w:firstLine="0"/>
              <w:jc w:val="right"/>
            </w:pPr>
            <w:r w:rsidRPr="00A24BC5">
              <w:t>-425</w:t>
            </w:r>
          </w:p>
        </w:tc>
      </w:tr>
      <w:tr w:rsidR="00000000" w:rsidRPr="00A24BC5">
        <w:tblPrEx>
          <w:tblCellMar>
            <w:top w:w="0" w:type="dxa"/>
            <w:bottom w:w="0" w:type="dxa"/>
          </w:tblCellMar>
        </w:tblPrEx>
        <w:trPr>
          <w:trHeight w:val="242"/>
        </w:trPr>
        <w:tc>
          <w:tcPr>
            <w:tcW w:w="2977" w:type="dxa"/>
          </w:tcPr>
          <w:p w:rsidR="00A830FE" w:rsidRPr="00A24BC5" w:rsidRDefault="00A830FE">
            <w:pPr>
              <w:pStyle w:val="Normaltindrag"/>
              <w:ind w:firstLine="0"/>
              <w:jc w:val="left"/>
            </w:pPr>
            <w:r w:rsidRPr="00A24BC5">
              <w:t>2. Bevarande och förvaltning av naturresurser (jordbruk)</w:t>
            </w:r>
          </w:p>
        </w:tc>
        <w:tc>
          <w:tcPr>
            <w:tcW w:w="1299" w:type="dxa"/>
          </w:tcPr>
          <w:p w:rsidR="00A830FE" w:rsidRPr="00A24BC5" w:rsidRDefault="00A830FE">
            <w:pPr>
              <w:pStyle w:val="Normaltindrag"/>
              <w:ind w:firstLine="0"/>
              <w:jc w:val="right"/>
            </w:pPr>
            <w:r w:rsidRPr="00A24BC5">
              <w:t>57 218</w:t>
            </w:r>
          </w:p>
        </w:tc>
        <w:tc>
          <w:tcPr>
            <w:tcW w:w="954" w:type="dxa"/>
          </w:tcPr>
          <w:p w:rsidR="00A830FE" w:rsidRPr="00A24BC5" w:rsidRDefault="00A830FE">
            <w:pPr>
              <w:pStyle w:val="Normaltindrag"/>
              <w:ind w:firstLine="0"/>
              <w:jc w:val="right"/>
            </w:pPr>
            <w:r w:rsidRPr="00A24BC5">
              <w:t>+1,2%</w:t>
            </w:r>
          </w:p>
        </w:tc>
        <w:tc>
          <w:tcPr>
            <w:tcW w:w="1088" w:type="dxa"/>
          </w:tcPr>
          <w:p w:rsidR="00A830FE" w:rsidRPr="00A24BC5" w:rsidRDefault="00A830FE">
            <w:pPr>
              <w:pStyle w:val="Normaltindrag"/>
              <w:ind w:firstLine="0"/>
              <w:jc w:val="right"/>
            </w:pPr>
            <w:r w:rsidRPr="00A24BC5">
              <w:t>55 683</w:t>
            </w:r>
          </w:p>
        </w:tc>
        <w:tc>
          <w:tcPr>
            <w:tcW w:w="954" w:type="dxa"/>
          </w:tcPr>
          <w:p w:rsidR="00A830FE" w:rsidRPr="00A24BC5" w:rsidRDefault="00A830FE">
            <w:pPr>
              <w:pStyle w:val="Normaltindrag"/>
              <w:ind w:firstLine="0"/>
              <w:jc w:val="right"/>
            </w:pPr>
            <w:r w:rsidRPr="00A24BC5">
              <w:t>+0,4%</w:t>
            </w:r>
          </w:p>
        </w:tc>
        <w:tc>
          <w:tcPr>
            <w:tcW w:w="1375" w:type="dxa"/>
          </w:tcPr>
          <w:p w:rsidR="00A830FE" w:rsidRPr="00A24BC5" w:rsidRDefault="00A830FE">
            <w:pPr>
              <w:pStyle w:val="Normaltindrag"/>
              <w:ind w:firstLine="0"/>
              <w:jc w:val="right"/>
            </w:pPr>
            <w:r w:rsidRPr="00A24BC5">
              <w:t>-746</w:t>
            </w:r>
          </w:p>
        </w:tc>
        <w:tc>
          <w:tcPr>
            <w:tcW w:w="1276" w:type="dxa"/>
          </w:tcPr>
          <w:p w:rsidR="00A830FE" w:rsidRPr="00A24BC5" w:rsidRDefault="00A830FE">
            <w:pPr>
              <w:pStyle w:val="Normaltindrag"/>
              <w:ind w:firstLine="0"/>
              <w:jc w:val="right"/>
            </w:pPr>
            <w:r w:rsidRPr="00A24BC5">
              <w:t>-788</w:t>
            </w:r>
          </w:p>
        </w:tc>
      </w:tr>
      <w:tr w:rsidR="00000000" w:rsidRPr="00A24BC5">
        <w:tblPrEx>
          <w:tblCellMar>
            <w:top w:w="0" w:type="dxa"/>
            <w:bottom w:w="0" w:type="dxa"/>
          </w:tblCellMar>
        </w:tblPrEx>
        <w:trPr>
          <w:trHeight w:val="242"/>
        </w:trPr>
        <w:tc>
          <w:tcPr>
            <w:tcW w:w="2977" w:type="dxa"/>
          </w:tcPr>
          <w:p w:rsidR="00A830FE" w:rsidRPr="00A24BC5" w:rsidRDefault="00A830FE">
            <w:pPr>
              <w:pStyle w:val="Normaltindrag"/>
              <w:ind w:firstLine="0"/>
              <w:jc w:val="left"/>
            </w:pPr>
            <w:r w:rsidRPr="00A24BC5">
              <w:t>3a. Frihet, säkerhet och rättvisa (asyl, polis)</w:t>
            </w:r>
          </w:p>
        </w:tc>
        <w:tc>
          <w:tcPr>
            <w:tcW w:w="1299" w:type="dxa"/>
          </w:tcPr>
          <w:p w:rsidR="00A830FE" w:rsidRPr="00A24BC5" w:rsidRDefault="00A830FE">
            <w:pPr>
              <w:pStyle w:val="Normaltindrag"/>
              <w:ind w:firstLine="0"/>
              <w:jc w:val="right"/>
            </w:pPr>
            <w:r w:rsidRPr="00A24BC5">
              <w:t>571</w:t>
            </w:r>
          </w:p>
        </w:tc>
        <w:tc>
          <w:tcPr>
            <w:tcW w:w="954" w:type="dxa"/>
          </w:tcPr>
          <w:p w:rsidR="00A830FE" w:rsidRPr="00A24BC5" w:rsidRDefault="00A830FE">
            <w:pPr>
              <w:pStyle w:val="Normaltindrag"/>
              <w:ind w:firstLine="0"/>
              <w:jc w:val="right"/>
            </w:pPr>
            <w:r w:rsidRPr="00A24BC5">
              <w:t>+4,0%</w:t>
            </w:r>
          </w:p>
        </w:tc>
        <w:tc>
          <w:tcPr>
            <w:tcW w:w="1088" w:type="dxa"/>
          </w:tcPr>
          <w:p w:rsidR="00A830FE" w:rsidRPr="00A24BC5" w:rsidRDefault="00A830FE">
            <w:pPr>
              <w:pStyle w:val="Normaltindrag"/>
              <w:ind w:firstLine="0"/>
              <w:jc w:val="right"/>
            </w:pPr>
            <w:r w:rsidRPr="00A24BC5">
              <w:t>427</w:t>
            </w:r>
          </w:p>
        </w:tc>
        <w:tc>
          <w:tcPr>
            <w:tcW w:w="954" w:type="dxa"/>
          </w:tcPr>
          <w:p w:rsidR="00A830FE" w:rsidRPr="00A24BC5" w:rsidRDefault="00A830FE">
            <w:pPr>
              <w:pStyle w:val="Normaltindrag"/>
              <w:ind w:firstLine="0"/>
              <w:jc w:val="right"/>
            </w:pPr>
            <w:r w:rsidRPr="00A24BC5">
              <w:t>-19,9%</w:t>
            </w:r>
          </w:p>
        </w:tc>
        <w:tc>
          <w:tcPr>
            <w:tcW w:w="1375" w:type="dxa"/>
          </w:tcPr>
          <w:p w:rsidR="00A830FE" w:rsidRPr="00A24BC5" w:rsidRDefault="00A830FE">
            <w:pPr>
              <w:pStyle w:val="Normaltindrag"/>
              <w:ind w:firstLine="0"/>
              <w:jc w:val="right"/>
            </w:pPr>
            <w:r w:rsidRPr="00A24BC5">
              <w:t>-10</w:t>
            </w:r>
          </w:p>
        </w:tc>
        <w:tc>
          <w:tcPr>
            <w:tcW w:w="1276" w:type="dxa"/>
          </w:tcPr>
          <w:p w:rsidR="00A830FE" w:rsidRPr="00A24BC5" w:rsidRDefault="00A830FE">
            <w:pPr>
              <w:pStyle w:val="Normaltindrag"/>
              <w:ind w:firstLine="0"/>
              <w:jc w:val="right"/>
            </w:pPr>
            <w:r w:rsidRPr="00A24BC5">
              <w:t>-27</w:t>
            </w:r>
          </w:p>
        </w:tc>
      </w:tr>
      <w:tr w:rsidR="00000000" w:rsidRPr="00A24BC5">
        <w:tblPrEx>
          <w:tblCellMar>
            <w:top w:w="0" w:type="dxa"/>
            <w:bottom w:w="0" w:type="dxa"/>
          </w:tblCellMar>
        </w:tblPrEx>
        <w:trPr>
          <w:trHeight w:val="242"/>
        </w:trPr>
        <w:tc>
          <w:tcPr>
            <w:tcW w:w="2977" w:type="dxa"/>
          </w:tcPr>
          <w:p w:rsidR="00A830FE" w:rsidRPr="00A24BC5" w:rsidRDefault="00A830FE">
            <w:pPr>
              <w:pStyle w:val="Normaltindrag"/>
              <w:ind w:firstLine="0"/>
            </w:pPr>
            <w:r w:rsidRPr="00A24BC5">
              <w:t>3b. Annan inre politik (smittskydd)</w:t>
            </w:r>
          </w:p>
        </w:tc>
        <w:tc>
          <w:tcPr>
            <w:tcW w:w="1299" w:type="dxa"/>
          </w:tcPr>
          <w:p w:rsidR="00A830FE" w:rsidRPr="00A24BC5" w:rsidRDefault="00A830FE">
            <w:pPr>
              <w:pStyle w:val="Normaltindrag"/>
              <w:ind w:firstLine="0"/>
              <w:jc w:val="right"/>
            </w:pPr>
            <w:r w:rsidRPr="00A24BC5">
              <w:t>603</w:t>
            </w:r>
          </w:p>
        </w:tc>
        <w:tc>
          <w:tcPr>
            <w:tcW w:w="954" w:type="dxa"/>
          </w:tcPr>
          <w:p w:rsidR="00A830FE" w:rsidRPr="00A24BC5" w:rsidRDefault="00A830FE">
            <w:pPr>
              <w:pStyle w:val="Normaltindrag"/>
              <w:ind w:firstLine="0"/>
              <w:jc w:val="right"/>
            </w:pPr>
            <w:r w:rsidRPr="00A24BC5">
              <w:t>-1,4%</w:t>
            </w:r>
          </w:p>
        </w:tc>
        <w:tc>
          <w:tcPr>
            <w:tcW w:w="1088" w:type="dxa"/>
          </w:tcPr>
          <w:p w:rsidR="00A830FE" w:rsidRPr="00A24BC5" w:rsidRDefault="00A830FE">
            <w:pPr>
              <w:pStyle w:val="Normaltindrag"/>
              <w:ind w:firstLine="0"/>
              <w:jc w:val="right"/>
            </w:pPr>
            <w:r w:rsidRPr="00A24BC5">
              <w:t>680</w:t>
            </w:r>
          </w:p>
        </w:tc>
        <w:tc>
          <w:tcPr>
            <w:tcW w:w="954" w:type="dxa"/>
          </w:tcPr>
          <w:p w:rsidR="00A830FE" w:rsidRPr="00A24BC5" w:rsidRDefault="00A830FE">
            <w:pPr>
              <w:pStyle w:val="Normaltindrag"/>
              <w:ind w:firstLine="0"/>
              <w:jc w:val="right"/>
            </w:pPr>
            <w:r w:rsidRPr="00A24BC5">
              <w:t>+7,3%</w:t>
            </w:r>
          </w:p>
        </w:tc>
        <w:tc>
          <w:tcPr>
            <w:tcW w:w="1375" w:type="dxa"/>
          </w:tcPr>
          <w:p w:rsidR="00A830FE" w:rsidRPr="00A24BC5" w:rsidRDefault="00A830FE">
            <w:pPr>
              <w:pStyle w:val="Normaltindrag"/>
              <w:ind w:firstLine="0"/>
              <w:jc w:val="right"/>
            </w:pPr>
            <w:r w:rsidRPr="00A24BC5">
              <w:t>-16</w:t>
            </w:r>
          </w:p>
        </w:tc>
        <w:tc>
          <w:tcPr>
            <w:tcW w:w="1276" w:type="dxa"/>
          </w:tcPr>
          <w:p w:rsidR="00A830FE" w:rsidRPr="00A24BC5" w:rsidRDefault="00A830FE">
            <w:pPr>
              <w:pStyle w:val="Normaltindrag"/>
              <w:ind w:firstLine="0"/>
              <w:jc w:val="right"/>
            </w:pPr>
            <w:r w:rsidRPr="00A24BC5">
              <w:t>-32</w:t>
            </w:r>
          </w:p>
        </w:tc>
      </w:tr>
      <w:tr w:rsidR="00000000" w:rsidRPr="00A24BC5">
        <w:tblPrEx>
          <w:tblCellMar>
            <w:top w:w="0" w:type="dxa"/>
            <w:bottom w:w="0" w:type="dxa"/>
          </w:tblCellMar>
        </w:tblPrEx>
        <w:trPr>
          <w:trHeight w:val="242"/>
        </w:trPr>
        <w:tc>
          <w:tcPr>
            <w:tcW w:w="2977" w:type="dxa"/>
          </w:tcPr>
          <w:p w:rsidR="00A830FE" w:rsidRPr="00A24BC5" w:rsidRDefault="00A830FE">
            <w:pPr>
              <w:pStyle w:val="Normaltindrag"/>
              <w:ind w:firstLine="0"/>
            </w:pPr>
            <w:r w:rsidRPr="00A24BC5">
              <w:t>4. EU som global partner</w:t>
            </w:r>
          </w:p>
        </w:tc>
        <w:tc>
          <w:tcPr>
            <w:tcW w:w="1299" w:type="dxa"/>
          </w:tcPr>
          <w:p w:rsidR="00A830FE" w:rsidRPr="00A24BC5" w:rsidRDefault="00A830FE">
            <w:pPr>
              <w:pStyle w:val="Normaltindrag"/>
              <w:ind w:firstLine="0"/>
              <w:jc w:val="right"/>
            </w:pPr>
            <w:r w:rsidRPr="00A24BC5">
              <w:t>6 703</w:t>
            </w:r>
          </w:p>
        </w:tc>
        <w:tc>
          <w:tcPr>
            <w:tcW w:w="954" w:type="dxa"/>
          </w:tcPr>
          <w:p w:rsidR="00A830FE" w:rsidRPr="00A24BC5" w:rsidRDefault="00A830FE">
            <w:pPr>
              <w:pStyle w:val="Normaltindrag"/>
              <w:ind w:firstLine="0"/>
              <w:jc w:val="right"/>
            </w:pPr>
            <w:r w:rsidRPr="00A24BC5">
              <w:t>-20,2%</w:t>
            </w:r>
          </w:p>
        </w:tc>
        <w:tc>
          <w:tcPr>
            <w:tcW w:w="1088" w:type="dxa"/>
          </w:tcPr>
          <w:p w:rsidR="00A830FE" w:rsidRPr="00A24BC5" w:rsidRDefault="00A830FE">
            <w:pPr>
              <w:pStyle w:val="Normaltindrag"/>
              <w:ind w:firstLine="0"/>
              <w:jc w:val="right"/>
            </w:pPr>
            <w:r w:rsidRPr="00A24BC5">
              <w:t>7 448</w:t>
            </w:r>
          </w:p>
        </w:tc>
        <w:tc>
          <w:tcPr>
            <w:tcW w:w="954" w:type="dxa"/>
          </w:tcPr>
          <w:p w:rsidR="00A830FE" w:rsidRPr="00A24BC5" w:rsidRDefault="00A830FE">
            <w:pPr>
              <w:pStyle w:val="Normaltindrag"/>
              <w:ind w:firstLine="0"/>
              <w:jc w:val="right"/>
            </w:pPr>
            <w:r w:rsidRPr="00A24BC5">
              <w:t>-13,8%</w:t>
            </w:r>
          </w:p>
        </w:tc>
        <w:tc>
          <w:tcPr>
            <w:tcW w:w="1375" w:type="dxa"/>
          </w:tcPr>
          <w:p w:rsidR="00A830FE" w:rsidRPr="00A24BC5" w:rsidRDefault="00A830FE">
            <w:pPr>
              <w:pStyle w:val="Normaltindrag"/>
              <w:ind w:firstLine="0"/>
              <w:jc w:val="right"/>
            </w:pPr>
            <w:r w:rsidRPr="00A24BC5">
              <w:t>-110</w:t>
            </w:r>
          </w:p>
        </w:tc>
        <w:tc>
          <w:tcPr>
            <w:tcW w:w="1276" w:type="dxa"/>
          </w:tcPr>
          <w:p w:rsidR="00A830FE" w:rsidRPr="00A24BC5" w:rsidRDefault="00A830FE">
            <w:pPr>
              <w:pStyle w:val="Normaltindrag"/>
              <w:ind w:firstLine="0"/>
              <w:jc w:val="right"/>
            </w:pPr>
            <w:r w:rsidRPr="00A24BC5">
              <w:t>-196</w:t>
            </w:r>
          </w:p>
        </w:tc>
      </w:tr>
      <w:tr w:rsidR="00000000" w:rsidRPr="00A24BC5">
        <w:tblPrEx>
          <w:tblCellMar>
            <w:top w:w="0" w:type="dxa"/>
            <w:bottom w:w="0" w:type="dxa"/>
          </w:tblCellMar>
        </w:tblPrEx>
        <w:trPr>
          <w:trHeight w:val="242"/>
        </w:trPr>
        <w:tc>
          <w:tcPr>
            <w:tcW w:w="2977" w:type="dxa"/>
          </w:tcPr>
          <w:p w:rsidR="00A830FE" w:rsidRPr="00A24BC5" w:rsidRDefault="00A830FE">
            <w:pPr>
              <w:pStyle w:val="Normaltindrag"/>
              <w:ind w:firstLine="0"/>
            </w:pPr>
            <w:r w:rsidRPr="00A24BC5">
              <w:t>5. Administration</w:t>
            </w:r>
          </w:p>
        </w:tc>
        <w:tc>
          <w:tcPr>
            <w:tcW w:w="1299" w:type="dxa"/>
          </w:tcPr>
          <w:p w:rsidR="00A830FE" w:rsidRPr="00A24BC5" w:rsidRDefault="00A830FE">
            <w:pPr>
              <w:pStyle w:val="Normaltindrag"/>
              <w:ind w:firstLine="0"/>
              <w:jc w:val="right"/>
            </w:pPr>
            <w:r w:rsidRPr="00A24BC5">
              <w:t>7 002</w:t>
            </w:r>
          </w:p>
        </w:tc>
        <w:tc>
          <w:tcPr>
            <w:tcW w:w="954" w:type="dxa"/>
          </w:tcPr>
          <w:p w:rsidR="00A830FE" w:rsidRPr="00A24BC5" w:rsidRDefault="00A830FE">
            <w:pPr>
              <w:pStyle w:val="Normaltindrag"/>
              <w:ind w:firstLine="0"/>
              <w:jc w:val="right"/>
            </w:pPr>
            <w:r w:rsidRPr="00A24BC5">
              <w:t>+6,0 %</w:t>
            </w:r>
          </w:p>
        </w:tc>
        <w:tc>
          <w:tcPr>
            <w:tcW w:w="1088" w:type="dxa"/>
          </w:tcPr>
          <w:p w:rsidR="00A830FE" w:rsidRPr="00A24BC5" w:rsidRDefault="00A830FE">
            <w:pPr>
              <w:pStyle w:val="Normaltindrag"/>
              <w:ind w:firstLine="0"/>
              <w:jc w:val="right"/>
            </w:pPr>
            <w:r w:rsidRPr="00A24BC5">
              <w:t>7 002</w:t>
            </w:r>
          </w:p>
        </w:tc>
        <w:tc>
          <w:tcPr>
            <w:tcW w:w="954" w:type="dxa"/>
          </w:tcPr>
          <w:p w:rsidR="00A830FE" w:rsidRPr="00A24BC5" w:rsidRDefault="00A830FE">
            <w:pPr>
              <w:pStyle w:val="Normaltindrag"/>
              <w:ind w:firstLine="0"/>
              <w:jc w:val="right"/>
            </w:pPr>
            <w:r w:rsidRPr="00A24BC5">
              <w:t>+6,0%</w:t>
            </w:r>
          </w:p>
        </w:tc>
        <w:tc>
          <w:tcPr>
            <w:tcW w:w="1375" w:type="dxa"/>
          </w:tcPr>
          <w:p w:rsidR="00A830FE" w:rsidRPr="00A24BC5" w:rsidRDefault="00A830FE">
            <w:pPr>
              <w:pStyle w:val="Normaltindrag"/>
              <w:ind w:firstLine="0"/>
              <w:jc w:val="right"/>
            </w:pPr>
            <w:r w:rsidRPr="00A24BC5">
              <w:t>-130</w:t>
            </w:r>
          </w:p>
        </w:tc>
        <w:tc>
          <w:tcPr>
            <w:tcW w:w="1276" w:type="dxa"/>
          </w:tcPr>
          <w:p w:rsidR="00A830FE" w:rsidRPr="00A24BC5" w:rsidRDefault="00A830FE">
            <w:pPr>
              <w:pStyle w:val="Normaltindrag"/>
              <w:ind w:firstLine="0"/>
              <w:jc w:val="right"/>
            </w:pPr>
            <w:r w:rsidRPr="00A24BC5">
              <w:t>-30</w:t>
            </w:r>
          </w:p>
        </w:tc>
      </w:tr>
      <w:tr w:rsidR="00000000" w:rsidRPr="00A24BC5">
        <w:tblPrEx>
          <w:tblCellMar>
            <w:top w:w="0" w:type="dxa"/>
            <w:bottom w:w="0" w:type="dxa"/>
          </w:tblCellMar>
        </w:tblPrEx>
        <w:trPr>
          <w:trHeight w:val="242"/>
        </w:trPr>
        <w:tc>
          <w:tcPr>
            <w:tcW w:w="2977" w:type="dxa"/>
          </w:tcPr>
          <w:p w:rsidR="00A830FE" w:rsidRPr="00A24BC5" w:rsidRDefault="00A830FE">
            <w:pPr>
              <w:pStyle w:val="Normaltindrag"/>
              <w:ind w:firstLine="0"/>
            </w:pPr>
            <w:r w:rsidRPr="00A24BC5">
              <w:t>6. Kompensationer</w:t>
            </w:r>
          </w:p>
        </w:tc>
        <w:tc>
          <w:tcPr>
            <w:tcW w:w="1299" w:type="dxa"/>
          </w:tcPr>
          <w:p w:rsidR="00A830FE" w:rsidRPr="00A24BC5" w:rsidRDefault="00A830FE">
            <w:pPr>
              <w:pStyle w:val="Normaltindrag"/>
              <w:ind w:firstLine="0"/>
              <w:jc w:val="right"/>
            </w:pPr>
            <w:r w:rsidRPr="00A24BC5">
              <w:t>445</w:t>
            </w:r>
          </w:p>
        </w:tc>
        <w:tc>
          <w:tcPr>
            <w:tcW w:w="954" w:type="dxa"/>
          </w:tcPr>
          <w:p w:rsidR="00A830FE" w:rsidRPr="00A24BC5" w:rsidRDefault="00A830FE">
            <w:pPr>
              <w:pStyle w:val="Normaltindrag"/>
              <w:ind w:firstLine="0"/>
              <w:jc w:val="right"/>
            </w:pPr>
            <w:r w:rsidRPr="00A24BC5">
              <w:t>-58,6%</w:t>
            </w:r>
          </w:p>
        </w:tc>
        <w:tc>
          <w:tcPr>
            <w:tcW w:w="1088" w:type="dxa"/>
          </w:tcPr>
          <w:p w:rsidR="00A830FE" w:rsidRPr="00A24BC5" w:rsidRDefault="00A830FE">
            <w:pPr>
              <w:pStyle w:val="Normaltindrag"/>
              <w:ind w:firstLine="0"/>
              <w:jc w:val="right"/>
            </w:pPr>
            <w:r w:rsidRPr="00A24BC5">
              <w:t>445</w:t>
            </w:r>
          </w:p>
        </w:tc>
        <w:tc>
          <w:tcPr>
            <w:tcW w:w="954" w:type="dxa"/>
          </w:tcPr>
          <w:p w:rsidR="00A830FE" w:rsidRPr="00A24BC5" w:rsidRDefault="00A830FE">
            <w:pPr>
              <w:pStyle w:val="Normaltindrag"/>
              <w:ind w:firstLine="0"/>
              <w:jc w:val="right"/>
            </w:pPr>
            <w:r w:rsidRPr="00A24BC5">
              <w:t>-58,6%</w:t>
            </w:r>
          </w:p>
        </w:tc>
        <w:tc>
          <w:tcPr>
            <w:tcW w:w="1375" w:type="dxa"/>
          </w:tcPr>
          <w:p w:rsidR="00A830FE" w:rsidRPr="00A24BC5" w:rsidRDefault="00A830FE">
            <w:pPr>
              <w:pStyle w:val="Normaltindrag"/>
              <w:ind w:firstLine="0"/>
              <w:jc w:val="right"/>
            </w:pPr>
          </w:p>
        </w:tc>
        <w:tc>
          <w:tcPr>
            <w:tcW w:w="1276" w:type="dxa"/>
          </w:tcPr>
          <w:p w:rsidR="00A830FE" w:rsidRPr="00A24BC5" w:rsidRDefault="00A830FE">
            <w:pPr>
              <w:pStyle w:val="Normaltindrag"/>
              <w:ind w:firstLine="0"/>
              <w:jc w:val="right"/>
            </w:pPr>
          </w:p>
        </w:tc>
      </w:tr>
      <w:tr w:rsidR="00000000" w:rsidRPr="00A24BC5">
        <w:tblPrEx>
          <w:tblCellMar>
            <w:top w:w="0" w:type="dxa"/>
            <w:bottom w:w="0" w:type="dxa"/>
          </w:tblCellMar>
        </w:tblPrEx>
        <w:trPr>
          <w:trHeight w:val="242"/>
        </w:trPr>
        <w:tc>
          <w:tcPr>
            <w:tcW w:w="2977" w:type="dxa"/>
          </w:tcPr>
          <w:p w:rsidR="00A830FE" w:rsidRPr="00A24BC5" w:rsidRDefault="00A830FE">
            <w:pPr>
              <w:pStyle w:val="Normaltindrag"/>
              <w:ind w:firstLine="0"/>
              <w:rPr>
                <w:b/>
                <w:bCs/>
              </w:rPr>
            </w:pPr>
            <w:r w:rsidRPr="00A24BC5">
              <w:rPr>
                <w:b/>
                <w:bCs/>
              </w:rPr>
              <w:t>Totalt</w:t>
            </w:r>
          </w:p>
        </w:tc>
        <w:tc>
          <w:tcPr>
            <w:tcW w:w="1299" w:type="dxa"/>
          </w:tcPr>
          <w:p w:rsidR="00A830FE" w:rsidRPr="00A24BC5" w:rsidRDefault="00A830FE">
            <w:pPr>
              <w:pStyle w:val="Normaltindrag"/>
              <w:ind w:firstLine="0"/>
              <w:jc w:val="right"/>
              <w:rPr>
                <w:b/>
                <w:bCs/>
              </w:rPr>
            </w:pPr>
            <w:r w:rsidRPr="00A24BC5">
              <w:rPr>
                <w:b/>
                <w:bCs/>
              </w:rPr>
              <w:t>126 824</w:t>
            </w:r>
          </w:p>
        </w:tc>
        <w:tc>
          <w:tcPr>
            <w:tcW w:w="954" w:type="dxa"/>
          </w:tcPr>
          <w:p w:rsidR="00A830FE" w:rsidRPr="00A24BC5" w:rsidRDefault="00A830FE">
            <w:pPr>
              <w:pStyle w:val="Normaltindrag"/>
              <w:ind w:firstLine="0"/>
              <w:jc w:val="right"/>
              <w:rPr>
                <w:b/>
                <w:bCs/>
              </w:rPr>
            </w:pPr>
            <w:r w:rsidRPr="00A24BC5">
              <w:rPr>
                <w:b/>
                <w:bCs/>
              </w:rPr>
              <w:t>+4,6%</w:t>
            </w:r>
          </w:p>
        </w:tc>
        <w:tc>
          <w:tcPr>
            <w:tcW w:w="1088" w:type="dxa"/>
          </w:tcPr>
          <w:p w:rsidR="00A830FE" w:rsidRPr="00A24BC5" w:rsidRDefault="00A830FE">
            <w:pPr>
              <w:pStyle w:val="Normaltindrag"/>
              <w:ind w:firstLine="0"/>
              <w:jc w:val="right"/>
              <w:rPr>
                <w:b/>
                <w:bCs/>
              </w:rPr>
            </w:pPr>
            <w:r w:rsidRPr="00A24BC5">
              <w:rPr>
                <w:b/>
                <w:bCs/>
              </w:rPr>
              <w:t>116 418</w:t>
            </w:r>
          </w:p>
        </w:tc>
        <w:tc>
          <w:tcPr>
            <w:tcW w:w="954" w:type="dxa"/>
          </w:tcPr>
          <w:p w:rsidR="00A830FE" w:rsidRPr="00A24BC5" w:rsidRDefault="00A830FE">
            <w:pPr>
              <w:pStyle w:val="Normaltindrag"/>
              <w:ind w:firstLine="0"/>
              <w:jc w:val="right"/>
              <w:rPr>
                <w:b/>
                <w:bCs/>
              </w:rPr>
            </w:pPr>
            <w:r w:rsidRPr="00A24BC5">
              <w:rPr>
                <w:b/>
                <w:bCs/>
              </w:rPr>
              <w:t>+3,9%</w:t>
            </w:r>
          </w:p>
        </w:tc>
        <w:tc>
          <w:tcPr>
            <w:tcW w:w="1375" w:type="dxa"/>
          </w:tcPr>
          <w:p w:rsidR="00A830FE" w:rsidRPr="00A24BC5" w:rsidRDefault="00A830FE">
            <w:pPr>
              <w:pStyle w:val="Normaltindrag"/>
              <w:ind w:firstLine="0"/>
              <w:jc w:val="right"/>
              <w:rPr>
                <w:b/>
                <w:bCs/>
              </w:rPr>
            </w:pPr>
            <w:r w:rsidRPr="00A24BC5">
              <w:rPr>
                <w:b/>
                <w:bCs/>
              </w:rPr>
              <w:t>+3,7%</w:t>
            </w:r>
          </w:p>
        </w:tc>
        <w:tc>
          <w:tcPr>
            <w:tcW w:w="1276" w:type="dxa"/>
          </w:tcPr>
          <w:p w:rsidR="00A830FE" w:rsidRPr="00A24BC5" w:rsidRDefault="00A830FE">
            <w:pPr>
              <w:pStyle w:val="Normaltindrag"/>
              <w:ind w:firstLine="0"/>
              <w:jc w:val="right"/>
              <w:rPr>
                <w:b/>
                <w:bCs/>
              </w:rPr>
            </w:pPr>
            <w:r w:rsidRPr="00A24BC5">
              <w:rPr>
                <w:b/>
                <w:bCs/>
              </w:rPr>
              <w:t>+2,3%</w:t>
            </w:r>
          </w:p>
        </w:tc>
      </w:tr>
      <w:tr w:rsidR="00000000" w:rsidRPr="00A24BC5">
        <w:tblPrEx>
          <w:tblCellMar>
            <w:top w:w="0" w:type="dxa"/>
            <w:bottom w:w="0" w:type="dxa"/>
          </w:tblCellMar>
        </w:tblPrEx>
        <w:trPr>
          <w:trHeight w:val="242"/>
        </w:trPr>
        <w:tc>
          <w:tcPr>
            <w:tcW w:w="2977" w:type="dxa"/>
          </w:tcPr>
          <w:p w:rsidR="00A830FE" w:rsidRPr="00A24BC5" w:rsidRDefault="00A830FE">
            <w:pPr>
              <w:pStyle w:val="Normaltindrag"/>
              <w:ind w:firstLine="0"/>
              <w:rPr>
                <w:b/>
                <w:bCs/>
                <w:i/>
              </w:rPr>
            </w:pPr>
            <w:r w:rsidRPr="00A24BC5">
              <w:rPr>
                <w:b/>
                <w:bCs/>
                <w:i/>
              </w:rPr>
              <w:t>Budgetram</w:t>
            </w:r>
          </w:p>
        </w:tc>
        <w:tc>
          <w:tcPr>
            <w:tcW w:w="1299" w:type="dxa"/>
          </w:tcPr>
          <w:p w:rsidR="00A830FE" w:rsidRPr="00A24BC5" w:rsidRDefault="00A830FE">
            <w:pPr>
              <w:pStyle w:val="Normaltindrag"/>
              <w:ind w:firstLine="0"/>
              <w:jc w:val="right"/>
              <w:rPr>
                <w:b/>
                <w:bCs/>
              </w:rPr>
            </w:pPr>
            <w:r w:rsidRPr="00A24BC5">
              <w:rPr>
                <w:b/>
                <w:bCs/>
              </w:rPr>
              <w:t>128 091</w:t>
            </w:r>
          </w:p>
        </w:tc>
        <w:tc>
          <w:tcPr>
            <w:tcW w:w="954" w:type="dxa"/>
          </w:tcPr>
          <w:p w:rsidR="00A830FE" w:rsidRPr="00A24BC5" w:rsidRDefault="00A830FE">
            <w:pPr>
              <w:pStyle w:val="Normaltindrag"/>
              <w:ind w:firstLine="0"/>
              <w:jc w:val="right"/>
              <w:rPr>
                <w:b/>
                <w:bCs/>
              </w:rPr>
            </w:pPr>
          </w:p>
        </w:tc>
        <w:tc>
          <w:tcPr>
            <w:tcW w:w="1088" w:type="dxa"/>
          </w:tcPr>
          <w:p w:rsidR="00A830FE" w:rsidRPr="00A24BC5" w:rsidRDefault="00A830FE">
            <w:pPr>
              <w:pStyle w:val="Normaltindrag"/>
              <w:ind w:firstLine="0"/>
              <w:jc w:val="right"/>
              <w:rPr>
                <w:b/>
                <w:bCs/>
              </w:rPr>
            </w:pPr>
            <w:r w:rsidRPr="00A24BC5">
              <w:rPr>
                <w:b/>
                <w:bCs/>
              </w:rPr>
              <w:t>123 790</w:t>
            </w:r>
          </w:p>
        </w:tc>
        <w:tc>
          <w:tcPr>
            <w:tcW w:w="954" w:type="dxa"/>
          </w:tcPr>
          <w:p w:rsidR="00A830FE" w:rsidRPr="00A24BC5" w:rsidRDefault="00A830FE">
            <w:pPr>
              <w:pStyle w:val="Normaltindrag"/>
              <w:ind w:firstLine="0"/>
              <w:jc w:val="right"/>
              <w:rPr>
                <w:b/>
                <w:bCs/>
              </w:rPr>
            </w:pPr>
          </w:p>
        </w:tc>
        <w:tc>
          <w:tcPr>
            <w:tcW w:w="1375" w:type="dxa"/>
          </w:tcPr>
          <w:p w:rsidR="00A830FE" w:rsidRPr="00A24BC5" w:rsidRDefault="00A830FE">
            <w:pPr>
              <w:pStyle w:val="Normaltindrag"/>
              <w:ind w:firstLine="0"/>
              <w:jc w:val="right"/>
              <w:rPr>
                <w:b/>
                <w:bCs/>
              </w:rPr>
            </w:pPr>
          </w:p>
        </w:tc>
        <w:tc>
          <w:tcPr>
            <w:tcW w:w="1276" w:type="dxa"/>
          </w:tcPr>
          <w:p w:rsidR="00A830FE" w:rsidRPr="00A24BC5" w:rsidRDefault="00A830FE">
            <w:pPr>
              <w:pStyle w:val="Normaltindrag"/>
              <w:ind w:firstLine="0"/>
              <w:jc w:val="right"/>
              <w:rPr>
                <w:b/>
                <w:bCs/>
              </w:rPr>
            </w:pPr>
          </w:p>
        </w:tc>
      </w:tr>
      <w:tr w:rsidR="00000000" w:rsidRPr="00A24BC5">
        <w:tblPrEx>
          <w:tblCellMar>
            <w:top w:w="0" w:type="dxa"/>
            <w:bottom w:w="0" w:type="dxa"/>
          </w:tblCellMar>
        </w:tblPrEx>
        <w:trPr>
          <w:trHeight w:val="242"/>
        </w:trPr>
        <w:tc>
          <w:tcPr>
            <w:tcW w:w="2977" w:type="dxa"/>
          </w:tcPr>
          <w:p w:rsidR="00A830FE" w:rsidRPr="00A24BC5" w:rsidRDefault="00A830FE">
            <w:pPr>
              <w:pStyle w:val="Normaltindrag"/>
              <w:ind w:firstLine="0"/>
              <w:rPr>
                <w:b/>
                <w:bCs/>
                <w:i/>
              </w:rPr>
            </w:pPr>
            <w:r w:rsidRPr="00A24BC5">
              <w:rPr>
                <w:b/>
                <w:bCs/>
                <w:i/>
              </w:rPr>
              <w:t>Marginal till budgetramen</w:t>
            </w:r>
          </w:p>
        </w:tc>
        <w:tc>
          <w:tcPr>
            <w:tcW w:w="1299" w:type="dxa"/>
          </w:tcPr>
          <w:p w:rsidR="00A830FE" w:rsidRPr="00A24BC5" w:rsidRDefault="00A830FE">
            <w:pPr>
              <w:pStyle w:val="Normaltindrag"/>
              <w:ind w:firstLine="0"/>
              <w:jc w:val="right"/>
              <w:rPr>
                <w:b/>
                <w:bCs/>
              </w:rPr>
            </w:pPr>
            <w:r w:rsidRPr="00A24BC5">
              <w:rPr>
                <w:b/>
                <w:bCs/>
              </w:rPr>
              <w:t>1 577</w:t>
            </w:r>
          </w:p>
        </w:tc>
        <w:tc>
          <w:tcPr>
            <w:tcW w:w="954" w:type="dxa"/>
          </w:tcPr>
          <w:p w:rsidR="00A830FE" w:rsidRPr="00A24BC5" w:rsidRDefault="00A830FE">
            <w:pPr>
              <w:pStyle w:val="Normaltindrag"/>
              <w:ind w:firstLine="0"/>
              <w:jc w:val="right"/>
              <w:rPr>
                <w:b/>
                <w:bCs/>
              </w:rPr>
            </w:pPr>
          </w:p>
        </w:tc>
        <w:tc>
          <w:tcPr>
            <w:tcW w:w="1088" w:type="dxa"/>
          </w:tcPr>
          <w:p w:rsidR="00A830FE" w:rsidRPr="00A24BC5" w:rsidRDefault="00A830FE">
            <w:pPr>
              <w:pStyle w:val="Normaltindrag"/>
              <w:ind w:firstLine="0"/>
              <w:jc w:val="right"/>
              <w:rPr>
                <w:b/>
                <w:bCs/>
              </w:rPr>
            </w:pPr>
            <w:r w:rsidRPr="00A24BC5">
              <w:rPr>
                <w:b/>
                <w:bCs/>
              </w:rPr>
              <w:t>7 448</w:t>
            </w:r>
          </w:p>
        </w:tc>
        <w:tc>
          <w:tcPr>
            <w:tcW w:w="954" w:type="dxa"/>
          </w:tcPr>
          <w:p w:rsidR="00A830FE" w:rsidRPr="00A24BC5" w:rsidRDefault="00A830FE">
            <w:pPr>
              <w:pStyle w:val="Normaltindrag"/>
              <w:ind w:firstLine="0"/>
              <w:jc w:val="right"/>
              <w:rPr>
                <w:b/>
                <w:bCs/>
              </w:rPr>
            </w:pPr>
          </w:p>
        </w:tc>
        <w:tc>
          <w:tcPr>
            <w:tcW w:w="1375" w:type="dxa"/>
          </w:tcPr>
          <w:p w:rsidR="00A830FE" w:rsidRPr="00A24BC5" w:rsidRDefault="00A830FE">
            <w:pPr>
              <w:pStyle w:val="Normaltindrag"/>
              <w:ind w:firstLine="0"/>
              <w:jc w:val="right"/>
              <w:rPr>
                <w:b/>
                <w:bCs/>
              </w:rPr>
            </w:pPr>
            <w:r w:rsidRPr="00A24BC5">
              <w:rPr>
                <w:b/>
                <w:bCs/>
              </w:rPr>
              <w:t>2 602</w:t>
            </w:r>
          </w:p>
        </w:tc>
        <w:tc>
          <w:tcPr>
            <w:tcW w:w="1276" w:type="dxa"/>
          </w:tcPr>
          <w:p w:rsidR="00A830FE" w:rsidRPr="00A24BC5" w:rsidRDefault="00A830FE">
            <w:pPr>
              <w:pStyle w:val="Normaltindrag"/>
              <w:ind w:firstLine="0"/>
              <w:jc w:val="right"/>
              <w:rPr>
                <w:b/>
                <w:bCs/>
              </w:rPr>
            </w:pPr>
          </w:p>
        </w:tc>
      </w:tr>
      <w:tr w:rsidR="00000000" w:rsidRPr="00A24BC5">
        <w:tblPrEx>
          <w:tblCellMar>
            <w:top w:w="0" w:type="dxa"/>
            <w:bottom w:w="0" w:type="dxa"/>
          </w:tblCellMar>
        </w:tblPrEx>
        <w:trPr>
          <w:trHeight w:val="242"/>
        </w:trPr>
        <w:tc>
          <w:tcPr>
            <w:tcW w:w="2977" w:type="dxa"/>
          </w:tcPr>
          <w:p w:rsidR="00A830FE" w:rsidRPr="00A24BC5" w:rsidRDefault="00A830FE">
            <w:pPr>
              <w:pStyle w:val="Normaltindrag"/>
              <w:ind w:firstLine="0"/>
              <w:rPr>
                <w:b/>
                <w:bCs/>
                <w:i/>
              </w:rPr>
            </w:pPr>
            <w:r w:rsidRPr="00A24BC5">
              <w:rPr>
                <w:b/>
                <w:bCs/>
                <w:i/>
              </w:rPr>
              <w:t>% av BNI</w:t>
            </w:r>
          </w:p>
        </w:tc>
        <w:tc>
          <w:tcPr>
            <w:tcW w:w="1299" w:type="dxa"/>
          </w:tcPr>
          <w:p w:rsidR="00A830FE" w:rsidRPr="00A24BC5" w:rsidRDefault="00A830FE">
            <w:pPr>
              <w:pStyle w:val="Normaltindrag"/>
              <w:ind w:firstLine="0"/>
              <w:jc w:val="right"/>
              <w:rPr>
                <w:b/>
                <w:bCs/>
              </w:rPr>
            </w:pPr>
          </w:p>
        </w:tc>
        <w:tc>
          <w:tcPr>
            <w:tcW w:w="954" w:type="dxa"/>
          </w:tcPr>
          <w:p w:rsidR="00A830FE" w:rsidRPr="00A24BC5" w:rsidRDefault="00A830FE">
            <w:pPr>
              <w:pStyle w:val="Normaltindrag"/>
              <w:ind w:firstLine="0"/>
              <w:jc w:val="right"/>
              <w:rPr>
                <w:b/>
                <w:bCs/>
              </w:rPr>
            </w:pPr>
          </w:p>
        </w:tc>
        <w:tc>
          <w:tcPr>
            <w:tcW w:w="1088" w:type="dxa"/>
          </w:tcPr>
          <w:p w:rsidR="00A830FE" w:rsidRPr="00A24BC5" w:rsidRDefault="00A830FE">
            <w:pPr>
              <w:pStyle w:val="Normaltindrag"/>
              <w:ind w:firstLine="0"/>
              <w:jc w:val="right"/>
              <w:rPr>
                <w:b/>
                <w:bCs/>
              </w:rPr>
            </w:pPr>
            <w:r w:rsidRPr="00A24BC5">
              <w:rPr>
                <w:b/>
                <w:bCs/>
              </w:rPr>
              <w:t>0,99%</w:t>
            </w:r>
          </w:p>
        </w:tc>
        <w:tc>
          <w:tcPr>
            <w:tcW w:w="954" w:type="dxa"/>
          </w:tcPr>
          <w:p w:rsidR="00A830FE" w:rsidRPr="00A24BC5" w:rsidRDefault="00A830FE">
            <w:pPr>
              <w:pStyle w:val="Normaltindrag"/>
              <w:ind w:firstLine="0"/>
              <w:jc w:val="right"/>
              <w:rPr>
                <w:b/>
                <w:bCs/>
              </w:rPr>
            </w:pPr>
          </w:p>
        </w:tc>
        <w:tc>
          <w:tcPr>
            <w:tcW w:w="1375" w:type="dxa"/>
          </w:tcPr>
          <w:p w:rsidR="00A830FE" w:rsidRPr="00A24BC5" w:rsidRDefault="00A830FE">
            <w:pPr>
              <w:pStyle w:val="Normaltindrag"/>
              <w:ind w:firstLine="0"/>
              <w:jc w:val="right"/>
              <w:rPr>
                <w:b/>
                <w:bCs/>
              </w:rPr>
            </w:pPr>
          </w:p>
        </w:tc>
        <w:tc>
          <w:tcPr>
            <w:tcW w:w="1276" w:type="dxa"/>
          </w:tcPr>
          <w:p w:rsidR="00A830FE" w:rsidRPr="00A24BC5" w:rsidRDefault="00A830FE">
            <w:pPr>
              <w:pStyle w:val="Normaltindrag"/>
              <w:ind w:firstLine="0"/>
              <w:jc w:val="right"/>
              <w:rPr>
                <w:b/>
                <w:bCs/>
              </w:rPr>
            </w:pPr>
            <w:r w:rsidRPr="00A24BC5">
              <w:rPr>
                <w:b/>
                <w:bCs/>
              </w:rPr>
              <w:t>0,97%</w:t>
            </w:r>
          </w:p>
        </w:tc>
      </w:tr>
    </w:tbl>
    <w:p w:rsidR="00A830FE" w:rsidRPr="00A24BC5" w:rsidRDefault="00A830FE">
      <w:pPr>
        <w:pStyle w:val="RKnormal"/>
      </w:pPr>
    </w:p>
    <w:p w:rsidR="00A830FE" w:rsidRPr="00A24BC5" w:rsidRDefault="00A830FE">
      <w:pPr>
        <w:pStyle w:val="RKnormal"/>
      </w:pPr>
    </w:p>
    <w:sectPr w:rsidR="00A830FE" w:rsidRPr="00A24BC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30FE" w:rsidRPr="00A24BC5" w:rsidRDefault="00A830FE">
      <w:pPr>
        <w:spacing w:line="240" w:lineRule="auto"/>
      </w:pPr>
      <w:r w:rsidRPr="00A24BC5">
        <w:separator/>
      </w:r>
    </w:p>
  </w:endnote>
  <w:endnote w:type="continuationSeparator" w:id="0">
    <w:p w:rsidR="00A830FE" w:rsidRPr="00A24BC5" w:rsidRDefault="00A830FE">
      <w:pPr>
        <w:spacing w:line="240" w:lineRule="auto"/>
      </w:pPr>
      <w:r w:rsidRPr="00A24B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30FE" w:rsidRPr="00A24BC5" w:rsidRDefault="00A830FE">
      <w:pPr>
        <w:spacing w:line="240" w:lineRule="auto"/>
      </w:pPr>
      <w:r w:rsidRPr="00A24BC5">
        <w:separator/>
      </w:r>
    </w:p>
  </w:footnote>
  <w:footnote w:type="continuationSeparator" w:id="0">
    <w:p w:rsidR="00A830FE" w:rsidRPr="00A24BC5" w:rsidRDefault="00A830FE">
      <w:pPr>
        <w:spacing w:line="240" w:lineRule="auto"/>
      </w:pPr>
      <w:r w:rsidRPr="00A24B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0FE" w:rsidRPr="00A24BC5" w:rsidRDefault="00A830FE">
    <w:pPr>
      <w:pStyle w:val="Sidhuvud"/>
      <w:framePr w:wrap="around" w:vAnchor="text" w:hAnchor="margin" w:xAlign="right" w:y="1"/>
      <w:rPr>
        <w:rStyle w:val="Sidnummer"/>
      </w:rPr>
    </w:pPr>
    <w:r w:rsidRPr="00A24BC5">
      <w:rPr>
        <w:rStyle w:val="Sidnummer"/>
      </w:rPr>
      <w:fldChar w:fldCharType="begin" w:fldLock="1"/>
    </w:r>
    <w:r w:rsidRPr="00A24BC5">
      <w:rPr>
        <w:rStyle w:val="Sidnummer"/>
      </w:rPr>
      <w:instrText xml:space="preserve">PAGE  </w:instrText>
    </w:r>
    <w:r w:rsidRPr="00A24BC5">
      <w:rPr>
        <w:rStyle w:val="Sidnummer"/>
      </w:rPr>
      <w:fldChar w:fldCharType="separate"/>
    </w:r>
    <w:r w:rsidRPr="00A24BC5">
      <w:rPr>
        <w:rStyle w:val="Sidnummer"/>
      </w:rPr>
      <w:t>2</w:t>
    </w:r>
    <w:r w:rsidRPr="00A24BC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A24BC5">
      <w:tblPrEx>
        <w:tblCellMar>
          <w:top w:w="0" w:type="dxa"/>
          <w:bottom w:w="0" w:type="dxa"/>
        </w:tblCellMar>
      </w:tblPrEx>
      <w:trPr>
        <w:cantSplit/>
      </w:trPr>
      <w:tc>
        <w:tcPr>
          <w:tcW w:w="3119" w:type="dxa"/>
        </w:tcPr>
        <w:p w:rsidR="00A830FE" w:rsidRPr="00A24BC5" w:rsidRDefault="00A830FE">
          <w:pPr>
            <w:pStyle w:val="Sidhuvud"/>
            <w:spacing w:line="200" w:lineRule="atLeast"/>
            <w:ind w:right="357"/>
            <w:rPr>
              <w:rFonts w:ascii="TradeGothic" w:hAnsi="TradeGothic"/>
              <w:b/>
              <w:bCs/>
              <w:sz w:val="16"/>
            </w:rPr>
          </w:pPr>
        </w:p>
      </w:tc>
      <w:tc>
        <w:tcPr>
          <w:tcW w:w="4111" w:type="dxa"/>
          <w:tcMar>
            <w:left w:w="567" w:type="dxa"/>
          </w:tcMar>
        </w:tcPr>
        <w:p w:rsidR="00A830FE" w:rsidRPr="00A24BC5" w:rsidRDefault="00A830FE">
          <w:pPr>
            <w:pStyle w:val="Sidhuvud"/>
            <w:ind w:right="360"/>
          </w:pPr>
        </w:p>
      </w:tc>
      <w:tc>
        <w:tcPr>
          <w:tcW w:w="1525" w:type="dxa"/>
        </w:tcPr>
        <w:p w:rsidR="00A830FE" w:rsidRPr="00A24BC5" w:rsidRDefault="00A830FE">
          <w:pPr>
            <w:pStyle w:val="Sidhuvud"/>
            <w:ind w:right="360"/>
          </w:pPr>
        </w:p>
      </w:tc>
    </w:tr>
  </w:tbl>
  <w:p w:rsidR="00A830FE" w:rsidRPr="00A24BC5" w:rsidRDefault="00A830F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0FE" w:rsidRPr="00A24BC5" w:rsidRDefault="00A830FE">
    <w:pPr>
      <w:pStyle w:val="Sidhuvud"/>
      <w:framePr w:wrap="around" w:vAnchor="text" w:hAnchor="margin" w:xAlign="right" w:y="1"/>
      <w:rPr>
        <w:rStyle w:val="Sidnummer"/>
      </w:rPr>
    </w:pPr>
    <w:r w:rsidRPr="00A24BC5">
      <w:rPr>
        <w:rStyle w:val="Sidnummer"/>
      </w:rPr>
      <w:fldChar w:fldCharType="begin" w:fldLock="1"/>
    </w:r>
    <w:r w:rsidRPr="00A24BC5">
      <w:rPr>
        <w:rStyle w:val="Sidnummer"/>
      </w:rPr>
      <w:instrText xml:space="preserve">PAGE  </w:instrText>
    </w:r>
    <w:r w:rsidRPr="00A24BC5">
      <w:rPr>
        <w:rStyle w:val="Sidnummer"/>
      </w:rPr>
      <w:fldChar w:fldCharType="separate"/>
    </w:r>
    <w:r w:rsidRPr="00A24BC5">
      <w:rPr>
        <w:rStyle w:val="Sidnummer"/>
      </w:rPr>
      <w:t>3</w:t>
    </w:r>
    <w:r w:rsidRPr="00A24BC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A24BC5">
      <w:tblPrEx>
        <w:tblCellMar>
          <w:top w:w="0" w:type="dxa"/>
          <w:bottom w:w="0" w:type="dxa"/>
        </w:tblCellMar>
      </w:tblPrEx>
      <w:trPr>
        <w:cantSplit/>
      </w:trPr>
      <w:tc>
        <w:tcPr>
          <w:tcW w:w="3119" w:type="dxa"/>
        </w:tcPr>
        <w:p w:rsidR="00A830FE" w:rsidRPr="00A24BC5" w:rsidRDefault="00A830FE">
          <w:pPr>
            <w:pStyle w:val="Sidhuvud"/>
            <w:spacing w:line="200" w:lineRule="atLeast"/>
            <w:ind w:right="357"/>
            <w:rPr>
              <w:rFonts w:ascii="TradeGothic" w:hAnsi="TradeGothic"/>
              <w:b/>
              <w:bCs/>
              <w:sz w:val="16"/>
            </w:rPr>
          </w:pPr>
        </w:p>
      </w:tc>
      <w:tc>
        <w:tcPr>
          <w:tcW w:w="4111" w:type="dxa"/>
          <w:tcMar>
            <w:left w:w="567" w:type="dxa"/>
          </w:tcMar>
        </w:tcPr>
        <w:p w:rsidR="00A830FE" w:rsidRPr="00A24BC5" w:rsidRDefault="00A830FE">
          <w:pPr>
            <w:pStyle w:val="Sidhuvud"/>
            <w:ind w:right="360"/>
          </w:pPr>
        </w:p>
      </w:tc>
      <w:tc>
        <w:tcPr>
          <w:tcW w:w="1525" w:type="dxa"/>
        </w:tcPr>
        <w:p w:rsidR="00A830FE" w:rsidRPr="00A24BC5" w:rsidRDefault="00A830FE">
          <w:pPr>
            <w:pStyle w:val="Sidhuvud"/>
            <w:ind w:right="360"/>
          </w:pPr>
        </w:p>
      </w:tc>
    </w:tr>
  </w:tbl>
  <w:p w:rsidR="00A830FE" w:rsidRPr="00A24BC5" w:rsidRDefault="00A830F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0FE" w:rsidRPr="00A24BC5" w:rsidRDefault="00A24BC5">
    <w:pPr>
      <w:framePr w:w="2948" w:h="1321" w:hRule="exact" w:wrap="notBeside" w:vAnchor="page" w:hAnchor="page" w:x="1362" w:y="653"/>
    </w:pPr>
    <w:r w:rsidRPr="00A24BC5">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A830FE" w:rsidRPr="00A24BC5" w:rsidRDefault="00A830FE">
    <w:pPr>
      <w:pStyle w:val="RKrubrik"/>
      <w:keepNext w:val="0"/>
      <w:tabs>
        <w:tab w:val="clear" w:pos="1134"/>
        <w:tab w:val="clear" w:pos="2835"/>
      </w:tabs>
      <w:spacing w:before="0" w:after="0" w:line="320" w:lineRule="atLeast"/>
      <w:rPr>
        <w:bCs/>
      </w:rPr>
    </w:pPr>
  </w:p>
  <w:p w:rsidR="00A830FE" w:rsidRPr="00A24BC5" w:rsidRDefault="00A830FE">
    <w:pPr>
      <w:rPr>
        <w:rFonts w:ascii="TradeGothic" w:hAnsi="TradeGothic"/>
        <w:b/>
        <w:bCs/>
        <w:spacing w:val="12"/>
        <w:sz w:val="22"/>
      </w:rPr>
    </w:pPr>
  </w:p>
  <w:p w:rsidR="00A830FE" w:rsidRPr="00A24BC5" w:rsidRDefault="00A830FE">
    <w:pPr>
      <w:pStyle w:val="RKrubrik"/>
      <w:keepNext w:val="0"/>
      <w:tabs>
        <w:tab w:val="clear" w:pos="1134"/>
        <w:tab w:val="clear" w:pos="2835"/>
      </w:tabs>
      <w:spacing w:before="0" w:after="0" w:line="320" w:lineRule="atLeast"/>
      <w:rPr>
        <w:bCs/>
      </w:rPr>
    </w:pPr>
  </w:p>
  <w:p w:rsidR="00A830FE" w:rsidRPr="00A24BC5" w:rsidRDefault="00A830FE">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C480E9C"/>
    <w:lvl w:ilvl="0">
      <w:numFmt w:val="decimal"/>
      <w:lvlText w:val="*"/>
      <w:lvlJc w:val="left"/>
    </w:lvl>
  </w:abstractNum>
  <w:abstractNum w:abstractNumId="1" w15:restartNumberingAfterBreak="0">
    <w:nsid w:val="186918E8"/>
    <w:multiLevelType w:val="hybridMultilevel"/>
    <w:tmpl w:val="89F2A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0843961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795976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6E1F27"/>
    <w:rsid w:val="006E1F27"/>
    <w:rsid w:val="00A24BC5"/>
    <w:rsid w:val="00A830F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B303AD-F5B9-4E2E-9C88-E14DD108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styleId="Normaltindrag">
    <w:name w:val="Normal Indent"/>
    <w:basedOn w:val="Normal"/>
    <w:semiHidden/>
    <w:pPr>
      <w:overflowPunct/>
      <w:autoSpaceDE/>
      <w:autoSpaceDN/>
      <w:adjustRightInd/>
      <w:spacing w:line="245" w:lineRule="exact"/>
      <w:ind w:firstLine="170"/>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790</Words>
  <Characters>4509</Characters>
  <Application>Microsoft Office Word</Application>
  <DocSecurity>4</DocSecurity>
  <Lines>225</Lines>
  <Paragraphs>126</Paragraphs>
  <ScaleCrop>false</ScaleCrop>
  <HeadingPairs>
    <vt:vector size="2" baseType="variant">
      <vt:variant>
        <vt:lpstr>Titel</vt:lpstr>
      </vt:variant>
      <vt:variant>
        <vt:i4>1</vt:i4>
      </vt:variant>
    </vt:vector>
  </HeadingPairs>
  <TitlesOfParts>
    <vt:vector size="1" baseType="lpstr">
      <vt:lpstr>Rådets första läsning av EU:s budget för 2006</vt:lpstr>
    </vt:vector>
  </TitlesOfParts>
  <Company>Regeringskansliet</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Rådets första läsning av EU:s budget för 2006</dc:title>
  <dc:subject>Rådets första läsning av EU:s budget för 2006</dc:subject>
  <dc:creator>Riksdagen</dc:creator>
  <cp:keywords>Riksdagen</cp:keywords>
  <dc:description/>
  <cp:lastModifiedBy>Lars Brink</cp:lastModifiedBy>
  <cp:revision>2</cp:revision>
  <cp:lastPrinted>2006-06-28T08:45:00Z</cp:lastPrinted>
  <dcterms:created xsi:type="dcterms:W3CDTF">2025-12-16T23:15:00Z</dcterms:created>
  <dcterms:modified xsi:type="dcterms:W3CDTF">2025-12-16T23:15:00Z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6;0;0;256</vt:lpwstr>
  </property>
  <property fmtid="{D5CDD505-2E9C-101B-9397-08002B2CF9AE}" pid="3" name="Sprak">
    <vt:lpwstr>Svenska</vt:lpwstr>
  </property>
  <property fmtid="{D5CDD505-2E9C-101B-9397-08002B2CF9AE}" pid="4" name="DokID">
    <vt:i4>7</vt:i4>
  </property>
</Properties>
</file>