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8470E9">
        <w:tblPrEx>
          <w:tblCellMar>
            <w:top w:w="0" w:type="dxa"/>
            <w:bottom w:w="0" w:type="dxa"/>
          </w:tblCellMar>
        </w:tblPrEx>
        <w:tc>
          <w:tcPr>
            <w:tcW w:w="2268" w:type="dxa"/>
          </w:tcPr>
          <w:p w:rsidR="006E4E11" w:rsidRPr="008470E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470E9" w:rsidRDefault="006E4E11" w:rsidP="007242A3">
            <w:pPr>
              <w:framePr w:w="5035" w:h="1644" w:wrap="notBeside" w:vAnchor="page" w:hAnchor="page" w:x="6573" w:y="721"/>
              <w:rPr>
                <w:rFonts w:ascii="TradeGothic" w:hAnsi="TradeGothic"/>
                <w:i/>
                <w:sz w:val="18"/>
              </w:rPr>
            </w:pPr>
          </w:p>
        </w:tc>
      </w:tr>
      <w:tr w:rsidR="006E4E11" w:rsidRPr="008470E9">
        <w:tblPrEx>
          <w:tblCellMar>
            <w:top w:w="0" w:type="dxa"/>
            <w:bottom w:w="0" w:type="dxa"/>
          </w:tblCellMar>
        </w:tblPrEx>
        <w:tc>
          <w:tcPr>
            <w:tcW w:w="2268" w:type="dxa"/>
          </w:tcPr>
          <w:p w:rsidR="006E4E11" w:rsidRPr="008470E9" w:rsidRDefault="00856A3C" w:rsidP="007242A3">
            <w:pPr>
              <w:framePr w:w="5035" w:h="1644" w:wrap="notBeside" w:vAnchor="page" w:hAnchor="page" w:x="6573" w:y="721"/>
              <w:rPr>
                <w:rFonts w:ascii="TradeGothic" w:hAnsi="TradeGothic"/>
                <w:b/>
                <w:sz w:val="22"/>
              </w:rPr>
            </w:pPr>
            <w:r w:rsidRPr="008470E9">
              <w:rPr>
                <w:rFonts w:ascii="TradeGothic" w:hAnsi="TradeGothic"/>
                <w:b/>
                <w:sz w:val="22"/>
              </w:rPr>
              <w:t xml:space="preserve">Annoteringar </w:t>
            </w:r>
          </w:p>
        </w:tc>
        <w:tc>
          <w:tcPr>
            <w:tcW w:w="2999" w:type="dxa"/>
            <w:gridSpan w:val="2"/>
          </w:tcPr>
          <w:p w:rsidR="006E4E11" w:rsidRPr="008470E9" w:rsidRDefault="006E4E11" w:rsidP="007242A3">
            <w:pPr>
              <w:framePr w:w="5035" w:h="1644" w:wrap="notBeside" w:vAnchor="page" w:hAnchor="page" w:x="6573" w:y="721"/>
              <w:rPr>
                <w:rFonts w:ascii="TradeGothic" w:hAnsi="TradeGothic"/>
                <w:b/>
                <w:sz w:val="22"/>
              </w:rPr>
            </w:pPr>
          </w:p>
        </w:tc>
      </w:tr>
      <w:tr w:rsidR="006E4E11" w:rsidRPr="008470E9">
        <w:tblPrEx>
          <w:tblCellMar>
            <w:top w:w="0" w:type="dxa"/>
            <w:bottom w:w="0" w:type="dxa"/>
          </w:tblCellMar>
        </w:tblPrEx>
        <w:tc>
          <w:tcPr>
            <w:tcW w:w="3402" w:type="dxa"/>
            <w:gridSpan w:val="2"/>
          </w:tcPr>
          <w:p w:rsidR="006E4E11" w:rsidRPr="008470E9" w:rsidRDefault="006E4E11" w:rsidP="007242A3">
            <w:pPr>
              <w:framePr w:w="5035" w:h="1644" w:wrap="notBeside" w:vAnchor="page" w:hAnchor="page" w:x="6573" w:y="721"/>
            </w:pPr>
          </w:p>
        </w:tc>
        <w:tc>
          <w:tcPr>
            <w:tcW w:w="1865" w:type="dxa"/>
          </w:tcPr>
          <w:p w:rsidR="006E4E11" w:rsidRPr="008470E9" w:rsidRDefault="006E4E11" w:rsidP="007242A3">
            <w:pPr>
              <w:framePr w:w="5035" w:h="1644" w:wrap="notBeside" w:vAnchor="page" w:hAnchor="page" w:x="6573" w:y="721"/>
            </w:pPr>
          </w:p>
        </w:tc>
      </w:tr>
      <w:tr w:rsidR="006E4E11" w:rsidRPr="008470E9">
        <w:tblPrEx>
          <w:tblCellMar>
            <w:top w:w="0" w:type="dxa"/>
            <w:bottom w:w="0" w:type="dxa"/>
          </w:tblCellMar>
        </w:tblPrEx>
        <w:tc>
          <w:tcPr>
            <w:tcW w:w="2268" w:type="dxa"/>
          </w:tcPr>
          <w:p w:rsidR="006E4E11" w:rsidRPr="008470E9" w:rsidRDefault="00856A3C" w:rsidP="007242A3">
            <w:pPr>
              <w:framePr w:w="5035" w:h="1644" w:wrap="notBeside" w:vAnchor="page" w:hAnchor="page" w:x="6573" w:y="721"/>
            </w:pPr>
            <w:r w:rsidRPr="008470E9">
              <w:t>200</w:t>
            </w:r>
            <w:r w:rsidR="009741D0" w:rsidRPr="008470E9">
              <w:t>9-0</w:t>
            </w:r>
            <w:r w:rsidR="004A4918" w:rsidRPr="008470E9">
              <w:t>4-2</w:t>
            </w:r>
            <w:r w:rsidR="00092356" w:rsidRPr="008470E9">
              <w:t>3</w:t>
            </w:r>
          </w:p>
        </w:tc>
        <w:tc>
          <w:tcPr>
            <w:tcW w:w="2999" w:type="dxa"/>
            <w:gridSpan w:val="2"/>
          </w:tcPr>
          <w:p w:rsidR="006E4E11" w:rsidRPr="008470E9" w:rsidRDefault="006E4E11" w:rsidP="007242A3">
            <w:pPr>
              <w:framePr w:w="5035" w:h="1644" w:wrap="notBeside" w:vAnchor="page" w:hAnchor="page" w:x="6573" w:y="721"/>
            </w:pPr>
          </w:p>
        </w:tc>
      </w:tr>
      <w:tr w:rsidR="006E4E11" w:rsidRPr="008470E9">
        <w:tblPrEx>
          <w:tblCellMar>
            <w:top w:w="0" w:type="dxa"/>
            <w:bottom w:w="0" w:type="dxa"/>
          </w:tblCellMar>
        </w:tblPrEx>
        <w:tc>
          <w:tcPr>
            <w:tcW w:w="2268" w:type="dxa"/>
          </w:tcPr>
          <w:p w:rsidR="006E4E11" w:rsidRPr="008470E9" w:rsidRDefault="006E4E11" w:rsidP="007242A3">
            <w:pPr>
              <w:framePr w:w="5035" w:h="1644" w:wrap="notBeside" w:vAnchor="page" w:hAnchor="page" w:x="6573" w:y="721"/>
            </w:pPr>
          </w:p>
        </w:tc>
        <w:tc>
          <w:tcPr>
            <w:tcW w:w="2999" w:type="dxa"/>
            <w:gridSpan w:val="2"/>
          </w:tcPr>
          <w:p w:rsidR="006E4E11" w:rsidRPr="008470E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470E9">
        <w:tblPrEx>
          <w:tblCellMar>
            <w:top w:w="0" w:type="dxa"/>
            <w:bottom w:w="0" w:type="dxa"/>
          </w:tblCellMar>
        </w:tblPrEx>
        <w:trPr>
          <w:trHeight w:val="284"/>
        </w:trPr>
        <w:tc>
          <w:tcPr>
            <w:tcW w:w="4911" w:type="dxa"/>
          </w:tcPr>
          <w:p w:rsidR="006E4E11" w:rsidRPr="008470E9" w:rsidRDefault="00856A3C">
            <w:pPr>
              <w:pStyle w:val="Avsndare"/>
              <w:framePr w:h="2483" w:wrap="notBeside" w:x="1504"/>
              <w:rPr>
                <w:b/>
                <w:i w:val="0"/>
                <w:sz w:val="22"/>
              </w:rPr>
            </w:pPr>
            <w:r w:rsidRPr="008470E9">
              <w:rPr>
                <w:b/>
                <w:i w:val="0"/>
                <w:sz w:val="22"/>
              </w:rPr>
              <w:t>Finansdepartementet</w:t>
            </w:r>
          </w:p>
        </w:tc>
      </w:tr>
      <w:tr w:rsidR="006E4E11" w:rsidRPr="008470E9">
        <w:tblPrEx>
          <w:tblCellMar>
            <w:top w:w="0" w:type="dxa"/>
            <w:bottom w:w="0" w:type="dxa"/>
          </w:tblCellMar>
        </w:tblPrEx>
        <w:trPr>
          <w:trHeight w:val="284"/>
        </w:trPr>
        <w:tc>
          <w:tcPr>
            <w:tcW w:w="4911" w:type="dxa"/>
          </w:tcPr>
          <w:p w:rsidR="006E4E11" w:rsidRPr="008470E9" w:rsidRDefault="006E4E11">
            <w:pPr>
              <w:pStyle w:val="Avsndare"/>
              <w:framePr w:h="2483" w:wrap="notBeside" w:x="1504"/>
              <w:rPr>
                <w:bCs/>
                <w:iCs/>
              </w:rPr>
            </w:pPr>
          </w:p>
        </w:tc>
      </w:tr>
      <w:tr w:rsidR="006E4E11" w:rsidRPr="008470E9">
        <w:tblPrEx>
          <w:tblCellMar>
            <w:top w:w="0" w:type="dxa"/>
            <w:bottom w:w="0" w:type="dxa"/>
          </w:tblCellMar>
        </w:tblPrEx>
        <w:trPr>
          <w:trHeight w:val="284"/>
        </w:trPr>
        <w:tc>
          <w:tcPr>
            <w:tcW w:w="4911" w:type="dxa"/>
          </w:tcPr>
          <w:p w:rsidR="006E4E11" w:rsidRPr="008470E9" w:rsidRDefault="006E4E11">
            <w:pPr>
              <w:pStyle w:val="Avsndare"/>
              <w:framePr w:h="2483" w:wrap="notBeside" w:x="1504"/>
              <w:rPr>
                <w:bCs/>
                <w:iCs/>
              </w:rPr>
            </w:pPr>
          </w:p>
        </w:tc>
      </w:tr>
      <w:tr w:rsidR="006E4E11" w:rsidRPr="008470E9">
        <w:tblPrEx>
          <w:tblCellMar>
            <w:top w:w="0" w:type="dxa"/>
            <w:bottom w:w="0" w:type="dxa"/>
          </w:tblCellMar>
        </w:tblPrEx>
        <w:trPr>
          <w:trHeight w:val="284"/>
        </w:trPr>
        <w:tc>
          <w:tcPr>
            <w:tcW w:w="4911" w:type="dxa"/>
          </w:tcPr>
          <w:p w:rsidR="006E4E11" w:rsidRPr="008470E9" w:rsidRDefault="00856A3C">
            <w:pPr>
              <w:pStyle w:val="Avsndare"/>
              <w:framePr w:h="2483" w:wrap="notBeside" w:x="1504"/>
              <w:rPr>
                <w:bCs/>
                <w:iCs/>
              </w:rPr>
            </w:pPr>
            <w:r w:rsidRPr="008470E9">
              <w:rPr>
                <w:bCs/>
                <w:iCs/>
              </w:rPr>
              <w:t>Peter Holmgren</w:t>
            </w:r>
          </w:p>
        </w:tc>
      </w:tr>
      <w:tr w:rsidR="006E4E11" w:rsidRPr="008470E9">
        <w:tblPrEx>
          <w:tblCellMar>
            <w:top w:w="0" w:type="dxa"/>
            <w:bottom w:w="0" w:type="dxa"/>
          </w:tblCellMar>
        </w:tblPrEx>
        <w:trPr>
          <w:trHeight w:val="284"/>
        </w:trPr>
        <w:tc>
          <w:tcPr>
            <w:tcW w:w="4911" w:type="dxa"/>
          </w:tcPr>
          <w:p w:rsidR="006E4E11" w:rsidRPr="008470E9" w:rsidRDefault="006E4E11">
            <w:pPr>
              <w:pStyle w:val="Avsndare"/>
              <w:framePr w:h="2483" w:wrap="notBeside" w:x="1504"/>
              <w:rPr>
                <w:bCs/>
                <w:iCs/>
              </w:rPr>
            </w:pPr>
          </w:p>
        </w:tc>
      </w:tr>
      <w:tr w:rsidR="006E4E11" w:rsidRPr="008470E9">
        <w:tblPrEx>
          <w:tblCellMar>
            <w:top w:w="0" w:type="dxa"/>
            <w:bottom w:w="0" w:type="dxa"/>
          </w:tblCellMar>
        </w:tblPrEx>
        <w:trPr>
          <w:trHeight w:val="284"/>
        </w:trPr>
        <w:tc>
          <w:tcPr>
            <w:tcW w:w="4911" w:type="dxa"/>
          </w:tcPr>
          <w:p w:rsidR="006E4E11" w:rsidRPr="008470E9" w:rsidRDefault="006E4E11">
            <w:pPr>
              <w:pStyle w:val="Avsndare"/>
              <w:framePr w:h="2483" w:wrap="notBeside" w:x="1504"/>
              <w:rPr>
                <w:bCs/>
                <w:iCs/>
              </w:rPr>
            </w:pPr>
          </w:p>
        </w:tc>
      </w:tr>
    </w:tbl>
    <w:p w:rsidR="00856A3C" w:rsidRPr="008470E9" w:rsidRDefault="00856A3C">
      <w:pPr>
        <w:framePr w:w="4400" w:h="2523" w:wrap="notBeside" w:vAnchor="page" w:hAnchor="page" w:x="6453" w:y="2445"/>
        <w:ind w:left="142"/>
      </w:pPr>
    </w:p>
    <w:p w:rsidR="00856A3C" w:rsidRPr="008470E9" w:rsidRDefault="00856A3C">
      <w:pPr>
        <w:framePr w:w="4400" w:h="2523" w:wrap="notBeside" w:vAnchor="page" w:hAnchor="page" w:x="6453" w:y="2445"/>
        <w:ind w:left="142"/>
      </w:pPr>
    </w:p>
    <w:p w:rsidR="00856A3C" w:rsidRPr="008470E9" w:rsidRDefault="00856A3C">
      <w:pPr>
        <w:framePr w:w="4400" w:h="2523" w:wrap="notBeside" w:vAnchor="page" w:hAnchor="page" w:x="6453" w:y="2445"/>
        <w:ind w:left="142"/>
      </w:pPr>
    </w:p>
    <w:p w:rsidR="00D07381" w:rsidRPr="008470E9" w:rsidRDefault="00856A3C" w:rsidP="00D07381">
      <w:pPr>
        <w:framePr w:w="4400" w:h="2523" w:wrap="notBeside" w:vAnchor="page" w:hAnchor="page" w:x="6453" w:y="2445"/>
        <w:ind w:left="142"/>
      </w:pPr>
      <w:r w:rsidRPr="008470E9">
        <w:t xml:space="preserve">Ekofinrådets möte </w:t>
      </w:r>
      <w:r w:rsidR="00D07381" w:rsidRPr="008470E9">
        <w:t>i Bryssel</w:t>
      </w:r>
    </w:p>
    <w:p w:rsidR="006E4E11" w:rsidRPr="008470E9" w:rsidRDefault="00856A3C">
      <w:pPr>
        <w:framePr w:w="4400" w:h="2523" w:wrap="notBeside" w:vAnchor="page" w:hAnchor="page" w:x="6453" w:y="2445"/>
        <w:ind w:left="142"/>
      </w:pPr>
      <w:r w:rsidRPr="008470E9">
        <w:t xml:space="preserve">den </w:t>
      </w:r>
      <w:r w:rsidR="004A4918" w:rsidRPr="008470E9">
        <w:t xml:space="preserve">5 maj </w:t>
      </w:r>
      <w:r w:rsidR="009741D0" w:rsidRPr="008470E9">
        <w:t>2009</w:t>
      </w:r>
    </w:p>
    <w:p w:rsidR="006E4E11" w:rsidRPr="008470E9" w:rsidRDefault="00856A3C" w:rsidP="00856A3C">
      <w:pPr>
        <w:pStyle w:val="RKrubrik"/>
        <w:pBdr>
          <w:bottom w:val="single" w:sz="4" w:space="1" w:color="000000"/>
        </w:pBdr>
        <w:spacing w:before="0" w:after="0"/>
      </w:pPr>
      <w:r w:rsidRPr="008470E9">
        <w:t>Kommentera</w:t>
      </w:r>
      <w:r w:rsidR="004706A2" w:rsidRPr="008470E9">
        <w:t>d</w:t>
      </w:r>
      <w:r w:rsidRPr="008470E9">
        <w:t xml:space="preserve"> dagordning</w:t>
      </w:r>
    </w:p>
    <w:p w:rsidR="006E4E11" w:rsidRPr="008470E9" w:rsidRDefault="004706A2">
      <w:pPr>
        <w:pStyle w:val="RKnormal"/>
        <w:rPr>
          <w:sz w:val="20"/>
        </w:rPr>
      </w:pPr>
      <w:r w:rsidRPr="008470E9">
        <w:rPr>
          <w:sz w:val="20"/>
        </w:rPr>
        <w:t xml:space="preserve">- enligt den preliminära dagordning som framkom vid Coreper den </w:t>
      </w:r>
      <w:r w:rsidR="004A4918" w:rsidRPr="008470E9">
        <w:rPr>
          <w:sz w:val="20"/>
        </w:rPr>
        <w:t>2</w:t>
      </w:r>
      <w:r w:rsidR="007636D1" w:rsidRPr="008470E9">
        <w:rPr>
          <w:sz w:val="20"/>
        </w:rPr>
        <w:t>3</w:t>
      </w:r>
      <w:r w:rsidR="004A4918" w:rsidRPr="008470E9">
        <w:rPr>
          <w:sz w:val="20"/>
        </w:rPr>
        <w:t xml:space="preserve"> april</w:t>
      </w:r>
    </w:p>
    <w:p w:rsidR="004706A2" w:rsidRPr="008470E9" w:rsidRDefault="004706A2" w:rsidP="00856A3C">
      <w:pPr>
        <w:pStyle w:val="RKnormal"/>
        <w:tabs>
          <w:tab w:val="clear" w:pos="2835"/>
          <w:tab w:val="left" w:pos="1701"/>
        </w:tabs>
        <w:rPr>
          <w:b/>
        </w:rPr>
      </w:pPr>
    </w:p>
    <w:p w:rsidR="006E4E11" w:rsidRPr="008470E9" w:rsidRDefault="00856A3C" w:rsidP="00856A3C">
      <w:pPr>
        <w:pStyle w:val="RKnormal"/>
        <w:tabs>
          <w:tab w:val="clear" w:pos="2835"/>
          <w:tab w:val="left" w:pos="1701"/>
        </w:tabs>
        <w:rPr>
          <w:b/>
        </w:rPr>
      </w:pPr>
      <w:r w:rsidRPr="008470E9">
        <w:rPr>
          <w:b/>
        </w:rPr>
        <w:t>1.</w:t>
      </w:r>
      <w:r w:rsidRPr="008470E9">
        <w:rPr>
          <w:b/>
        </w:rPr>
        <w:tab/>
        <w:t>Antagande av den preliminära dagordningen</w:t>
      </w:r>
    </w:p>
    <w:p w:rsidR="001F2632" w:rsidRPr="008470E9" w:rsidRDefault="001F2632" w:rsidP="00856A3C">
      <w:pPr>
        <w:pStyle w:val="RKnormal"/>
        <w:tabs>
          <w:tab w:val="clear" w:pos="2835"/>
          <w:tab w:val="left" w:pos="1701"/>
        </w:tabs>
      </w:pPr>
    </w:p>
    <w:p w:rsidR="00614600" w:rsidRPr="008470E9" w:rsidRDefault="00614600" w:rsidP="00856A3C">
      <w:pPr>
        <w:pStyle w:val="RKnormal"/>
        <w:tabs>
          <w:tab w:val="clear" w:pos="2835"/>
          <w:tab w:val="left" w:pos="1701"/>
        </w:tabs>
      </w:pPr>
    </w:p>
    <w:p w:rsidR="00856A3C" w:rsidRPr="008470E9" w:rsidRDefault="00856A3C" w:rsidP="00856A3C">
      <w:pPr>
        <w:pStyle w:val="RKnormal"/>
        <w:tabs>
          <w:tab w:val="clear" w:pos="2835"/>
          <w:tab w:val="left" w:pos="1701"/>
        </w:tabs>
        <w:rPr>
          <w:b/>
        </w:rPr>
      </w:pPr>
      <w:r w:rsidRPr="008470E9">
        <w:rPr>
          <w:b/>
        </w:rPr>
        <w:t>2.</w:t>
      </w:r>
      <w:r w:rsidRPr="008470E9">
        <w:rPr>
          <w:b/>
        </w:rPr>
        <w:tab/>
        <w:t>Godkännande av listan över A-punkter</w:t>
      </w:r>
    </w:p>
    <w:p w:rsidR="00856A3C" w:rsidRPr="008470E9" w:rsidRDefault="00856A3C" w:rsidP="00856A3C">
      <w:pPr>
        <w:pStyle w:val="RKnormal"/>
        <w:tabs>
          <w:tab w:val="clear" w:pos="2835"/>
          <w:tab w:val="left" w:pos="1701"/>
        </w:tabs>
      </w:pPr>
    </w:p>
    <w:p w:rsidR="00F93711" w:rsidRPr="008470E9" w:rsidRDefault="00F93711" w:rsidP="00F93711">
      <w:pPr>
        <w:pStyle w:val="RKnormal"/>
        <w:tabs>
          <w:tab w:val="clear" w:pos="2835"/>
          <w:tab w:val="left" w:pos="1701"/>
        </w:tabs>
        <w:rPr>
          <w:b/>
        </w:rPr>
      </w:pPr>
      <w:r w:rsidRPr="008470E9">
        <w:rPr>
          <w:b/>
        </w:rPr>
        <w:t>Fem år efter EU:s utvidgning</w:t>
      </w:r>
    </w:p>
    <w:p w:rsidR="00F93711" w:rsidRPr="008470E9" w:rsidRDefault="00F93711" w:rsidP="00F93711">
      <w:pPr>
        <w:rPr>
          <w:b/>
        </w:rPr>
      </w:pPr>
    </w:p>
    <w:p w:rsidR="00F93711" w:rsidRPr="008470E9" w:rsidRDefault="00F93711" w:rsidP="00F93711">
      <w:pPr>
        <w:tabs>
          <w:tab w:val="left" w:pos="2835"/>
        </w:tabs>
        <w:overflowPunct/>
        <w:spacing w:line="240" w:lineRule="auto"/>
        <w:textAlignment w:val="auto"/>
        <w:rPr>
          <w:rFonts w:cs="OrigGarmnd BT"/>
          <w:color w:val="000000"/>
          <w:szCs w:val="24"/>
          <w:lang w:eastAsia="sv-SE"/>
        </w:rPr>
      </w:pPr>
      <w:r w:rsidRPr="008470E9">
        <w:rPr>
          <w:rFonts w:cs="OrigGarmnd BT"/>
          <w:color w:val="000000"/>
          <w:szCs w:val="24"/>
          <w:lang w:eastAsia="sv-SE"/>
        </w:rPr>
        <w:t xml:space="preserve">Rådet ska </w:t>
      </w:r>
      <w:r w:rsidR="00212FBE" w:rsidRPr="008470E9">
        <w:rPr>
          <w:rFonts w:cs="OrigGarmnd BT"/>
          <w:color w:val="000000"/>
          <w:szCs w:val="24"/>
          <w:lang w:eastAsia="sv-SE"/>
        </w:rPr>
        <w:t xml:space="preserve">som a-punkt </w:t>
      </w:r>
      <w:r w:rsidRPr="008470E9">
        <w:rPr>
          <w:rFonts w:cs="OrigGarmnd BT"/>
          <w:color w:val="000000"/>
          <w:szCs w:val="24"/>
          <w:lang w:eastAsia="sv-SE"/>
        </w:rPr>
        <w:t xml:space="preserve">anta slutsatser rörande en utvärderingen av den senaste stora EU-utvidgningen för 5 år sedan. Utvärderingen har utförts av kommissionen och bildade underlag för en särskild konferens i Prag i början av mars. Vid det informella Ekofinmötet i början av april orienterades ministrarna om konferensen och hade en kort diskussion. Baserat på denna diskussion har ett utkast till slutsatser utarbetats.  </w:t>
      </w:r>
    </w:p>
    <w:p w:rsidR="00F93711" w:rsidRPr="008470E9" w:rsidRDefault="00F93711" w:rsidP="00F93711">
      <w:pPr>
        <w:overflowPunct/>
        <w:spacing w:line="240" w:lineRule="auto"/>
        <w:textAlignment w:val="auto"/>
        <w:rPr>
          <w:rFonts w:cs="OrigGarmnd BT"/>
          <w:color w:val="000000"/>
          <w:szCs w:val="24"/>
          <w:lang w:eastAsia="sv-SE"/>
        </w:rPr>
      </w:pPr>
    </w:p>
    <w:p w:rsidR="00F93711" w:rsidRPr="008470E9" w:rsidRDefault="00F93711" w:rsidP="00F93711">
      <w:pPr>
        <w:overflowPunct/>
        <w:spacing w:line="240" w:lineRule="auto"/>
        <w:textAlignment w:val="auto"/>
        <w:rPr>
          <w:rFonts w:cs="OrigGarmnd BT"/>
          <w:color w:val="000000"/>
          <w:szCs w:val="24"/>
          <w:lang w:eastAsia="sv-SE"/>
        </w:rPr>
      </w:pPr>
      <w:r w:rsidRPr="008470E9">
        <w:rPr>
          <w:rFonts w:cs="OrigGarmnd BT"/>
          <w:color w:val="000000"/>
          <w:szCs w:val="24"/>
          <w:lang w:eastAsia="sv-SE"/>
        </w:rPr>
        <w:t>Utvärderingen visar att nya medlemsstater har haft en ökad ekonomisk tillväxt. De senaste fem åren har den genomsnittliga tillväxten varit 5.5%, vilken kan jämföras med 3.5% de föregående fem åren. Drivkrafterna har främst varit av ökad handel, utländska direktinvesteringar och förbättring av kvaliteten i politiska och finansiella institutioner. Detta har givit ökad produktivitet och högre levnadsstandard. Gamla medlemsstater har dragit fördel av bland annat ökade export- och investeringsmöjligheter som resultat av en större intern marknad.</w:t>
      </w:r>
    </w:p>
    <w:p w:rsidR="00F93711" w:rsidRPr="008470E9" w:rsidRDefault="00F93711" w:rsidP="00F93711">
      <w:pPr>
        <w:tabs>
          <w:tab w:val="left" w:pos="2835"/>
        </w:tabs>
        <w:overflowPunct/>
        <w:spacing w:line="240" w:lineRule="auto"/>
        <w:textAlignment w:val="auto"/>
        <w:rPr>
          <w:rFonts w:cs="OrigGarmnd BT"/>
          <w:color w:val="000000"/>
          <w:szCs w:val="24"/>
          <w:lang w:eastAsia="sv-SE"/>
        </w:rPr>
      </w:pPr>
    </w:p>
    <w:p w:rsidR="00F93711" w:rsidRPr="008470E9" w:rsidRDefault="00F93711" w:rsidP="00F93711">
      <w:pPr>
        <w:tabs>
          <w:tab w:val="left" w:pos="2835"/>
        </w:tabs>
        <w:overflowPunct/>
        <w:spacing w:line="240" w:lineRule="auto"/>
        <w:textAlignment w:val="auto"/>
        <w:rPr>
          <w:rFonts w:cs="OrigGarmnd BT"/>
          <w:color w:val="000000"/>
          <w:szCs w:val="24"/>
          <w:lang w:eastAsia="sv-SE"/>
        </w:rPr>
      </w:pPr>
      <w:r w:rsidRPr="008470E9">
        <w:rPr>
          <w:rFonts w:cs="OrigGarmnd BT"/>
          <w:color w:val="000000"/>
          <w:szCs w:val="24"/>
          <w:lang w:eastAsia="sv-SE"/>
        </w:rPr>
        <w:t xml:space="preserve">Regeringen välkomnar de lärdomar som dras inför framtiden. Särskilt välkomnas betoningen på kvalitet hos nationella institutioner vad gäller t.ex. budgetarbete och sunda finanspolitiska ramverk. Regeringen ställer sig bakom utkastet till slutsatser.  </w:t>
      </w:r>
    </w:p>
    <w:p w:rsidR="00212FBE" w:rsidRPr="008470E9" w:rsidRDefault="00212FBE" w:rsidP="00856A3C">
      <w:pPr>
        <w:pStyle w:val="RKnormal"/>
        <w:tabs>
          <w:tab w:val="clear" w:pos="2835"/>
          <w:tab w:val="left" w:pos="1701"/>
        </w:tabs>
        <w:rPr>
          <w:b/>
          <w:lang w:eastAsia="sv-SE"/>
        </w:rPr>
      </w:pPr>
    </w:p>
    <w:p w:rsidR="00212FBE" w:rsidRPr="008470E9" w:rsidRDefault="00212FBE" w:rsidP="00856A3C">
      <w:pPr>
        <w:pStyle w:val="RKnormal"/>
        <w:tabs>
          <w:tab w:val="clear" w:pos="2835"/>
          <w:tab w:val="left" w:pos="1701"/>
        </w:tabs>
        <w:rPr>
          <w:b/>
          <w:lang w:eastAsia="sv-SE"/>
        </w:rPr>
      </w:pPr>
    </w:p>
    <w:p w:rsidR="006C2CE8" w:rsidRPr="008470E9" w:rsidRDefault="00212FBE" w:rsidP="00856A3C">
      <w:pPr>
        <w:pStyle w:val="RKnormal"/>
        <w:tabs>
          <w:tab w:val="clear" w:pos="2835"/>
          <w:tab w:val="left" w:pos="1701"/>
        </w:tabs>
      </w:pPr>
      <w:r w:rsidRPr="008470E9">
        <w:rPr>
          <w:b/>
          <w:lang w:eastAsia="sv-SE"/>
        </w:rPr>
        <w:t>EU:s betalningsbalansstödfacilitet</w:t>
      </w:r>
    </w:p>
    <w:p w:rsidR="00212FBE" w:rsidRPr="008470E9" w:rsidRDefault="00212FBE" w:rsidP="00212FBE">
      <w:pPr>
        <w:pStyle w:val="RKnormal"/>
        <w:rPr>
          <w:lang w:eastAsia="sv-SE"/>
        </w:rPr>
      </w:pPr>
    </w:p>
    <w:p w:rsidR="00212FBE" w:rsidRPr="008470E9" w:rsidRDefault="00212FBE" w:rsidP="00212FBE">
      <w:pPr>
        <w:pStyle w:val="RKnormal"/>
        <w:rPr>
          <w:lang w:eastAsia="sv-SE"/>
        </w:rPr>
      </w:pPr>
      <w:r w:rsidRPr="008470E9">
        <w:rPr>
          <w:lang w:eastAsia="sv-SE"/>
        </w:rPr>
        <w:lastRenderedPageBreak/>
        <w:t xml:space="preserve">Som en annan trolig a-punkt kommer kommissionens förslag till revidering av EU:s betalningsbalansstödfacilitet att antas. </w:t>
      </w:r>
    </w:p>
    <w:p w:rsidR="006C2CE8" w:rsidRPr="008470E9" w:rsidRDefault="006C2CE8" w:rsidP="00856A3C">
      <w:pPr>
        <w:pStyle w:val="RKnormal"/>
        <w:tabs>
          <w:tab w:val="clear" w:pos="2835"/>
          <w:tab w:val="left" w:pos="1701"/>
        </w:tabs>
        <w:rPr>
          <w:b/>
        </w:rPr>
      </w:pPr>
      <w:r w:rsidRPr="008470E9">
        <w:rPr>
          <w:b/>
        </w:rPr>
        <w:t>3.</w:t>
      </w:r>
      <w:r w:rsidRPr="008470E9">
        <w:rPr>
          <w:b/>
        </w:rPr>
        <w:tab/>
      </w:r>
      <w:r w:rsidR="004A4918" w:rsidRPr="008470E9">
        <w:rPr>
          <w:b/>
        </w:rPr>
        <w:t>Det ekonomiska och finansiella läget</w:t>
      </w:r>
    </w:p>
    <w:p w:rsidR="008717CA" w:rsidRPr="008470E9" w:rsidRDefault="008717CA" w:rsidP="00856A3C">
      <w:pPr>
        <w:pStyle w:val="RKnormal"/>
        <w:tabs>
          <w:tab w:val="clear" w:pos="2835"/>
          <w:tab w:val="left" w:pos="1701"/>
        </w:tabs>
        <w:rPr>
          <w:i/>
        </w:rPr>
      </w:pPr>
      <w:r w:rsidRPr="008470E9">
        <w:rPr>
          <w:i/>
        </w:rPr>
        <w:tab/>
        <w:t xml:space="preserve">- </w:t>
      </w:r>
      <w:r w:rsidR="004A4918" w:rsidRPr="008470E9">
        <w:rPr>
          <w:i/>
        </w:rPr>
        <w:t>meningsutbyte</w:t>
      </w:r>
    </w:p>
    <w:p w:rsidR="008717CA" w:rsidRPr="008470E9" w:rsidRDefault="008717CA" w:rsidP="00856A3C">
      <w:pPr>
        <w:pStyle w:val="RKnormal"/>
        <w:tabs>
          <w:tab w:val="clear" w:pos="2835"/>
          <w:tab w:val="left" w:pos="1701"/>
        </w:tabs>
        <w:rPr>
          <w:b/>
        </w:rPr>
      </w:pPr>
    </w:p>
    <w:p w:rsidR="009837F5" w:rsidRPr="008470E9" w:rsidRDefault="009837F5" w:rsidP="00856A3C">
      <w:pPr>
        <w:pStyle w:val="RKnormal"/>
        <w:tabs>
          <w:tab w:val="clear" w:pos="2835"/>
          <w:tab w:val="left" w:pos="1701"/>
        </w:tabs>
      </w:pPr>
      <w:r w:rsidRPr="008470E9">
        <w:t xml:space="preserve">Muntlig redovisning av kommissionen och ECB om det ekonomiska läget och den finansiella utvecklingen. Möjlighet för ministrarna att </w:t>
      </w:r>
      <w:r w:rsidR="00060F7D" w:rsidRPr="008470E9">
        <w:t>diskutera</w:t>
      </w:r>
      <w:r w:rsidRPr="008470E9">
        <w:t xml:space="preserve">. </w:t>
      </w:r>
      <w:r w:rsidR="000A5F32" w:rsidRPr="008470E9">
        <w:t xml:space="preserve">Kommissionen kommer att redovisa sin senaste prognos som presenteras dagen innan, dvs. den 4 maj. </w:t>
      </w:r>
      <w:r w:rsidRPr="008470E9">
        <w:t xml:space="preserve">Normalt </w:t>
      </w:r>
      <w:r w:rsidR="00BC25C8" w:rsidRPr="008470E9">
        <w:t xml:space="preserve">sker </w:t>
      </w:r>
      <w:r w:rsidRPr="008470E9">
        <w:t>inge</w:t>
      </w:r>
      <w:r w:rsidR="00060F7D" w:rsidRPr="008470E9">
        <w:t>n</w:t>
      </w:r>
      <w:r w:rsidRPr="008470E9">
        <w:t xml:space="preserve"> muntlig eller skriftlig uppsummering.</w:t>
      </w:r>
    </w:p>
    <w:p w:rsidR="009837F5" w:rsidRPr="008470E9" w:rsidRDefault="009837F5" w:rsidP="00856A3C">
      <w:pPr>
        <w:pStyle w:val="RKnormal"/>
        <w:tabs>
          <w:tab w:val="clear" w:pos="2835"/>
          <w:tab w:val="left" w:pos="1701"/>
        </w:tabs>
      </w:pPr>
    </w:p>
    <w:p w:rsidR="0064202A" w:rsidRPr="008470E9" w:rsidRDefault="0064202A" w:rsidP="00856A3C">
      <w:pPr>
        <w:pStyle w:val="RKnormal"/>
        <w:tabs>
          <w:tab w:val="clear" w:pos="2835"/>
          <w:tab w:val="left" w:pos="1701"/>
        </w:tabs>
      </w:pPr>
    </w:p>
    <w:p w:rsidR="00574523" w:rsidRPr="008470E9" w:rsidRDefault="008717CA" w:rsidP="00856A3C">
      <w:pPr>
        <w:pStyle w:val="RKnormal"/>
        <w:tabs>
          <w:tab w:val="clear" w:pos="2835"/>
          <w:tab w:val="left" w:pos="1701"/>
        </w:tabs>
        <w:rPr>
          <w:b/>
        </w:rPr>
      </w:pPr>
      <w:r w:rsidRPr="008470E9">
        <w:rPr>
          <w:b/>
        </w:rPr>
        <w:t>4</w:t>
      </w:r>
      <w:r w:rsidR="009741D0" w:rsidRPr="008470E9">
        <w:rPr>
          <w:b/>
        </w:rPr>
        <w:t>.</w:t>
      </w:r>
      <w:r w:rsidR="009741D0" w:rsidRPr="008470E9">
        <w:rPr>
          <w:b/>
        </w:rPr>
        <w:tab/>
      </w:r>
      <w:r w:rsidR="004A4918" w:rsidRPr="008470E9">
        <w:rPr>
          <w:b/>
        </w:rPr>
        <w:t>Kvalitet och uthållighet i offentliga finanser</w:t>
      </w:r>
    </w:p>
    <w:p w:rsidR="00CD38B2" w:rsidRPr="008470E9" w:rsidRDefault="00574523" w:rsidP="008717CA">
      <w:pPr>
        <w:pStyle w:val="RKnormal"/>
        <w:tabs>
          <w:tab w:val="clear" w:pos="2835"/>
          <w:tab w:val="left" w:pos="1701"/>
        </w:tabs>
        <w:rPr>
          <w:i/>
        </w:rPr>
      </w:pPr>
      <w:r w:rsidRPr="008470E9">
        <w:rPr>
          <w:i/>
        </w:rPr>
        <w:t xml:space="preserve">       </w:t>
      </w:r>
      <w:r w:rsidR="00EE7236" w:rsidRPr="008470E9">
        <w:rPr>
          <w:i/>
        </w:rPr>
        <w:tab/>
      </w:r>
      <w:r w:rsidRPr="008470E9">
        <w:rPr>
          <w:i/>
        </w:rPr>
        <w:t xml:space="preserve"> -</w:t>
      </w:r>
      <w:r w:rsidR="00EE7236" w:rsidRPr="008470E9">
        <w:rPr>
          <w:i/>
        </w:rPr>
        <w:t xml:space="preserve"> rådets slutsatser</w:t>
      </w:r>
    </w:p>
    <w:p w:rsidR="009837F5" w:rsidRPr="008470E9" w:rsidRDefault="009837F5" w:rsidP="009837F5">
      <w:pPr>
        <w:pStyle w:val="RKnormal"/>
        <w:rPr>
          <w:bCs/>
          <w:color w:val="000000"/>
          <w:lang w:eastAsia="sv-SE"/>
        </w:rPr>
      </w:pPr>
    </w:p>
    <w:p w:rsidR="003B4309" w:rsidRPr="008470E9" w:rsidRDefault="003B4309" w:rsidP="003B4309">
      <w:pPr>
        <w:pStyle w:val="RKnormal"/>
      </w:pPr>
      <w:r w:rsidRPr="008470E9">
        <w:rPr>
          <w:bCs/>
          <w:color w:val="000000"/>
          <w:lang w:eastAsia="sv-SE"/>
        </w:rPr>
        <w:t>Rådet ska diskutera långsiktig hållbarhet och kvalitet i offentliga finanser och anta slutsatser. Diskussionen kommer att ske mot bakgrund av en ny Åldranderapport, som</w:t>
      </w:r>
      <w:r w:rsidRPr="008470E9">
        <w:t xml:space="preserve"> innehåller beräkningar av åldersberoende utgifter på lång sikt för samtliga medlemsstater. Åldranderapporten kan ses som ett led i arbetet med långsiktig hållbarhet i offentliga finanser och den kommer att ligga till grund för Hållbarhetsrapporten som väntas bli klar i höst under det svenska ordförandeskapet. </w:t>
      </w:r>
    </w:p>
    <w:p w:rsidR="003B4309" w:rsidRPr="008470E9" w:rsidRDefault="003B4309" w:rsidP="003B4309">
      <w:pPr>
        <w:pStyle w:val="RKnormal"/>
      </w:pPr>
    </w:p>
    <w:p w:rsidR="003B4309" w:rsidRPr="008470E9" w:rsidRDefault="003B4309" w:rsidP="003B4309">
      <w:pPr>
        <w:pStyle w:val="RKnormal"/>
        <w:rPr>
          <w:bCs/>
          <w:color w:val="000000"/>
          <w:lang w:eastAsia="sv-SE"/>
        </w:rPr>
      </w:pPr>
      <w:r w:rsidRPr="008470E9">
        <w:t xml:space="preserve">I utkastet till slutsatser betonas bland annat vikten av fortsatta strukturella reformer som främjar arbetsutbud och produktivitet. </w:t>
      </w:r>
      <w:r w:rsidRPr="008470E9">
        <w:rPr>
          <w:color w:val="000000"/>
        </w:rPr>
        <w:t>Regeringen anser att långsiktig hållbarhet i offentliga finanser är en central fråga och ställer sig bakom utkastet till slutsatser.</w:t>
      </w:r>
    </w:p>
    <w:p w:rsidR="009837F5" w:rsidRPr="008470E9" w:rsidRDefault="009837F5" w:rsidP="009837F5">
      <w:pPr>
        <w:pStyle w:val="RKnormal"/>
      </w:pPr>
    </w:p>
    <w:p w:rsidR="008717CA" w:rsidRPr="008470E9" w:rsidRDefault="008717CA" w:rsidP="008717CA">
      <w:pPr>
        <w:pStyle w:val="RKnormal"/>
        <w:tabs>
          <w:tab w:val="clear" w:pos="2835"/>
          <w:tab w:val="left" w:pos="1701"/>
        </w:tabs>
        <w:rPr>
          <w:rFonts w:ascii="Tms Rmn" w:hAnsi="Tms Rmn"/>
          <w:lang w:eastAsia="sv-SE"/>
        </w:rPr>
      </w:pPr>
    </w:p>
    <w:p w:rsidR="008717CA" w:rsidRPr="008470E9" w:rsidRDefault="00F93711" w:rsidP="00591CD1">
      <w:pPr>
        <w:rPr>
          <w:b/>
        </w:rPr>
      </w:pPr>
      <w:r w:rsidRPr="008470E9">
        <w:rPr>
          <w:b/>
        </w:rPr>
        <w:t>5</w:t>
      </w:r>
      <w:r w:rsidR="00EE7236" w:rsidRPr="008470E9">
        <w:rPr>
          <w:b/>
        </w:rPr>
        <w:t>.</w:t>
      </w:r>
      <w:r w:rsidR="00EE7236" w:rsidRPr="008470E9">
        <w:rPr>
          <w:b/>
        </w:rPr>
        <w:tab/>
      </w:r>
      <w:r w:rsidR="00EE7236" w:rsidRPr="008470E9">
        <w:rPr>
          <w:b/>
        </w:rPr>
        <w:tab/>
        <w:t xml:space="preserve">    (ev.) Dialog med tredje land</w:t>
      </w:r>
      <w:r w:rsidR="008717CA" w:rsidRPr="008470E9">
        <w:rPr>
          <w:b/>
        </w:rPr>
        <w:tab/>
      </w:r>
    </w:p>
    <w:p w:rsidR="008717CA" w:rsidRPr="008470E9" w:rsidRDefault="008717CA" w:rsidP="00856A3C">
      <w:pPr>
        <w:pStyle w:val="RKnormal"/>
        <w:tabs>
          <w:tab w:val="clear" w:pos="2835"/>
          <w:tab w:val="left" w:pos="1701"/>
        </w:tabs>
        <w:rPr>
          <w:i/>
        </w:rPr>
      </w:pPr>
      <w:r w:rsidRPr="008470E9">
        <w:rPr>
          <w:i/>
        </w:rPr>
        <w:t xml:space="preserve">       </w:t>
      </w:r>
      <w:r w:rsidR="00EE7236" w:rsidRPr="008470E9">
        <w:rPr>
          <w:i/>
        </w:rPr>
        <w:tab/>
      </w:r>
      <w:r w:rsidRPr="008470E9">
        <w:rPr>
          <w:i/>
        </w:rPr>
        <w:t xml:space="preserve"> - </w:t>
      </w:r>
      <w:r w:rsidR="00EE7236" w:rsidRPr="008470E9">
        <w:rPr>
          <w:i/>
        </w:rPr>
        <w:t>meningsutbyte</w:t>
      </w:r>
    </w:p>
    <w:p w:rsidR="008717CA" w:rsidRPr="008470E9" w:rsidRDefault="008717CA" w:rsidP="00856A3C">
      <w:pPr>
        <w:pStyle w:val="RKnormal"/>
        <w:tabs>
          <w:tab w:val="clear" w:pos="2835"/>
          <w:tab w:val="left" w:pos="1701"/>
        </w:tabs>
      </w:pPr>
    </w:p>
    <w:p w:rsidR="0094141C" w:rsidRPr="008470E9" w:rsidRDefault="00B50023" w:rsidP="00856A3C">
      <w:pPr>
        <w:pStyle w:val="RKnormal"/>
        <w:tabs>
          <w:tab w:val="clear" w:pos="2835"/>
          <w:tab w:val="left" w:pos="1701"/>
        </w:tabs>
      </w:pPr>
      <w:r w:rsidRPr="008470E9">
        <w:t xml:space="preserve">Eventuellt kommer kommissionen </w:t>
      </w:r>
      <w:r w:rsidR="0094141C" w:rsidRPr="008470E9">
        <w:t xml:space="preserve">att vid detta Ekofinmöte informera om det pågående arbetet i de s.k. tredje lands-dialogerna som kommissionen genomför med </w:t>
      </w:r>
      <w:r w:rsidR="005F3D2C" w:rsidRPr="008470E9">
        <w:t xml:space="preserve">berörda myndigheter hos </w:t>
      </w:r>
      <w:r w:rsidR="0094141C" w:rsidRPr="008470E9">
        <w:t xml:space="preserve">EU:s viktigaste handelspartners i världen. </w:t>
      </w:r>
      <w:r w:rsidR="00847269" w:rsidRPr="008470E9">
        <w:t xml:space="preserve">Sedan ett antal år orienterar kommissionen Ekofinrådet </w:t>
      </w:r>
      <w:r w:rsidR="00A56A40" w:rsidRPr="008470E9">
        <w:t xml:space="preserve">två </w:t>
      </w:r>
      <w:r w:rsidR="00847269" w:rsidRPr="008470E9">
        <w:t>gång</w:t>
      </w:r>
      <w:r w:rsidR="00A56A40" w:rsidRPr="008470E9">
        <w:t>er</w:t>
      </w:r>
      <w:r w:rsidR="00847269" w:rsidRPr="008470E9">
        <w:t xml:space="preserve"> om året rörande framstegen i dessa möten. </w:t>
      </w:r>
      <w:r w:rsidR="0094141C" w:rsidRPr="008470E9">
        <w:t>Dialogerna behandlar främst handelspolitiska frågor, men ta</w:t>
      </w:r>
      <w:r w:rsidR="009C7249" w:rsidRPr="008470E9">
        <w:t>r</w:t>
      </w:r>
      <w:r w:rsidR="0094141C" w:rsidRPr="008470E9">
        <w:t xml:space="preserve"> även upp allmänekonomisk frågor och inte minst regleringsfrågor på de finansiella marknaderna. </w:t>
      </w:r>
    </w:p>
    <w:p w:rsidR="0094141C" w:rsidRPr="008470E9" w:rsidRDefault="0094141C" w:rsidP="00856A3C">
      <w:pPr>
        <w:pStyle w:val="RKnormal"/>
        <w:tabs>
          <w:tab w:val="clear" w:pos="2835"/>
          <w:tab w:val="left" w:pos="1701"/>
        </w:tabs>
      </w:pPr>
    </w:p>
    <w:p w:rsidR="0094141C" w:rsidRPr="008470E9" w:rsidRDefault="009C7249" w:rsidP="009C7249">
      <w:pPr>
        <w:pStyle w:val="RKnormal"/>
        <w:tabs>
          <w:tab w:val="clear" w:pos="2835"/>
          <w:tab w:val="left" w:pos="1701"/>
        </w:tabs>
      </w:pPr>
      <w:r w:rsidRPr="008470E9">
        <w:t xml:space="preserve"> </w:t>
      </w:r>
    </w:p>
    <w:p w:rsidR="008717CA" w:rsidRPr="008470E9" w:rsidRDefault="00F93711" w:rsidP="00856A3C">
      <w:pPr>
        <w:pStyle w:val="RKnormal"/>
        <w:tabs>
          <w:tab w:val="clear" w:pos="2835"/>
          <w:tab w:val="left" w:pos="1701"/>
        </w:tabs>
        <w:rPr>
          <w:b/>
        </w:rPr>
      </w:pPr>
      <w:r w:rsidRPr="008470E9">
        <w:rPr>
          <w:b/>
        </w:rPr>
        <w:t>6</w:t>
      </w:r>
      <w:r w:rsidR="00EE7236" w:rsidRPr="008470E9">
        <w:rPr>
          <w:b/>
        </w:rPr>
        <w:t xml:space="preserve">. </w:t>
      </w:r>
      <w:r w:rsidR="00EE7236" w:rsidRPr="008470E9">
        <w:rPr>
          <w:b/>
        </w:rPr>
        <w:tab/>
        <w:t>Beskattning</w:t>
      </w:r>
    </w:p>
    <w:p w:rsidR="00A75496" w:rsidRPr="008470E9" w:rsidRDefault="00A75496" w:rsidP="00A75496">
      <w:pPr>
        <w:pStyle w:val="RKnormal"/>
      </w:pPr>
    </w:p>
    <w:p w:rsidR="00EE7236" w:rsidRPr="008470E9" w:rsidRDefault="00F93711" w:rsidP="00A75496">
      <w:pPr>
        <w:pStyle w:val="RKnormal"/>
        <w:rPr>
          <w:b/>
        </w:rPr>
      </w:pPr>
      <w:r w:rsidRPr="008470E9">
        <w:rPr>
          <w:b/>
        </w:rPr>
        <w:t>6</w:t>
      </w:r>
      <w:r w:rsidR="00EE7236" w:rsidRPr="008470E9">
        <w:rPr>
          <w:b/>
        </w:rPr>
        <w:t>.1   Tobaksdirektivet</w:t>
      </w:r>
    </w:p>
    <w:p w:rsidR="00EE7236" w:rsidRPr="008470E9" w:rsidRDefault="00EE7236" w:rsidP="00A75496">
      <w:pPr>
        <w:pStyle w:val="RKnormal"/>
        <w:rPr>
          <w:i/>
        </w:rPr>
      </w:pPr>
      <w:r w:rsidRPr="008470E9">
        <w:rPr>
          <w:i/>
        </w:rPr>
        <w:t xml:space="preserve">         - politisk överenskommelse</w:t>
      </w:r>
    </w:p>
    <w:p w:rsidR="00EE7236" w:rsidRPr="008470E9" w:rsidRDefault="00EE7236" w:rsidP="00A75496">
      <w:pPr>
        <w:pStyle w:val="RKnormal"/>
      </w:pPr>
    </w:p>
    <w:p w:rsidR="00794679" w:rsidRPr="008470E9" w:rsidRDefault="00794679" w:rsidP="00794679">
      <w:pPr>
        <w:pStyle w:val="RKnormal"/>
      </w:pPr>
      <w:r w:rsidRPr="008470E9">
        <w:t>Syftet med dagordningspunkten är att Ekofinrådet ska träffa en politisk överenskommelse beträffande förslag till ändringar i tobaksskattedirektiven.</w:t>
      </w:r>
    </w:p>
    <w:p w:rsidR="00794679" w:rsidRPr="008470E9" w:rsidRDefault="00794679" w:rsidP="00794679">
      <w:pPr>
        <w:pStyle w:val="RKnormal"/>
      </w:pPr>
      <w:r w:rsidRPr="008470E9">
        <w:t xml:space="preserve">Kommissionen lämnade i juli 2008 förslag till ändringar av tobakskattedirektiven när det gäller strukturer och skattesatser i fråga om punktbeskattning av tobaksvaror. Det föreslås att ett minsta skattebelopp och en lägsta skattenivå bör fastställas för alla cigaretter som säljs i EU. I dag gäller dessa krav endast cigaretter i den mest efterfrågade priskategorin. Minimiskatten på cigaretter föreslås höjas för att bidra till minskad tobakskonsumtion under de kommande fem åren. Förslaget ger medlemsstaterna större flexibilitet att tillämpa styckeskatt och att ta ut minimipunktskatt på cigaretter för att uppnå hälsomålen. Vidare föreslås att minimisskatterna och strukturerna för rulltobak anpassas till skattesatserna och strukturerna för cigaretter. Även minimiskatterna på cigarrer, cigariller och röktobak föreslås räknas upp. </w:t>
      </w:r>
    </w:p>
    <w:p w:rsidR="00794679" w:rsidRPr="008470E9" w:rsidRDefault="00794679" w:rsidP="00794679">
      <w:pPr>
        <w:pStyle w:val="RKnormal"/>
      </w:pPr>
    </w:p>
    <w:p w:rsidR="00794679" w:rsidRPr="008470E9" w:rsidRDefault="00794679" w:rsidP="00794679">
      <w:pPr>
        <w:pStyle w:val="RKnormal"/>
      </w:pPr>
      <w:r w:rsidRPr="008470E9">
        <w:t xml:space="preserve">Förslaget har förhandlats vid ett flertal tillfällen. Det finns dock fortfarande åsiktsskillnader mellan medlemsstaterna särskilt när det gäller minimiskattenivåerna för cigarretter och övergångstiderna för att införa dessa. </w:t>
      </w:r>
    </w:p>
    <w:p w:rsidR="00794679" w:rsidRPr="008470E9" w:rsidRDefault="00794679" w:rsidP="00794679">
      <w:pPr>
        <w:pStyle w:val="RKnormal"/>
      </w:pPr>
    </w:p>
    <w:p w:rsidR="00794679" w:rsidRPr="008470E9" w:rsidRDefault="00794679" w:rsidP="00794679">
      <w:r w:rsidRPr="008470E9">
        <w:t>Av folkhälsoskäl är det viktigt att en överenskommelse om höjda minimiskatter kan nås inom EU. Sverige stödjer därför ordförandeskapets strävan att nå en kompromiss och anser att det är viktigt att Ekofinrådet fattar beslut om direktivändringarna så snart som möjligt.</w:t>
      </w:r>
    </w:p>
    <w:p w:rsidR="00EE7236" w:rsidRPr="008470E9" w:rsidRDefault="00EE7236" w:rsidP="00A75496">
      <w:pPr>
        <w:pStyle w:val="RKnormal"/>
      </w:pPr>
    </w:p>
    <w:p w:rsidR="00466549" w:rsidRPr="008470E9" w:rsidRDefault="00466549" w:rsidP="00A75496">
      <w:pPr>
        <w:pStyle w:val="RKnormal"/>
      </w:pPr>
    </w:p>
    <w:p w:rsidR="00EE7236" w:rsidRPr="008470E9" w:rsidRDefault="00F93711" w:rsidP="00A75496">
      <w:pPr>
        <w:pStyle w:val="RKnormal"/>
        <w:rPr>
          <w:b/>
        </w:rPr>
      </w:pPr>
      <w:r w:rsidRPr="008470E9">
        <w:rPr>
          <w:b/>
        </w:rPr>
        <w:t>6</w:t>
      </w:r>
      <w:r w:rsidR="00EE7236" w:rsidRPr="008470E9">
        <w:rPr>
          <w:b/>
        </w:rPr>
        <w:t>.2   Främjande av god skatteförvaltning</w:t>
      </w:r>
    </w:p>
    <w:p w:rsidR="00EE7236" w:rsidRPr="008470E9" w:rsidRDefault="00EE7236" w:rsidP="00A75496">
      <w:pPr>
        <w:pStyle w:val="RKnormal"/>
        <w:rPr>
          <w:i/>
        </w:rPr>
      </w:pPr>
      <w:r w:rsidRPr="008470E9">
        <w:rPr>
          <w:i/>
        </w:rPr>
        <w:t xml:space="preserve">        - kommissionens presentation </w:t>
      </w:r>
    </w:p>
    <w:p w:rsidR="00EE7236" w:rsidRPr="008470E9" w:rsidRDefault="00EE7236" w:rsidP="00A75496">
      <w:pPr>
        <w:pStyle w:val="RKnormal"/>
      </w:pPr>
    </w:p>
    <w:p w:rsidR="00763E1D" w:rsidRPr="008470E9" w:rsidRDefault="00763E1D" w:rsidP="00763E1D">
      <w:pPr>
        <w:pStyle w:val="RKnormal"/>
      </w:pPr>
      <w:r w:rsidRPr="008470E9">
        <w:t xml:space="preserve">Kommissionen ska presentera sitt meddelande rörande god samhällsstyrning på skatteområdet. Meddelandet kommer att </w:t>
      </w:r>
      <w:r w:rsidR="009160B8" w:rsidRPr="008470E9">
        <w:t xml:space="preserve">publiceras </w:t>
      </w:r>
      <w:r w:rsidRPr="008470E9">
        <w:t>under vecka 18 (27 april – 3 maj).</w:t>
      </w:r>
    </w:p>
    <w:p w:rsidR="00763E1D" w:rsidRPr="008470E9" w:rsidRDefault="00763E1D" w:rsidP="00763E1D">
      <w:pPr>
        <w:pStyle w:val="RKnormal"/>
      </w:pPr>
    </w:p>
    <w:p w:rsidR="00763E1D" w:rsidRPr="008470E9" w:rsidRDefault="00763E1D" w:rsidP="00763E1D">
      <w:pPr>
        <w:pStyle w:val="RKnormal"/>
      </w:pPr>
      <w:r w:rsidRPr="008470E9">
        <w:t xml:space="preserve">I syfte att bekämpa olika former av gränsöverskridande skatteundandragande antog Ekofinrådet den 14 maj 2008 slutsatser där god samhällsstyrning definierades som transparens, informationsutbyte och rättvis skattekonkurrens. Slutsatserna lämnades för att  understryka vikten av att dessa principer kommer till uttryck i de avtal som EU ingår med tredje land. Men god samhällsstyrning omfattar även det arbete på området som bedrivs inom unionen, främst i form av ett omfattande reglerat administrativt samarbete och en uppförandekod på bolagsbeskattningens område.  </w:t>
      </w:r>
    </w:p>
    <w:p w:rsidR="00763E1D" w:rsidRPr="008470E9" w:rsidRDefault="00763E1D" w:rsidP="00763E1D">
      <w:pPr>
        <w:pStyle w:val="RKnormal"/>
      </w:pPr>
    </w:p>
    <w:p w:rsidR="00763E1D" w:rsidRPr="008470E9" w:rsidRDefault="00763E1D" w:rsidP="00763E1D">
      <w:pPr>
        <w:pStyle w:val="RKnormal"/>
      </w:pPr>
      <w:r w:rsidRPr="008470E9">
        <w:t xml:space="preserve">Principerna för god samhällsstyrning knyter nära an till de principer som OECD uttalat som grund för sitt arbete mot skadliga skatteregimer. Sedan även G20-mötet den 18 november 2008 uttalat vikten av transparens och administrativt samarbete har frågan kunnat drivas med stor kraft. Det nu aktuella meddelandet är en uppföljning av G20:s uttalanden. </w:t>
      </w:r>
    </w:p>
    <w:p w:rsidR="00763E1D" w:rsidRPr="008470E9" w:rsidRDefault="00763E1D" w:rsidP="00763E1D">
      <w:pPr>
        <w:pStyle w:val="RKnormal"/>
      </w:pPr>
    </w:p>
    <w:p w:rsidR="00763E1D" w:rsidRPr="008470E9" w:rsidRDefault="00763E1D" w:rsidP="00763E1D">
      <w:pPr>
        <w:pStyle w:val="RKnormal"/>
      </w:pPr>
      <w:r w:rsidRPr="008470E9">
        <w:t xml:space="preserve">Regeringen förespråkar god samhällsstyrning på skatteområdet. Det är viktigt att dessa principer framhålls i unionens relationer med tredje land. Att det inom unionen finns en god samhällsstyrning inom detta område skapar ett förtroende för unionen i dessa relationer, liksom för dess medlemsstater i deras bilaterala relationer.   </w:t>
      </w:r>
    </w:p>
    <w:p w:rsidR="00763E1D" w:rsidRPr="008470E9" w:rsidRDefault="00763E1D" w:rsidP="00856A3C">
      <w:pPr>
        <w:pStyle w:val="RKnormal"/>
        <w:tabs>
          <w:tab w:val="clear" w:pos="2835"/>
          <w:tab w:val="left" w:pos="1701"/>
        </w:tabs>
        <w:rPr>
          <w:b/>
        </w:rPr>
      </w:pPr>
    </w:p>
    <w:p w:rsidR="00763E1D" w:rsidRPr="008470E9" w:rsidRDefault="00763E1D" w:rsidP="00856A3C">
      <w:pPr>
        <w:pStyle w:val="RKnormal"/>
        <w:tabs>
          <w:tab w:val="clear" w:pos="2835"/>
          <w:tab w:val="left" w:pos="1701"/>
        </w:tabs>
        <w:rPr>
          <w:b/>
        </w:rPr>
      </w:pPr>
    </w:p>
    <w:p w:rsidR="00856A3C" w:rsidRPr="008470E9" w:rsidRDefault="00F93711" w:rsidP="00856A3C">
      <w:pPr>
        <w:pStyle w:val="RKnormal"/>
        <w:tabs>
          <w:tab w:val="clear" w:pos="2835"/>
          <w:tab w:val="left" w:pos="1701"/>
        </w:tabs>
        <w:rPr>
          <w:b/>
        </w:rPr>
      </w:pPr>
      <w:r w:rsidRPr="008470E9">
        <w:rPr>
          <w:b/>
        </w:rPr>
        <w:t>7</w:t>
      </w:r>
      <w:r w:rsidR="00EE7236" w:rsidRPr="008470E9">
        <w:rPr>
          <w:b/>
        </w:rPr>
        <w:t xml:space="preserve">. </w:t>
      </w:r>
      <w:r w:rsidR="00EE7236" w:rsidRPr="008470E9">
        <w:rPr>
          <w:b/>
        </w:rPr>
        <w:tab/>
      </w:r>
      <w:r w:rsidR="00BF311E" w:rsidRPr="008470E9">
        <w:rPr>
          <w:b/>
        </w:rPr>
        <w:t>F</w:t>
      </w:r>
      <w:r w:rsidR="004072F9" w:rsidRPr="008470E9">
        <w:rPr>
          <w:b/>
        </w:rPr>
        <w:t xml:space="preserve">örslag till </w:t>
      </w:r>
      <w:r w:rsidR="00EE7236" w:rsidRPr="008470E9">
        <w:rPr>
          <w:b/>
        </w:rPr>
        <w:t>EU-budget 2010</w:t>
      </w:r>
    </w:p>
    <w:p w:rsidR="008717CA" w:rsidRPr="008470E9" w:rsidRDefault="008717CA" w:rsidP="00856A3C">
      <w:pPr>
        <w:pStyle w:val="RKnormal"/>
        <w:tabs>
          <w:tab w:val="clear" w:pos="2835"/>
          <w:tab w:val="left" w:pos="1701"/>
        </w:tabs>
        <w:rPr>
          <w:i/>
        </w:rPr>
      </w:pPr>
      <w:r w:rsidRPr="008470E9">
        <w:rPr>
          <w:b/>
          <w:i/>
        </w:rPr>
        <w:tab/>
      </w:r>
      <w:r w:rsidRPr="008470E9">
        <w:rPr>
          <w:i/>
        </w:rPr>
        <w:t xml:space="preserve">- </w:t>
      </w:r>
      <w:r w:rsidR="00EE7236" w:rsidRPr="008470E9">
        <w:rPr>
          <w:i/>
        </w:rPr>
        <w:t>kommissionens presentation</w:t>
      </w:r>
      <w:r w:rsidR="00B967FA" w:rsidRPr="008470E9">
        <w:rPr>
          <w:i/>
        </w:rPr>
        <w:t xml:space="preserve"> </w:t>
      </w:r>
    </w:p>
    <w:p w:rsidR="00A37788" w:rsidRPr="008470E9" w:rsidRDefault="00A37788" w:rsidP="00AD53EC">
      <w:pPr>
        <w:pStyle w:val="RKnormal"/>
      </w:pPr>
    </w:p>
    <w:p w:rsidR="0077682F" w:rsidRPr="008470E9" w:rsidRDefault="004072F9" w:rsidP="0077682F">
      <w:pPr>
        <w:pStyle w:val="RKnormal"/>
      </w:pPr>
      <w:r w:rsidRPr="008470E9">
        <w:t>Kommissionen ska presentera sitt budgetförslag för 2010</w:t>
      </w:r>
      <w:r w:rsidR="0077682F" w:rsidRPr="008470E9">
        <w:t xml:space="preserve">. </w:t>
      </w:r>
      <w:r w:rsidRPr="008470E9">
        <w:t xml:space="preserve"> </w:t>
      </w:r>
      <w:r w:rsidR="0077682F" w:rsidRPr="008470E9">
        <w:t>Det förväntas ingen diskussion. Budgetförslaget väntas bli offentligt samma dag, alltså den 5 maj.</w:t>
      </w:r>
    </w:p>
    <w:p w:rsidR="004072F9" w:rsidRPr="008470E9" w:rsidRDefault="004072F9" w:rsidP="004072F9">
      <w:pPr>
        <w:pStyle w:val="RKnormal"/>
      </w:pPr>
    </w:p>
    <w:p w:rsidR="004072F9" w:rsidRPr="008470E9" w:rsidRDefault="004072F9" w:rsidP="004072F9">
      <w:pPr>
        <w:pStyle w:val="RKnormal"/>
      </w:pPr>
      <w:r w:rsidRPr="008470E9">
        <w:t xml:space="preserve">Det EU-ordförandeskap som innehar ordförandeskapet under hösten ansvarar för hela EU:s årsbudgetprocess. Sverige kommer därför som brukligt är att </w:t>
      </w:r>
      <w:r w:rsidR="0077682F" w:rsidRPr="008470E9">
        <w:t xml:space="preserve">sitta ordförande </w:t>
      </w:r>
      <w:r w:rsidRPr="008470E9">
        <w:t xml:space="preserve">under denna dagordningspunkt. </w:t>
      </w:r>
    </w:p>
    <w:p w:rsidR="0077682F" w:rsidRPr="008470E9" w:rsidRDefault="0077682F" w:rsidP="004072F9">
      <w:pPr>
        <w:pStyle w:val="RKnormal"/>
      </w:pPr>
    </w:p>
    <w:p w:rsidR="004072F9" w:rsidRPr="008470E9" w:rsidRDefault="004072F9" w:rsidP="004072F9">
      <w:pPr>
        <w:pStyle w:val="RKnormal"/>
        <w:rPr>
          <w:szCs w:val="24"/>
        </w:rPr>
      </w:pPr>
      <w:r w:rsidRPr="008470E9">
        <w:t xml:space="preserve">Rådet antog vid Ekofin den 10 mars budgetriktlinjer för 2010. </w:t>
      </w:r>
      <w:r w:rsidRPr="008470E9">
        <w:rPr>
          <w:szCs w:val="24"/>
        </w:rPr>
        <w:t xml:space="preserve">Syftet med slutsatserna är att tydliggöra rådets prioriteringar inför arbetet med budgeten för 2010 så att kommissionen kan ta hänsyn till dessa i det preliminära budgetförslaget. Riktlinjerna är från svensk utgångspunkt bra och överensstämmer väl med principer i det svenska budgetarbetet. Rådet betonar generellt vikten av budgetdisciplin. Vidare pekar man på vikten av att </w:t>
      </w:r>
      <w:r w:rsidRPr="008470E9">
        <w:t>respektera de finansiella ramarna 2007-2013 samt att</w:t>
      </w:r>
      <w:r w:rsidRPr="008470E9">
        <w:rPr>
          <w:szCs w:val="24"/>
        </w:rPr>
        <w:t xml:space="preserve"> skapa marginaler för att kunna möta oförutsedda händelser.</w:t>
      </w:r>
    </w:p>
    <w:p w:rsidR="004072F9" w:rsidRPr="008470E9" w:rsidRDefault="004072F9" w:rsidP="00AD53EC">
      <w:pPr>
        <w:pStyle w:val="RKnormal"/>
      </w:pPr>
    </w:p>
    <w:p w:rsidR="004072F9" w:rsidRPr="008470E9" w:rsidRDefault="004072F9" w:rsidP="00856A3C">
      <w:pPr>
        <w:pStyle w:val="RKnormal"/>
        <w:tabs>
          <w:tab w:val="clear" w:pos="2835"/>
          <w:tab w:val="left" w:pos="1701"/>
        </w:tabs>
        <w:rPr>
          <w:b/>
        </w:rPr>
      </w:pPr>
    </w:p>
    <w:p w:rsidR="00574523" w:rsidRPr="008470E9" w:rsidRDefault="00F93711" w:rsidP="00856A3C">
      <w:pPr>
        <w:pStyle w:val="RKnormal"/>
        <w:tabs>
          <w:tab w:val="clear" w:pos="2835"/>
          <w:tab w:val="left" w:pos="1701"/>
        </w:tabs>
        <w:rPr>
          <w:b/>
        </w:rPr>
      </w:pPr>
      <w:r w:rsidRPr="008470E9">
        <w:rPr>
          <w:b/>
        </w:rPr>
        <w:t>8</w:t>
      </w:r>
      <w:r w:rsidR="00856A3C" w:rsidRPr="008470E9">
        <w:rPr>
          <w:b/>
        </w:rPr>
        <w:t>.</w:t>
      </w:r>
      <w:r w:rsidR="00EE7236" w:rsidRPr="008470E9">
        <w:rPr>
          <w:b/>
        </w:rPr>
        <w:tab/>
        <w:t>Övriga ärenden</w:t>
      </w:r>
    </w:p>
    <w:p w:rsidR="00614600" w:rsidRPr="008470E9" w:rsidRDefault="00614600" w:rsidP="00614600">
      <w:pPr>
        <w:tabs>
          <w:tab w:val="left" w:pos="1701"/>
        </w:tabs>
        <w:spacing w:line="240" w:lineRule="atLeast"/>
        <w:rPr>
          <w:rFonts w:cs="OrigGarmnd BT"/>
          <w:color w:val="000000"/>
          <w:lang w:eastAsia="sv-SE"/>
        </w:rPr>
      </w:pPr>
    </w:p>
    <w:p w:rsidR="00EE7236" w:rsidRPr="008470E9" w:rsidRDefault="00F93711" w:rsidP="00614600">
      <w:pPr>
        <w:tabs>
          <w:tab w:val="left" w:pos="1701"/>
        </w:tabs>
        <w:spacing w:line="240" w:lineRule="atLeast"/>
        <w:rPr>
          <w:rFonts w:cs="OrigGarmnd BT"/>
          <w:b/>
          <w:color w:val="000000"/>
          <w:lang w:eastAsia="sv-SE"/>
        </w:rPr>
      </w:pPr>
      <w:r w:rsidRPr="008470E9">
        <w:rPr>
          <w:rFonts w:cs="OrigGarmnd BT"/>
          <w:b/>
          <w:color w:val="000000"/>
          <w:lang w:eastAsia="sv-SE"/>
        </w:rPr>
        <w:t>8</w:t>
      </w:r>
      <w:r w:rsidR="00EE7236" w:rsidRPr="008470E9">
        <w:rPr>
          <w:rFonts w:cs="OrigGarmnd BT"/>
          <w:b/>
          <w:color w:val="000000"/>
          <w:lang w:eastAsia="sv-SE"/>
        </w:rPr>
        <w:t xml:space="preserve">.1   </w:t>
      </w:r>
      <w:r w:rsidR="004B5D98" w:rsidRPr="008470E9">
        <w:rPr>
          <w:rFonts w:cs="OrigGarmnd BT"/>
          <w:b/>
          <w:color w:val="000000"/>
          <w:lang w:eastAsia="sv-SE"/>
        </w:rPr>
        <w:t>R</w:t>
      </w:r>
      <w:r w:rsidR="00EE7236" w:rsidRPr="008470E9">
        <w:rPr>
          <w:rFonts w:cs="OrigGarmnd BT"/>
          <w:b/>
          <w:color w:val="000000"/>
          <w:lang w:eastAsia="sv-SE"/>
        </w:rPr>
        <w:t>eglering av finansiella tjänster</w:t>
      </w:r>
    </w:p>
    <w:p w:rsidR="004B5D98" w:rsidRPr="008470E9" w:rsidRDefault="004B5D98" w:rsidP="00614600">
      <w:pPr>
        <w:tabs>
          <w:tab w:val="left" w:pos="1701"/>
        </w:tabs>
        <w:spacing w:line="240" w:lineRule="atLeast"/>
        <w:rPr>
          <w:rFonts w:cs="OrigGarmnd BT"/>
          <w:i/>
          <w:color w:val="000000"/>
          <w:lang w:eastAsia="sv-SE"/>
        </w:rPr>
      </w:pPr>
      <w:r w:rsidRPr="008470E9">
        <w:rPr>
          <w:rFonts w:cs="OrigGarmnd BT"/>
          <w:i/>
          <w:color w:val="000000"/>
          <w:lang w:eastAsia="sv-SE"/>
        </w:rPr>
        <w:t xml:space="preserve"> </w:t>
      </w:r>
      <w:r w:rsidR="00F93711" w:rsidRPr="008470E9">
        <w:rPr>
          <w:rFonts w:cs="OrigGarmnd BT"/>
          <w:i/>
          <w:color w:val="000000"/>
          <w:lang w:eastAsia="sv-SE"/>
        </w:rPr>
        <w:t xml:space="preserve"> </w:t>
      </w:r>
      <w:r w:rsidRPr="008470E9">
        <w:rPr>
          <w:rFonts w:cs="OrigGarmnd BT"/>
          <w:i/>
          <w:color w:val="000000"/>
          <w:lang w:eastAsia="sv-SE"/>
        </w:rPr>
        <w:t xml:space="preserve">      - lägesredovisning </w:t>
      </w:r>
    </w:p>
    <w:p w:rsidR="00EE7236" w:rsidRPr="008470E9" w:rsidRDefault="00EE7236" w:rsidP="00614600">
      <w:pPr>
        <w:tabs>
          <w:tab w:val="left" w:pos="1701"/>
        </w:tabs>
        <w:spacing w:line="240" w:lineRule="atLeast"/>
        <w:rPr>
          <w:rFonts w:cs="OrigGarmnd BT"/>
          <w:color w:val="000000"/>
          <w:lang w:eastAsia="sv-SE"/>
        </w:rPr>
      </w:pPr>
    </w:p>
    <w:p w:rsidR="00500962" w:rsidRPr="008470E9" w:rsidRDefault="00500962" w:rsidP="00500962">
      <w:r w:rsidRPr="008470E9">
        <w:t>Ordförandeskapet ska informera om läget i ett antal rättsakter</w:t>
      </w:r>
      <w:r w:rsidR="009160B8" w:rsidRPr="008470E9">
        <w:t>; d</w:t>
      </w:r>
      <w:r w:rsidRPr="008470E9">
        <w:t xml:space="preserve">et gäller kreditvärderingsinstitut, gränsöverskridande betalningar, kapitaltäckningsdirektivet, Solvens II </w:t>
      </w:r>
      <w:r w:rsidR="0013172C" w:rsidRPr="008470E9">
        <w:t xml:space="preserve">samt </w:t>
      </w:r>
      <w:r w:rsidRPr="008470E9">
        <w:t>e-pengar.</w:t>
      </w:r>
    </w:p>
    <w:p w:rsidR="00500962" w:rsidRPr="008470E9" w:rsidRDefault="00500962" w:rsidP="00500962"/>
    <w:p w:rsidR="00500962" w:rsidRPr="008470E9" w:rsidRDefault="00500962" w:rsidP="00500962">
      <w:pPr>
        <w:rPr>
          <w:i/>
        </w:rPr>
      </w:pPr>
      <w:r w:rsidRPr="008470E9">
        <w:rPr>
          <w:i/>
        </w:rPr>
        <w:t>Förordningen om kreditvärderingsinstitut</w:t>
      </w:r>
    </w:p>
    <w:p w:rsidR="00500962" w:rsidRPr="008470E9" w:rsidRDefault="00500962" w:rsidP="00500962">
      <w:r w:rsidRPr="008470E9">
        <w:t xml:space="preserve">Regleringen omfattar alla kreditvärderingar som utfärdas inom EU, men är begränsad till användandet av kreditvärderingar i rättsliga sammanhang. Det innebär att alla kreditvärderingsinstitut inom EU måste registrera sig, stå under tillsyn, ha tillräckligt med resurser för att utföra sitt arbete, ha en hög grad av transparens gentemot investerare och tillsynsmyndigheter samt ha processer för att hantera intressekonflikter. Regleringen är inriktad mot processer hos kreditvärderingsinstitut och inte mot innehållet i själva värderingarna. </w:t>
      </w:r>
    </w:p>
    <w:p w:rsidR="00500962" w:rsidRPr="008470E9" w:rsidRDefault="00500962" w:rsidP="00500962"/>
    <w:p w:rsidR="00500962" w:rsidRPr="008470E9" w:rsidRDefault="00500962" w:rsidP="00500962">
      <w:pPr>
        <w:rPr>
          <w:i/>
        </w:rPr>
      </w:pPr>
      <w:r w:rsidRPr="008470E9">
        <w:rPr>
          <w:i/>
        </w:rPr>
        <w:t>Förordningen om gränsöverskridande betalningar i euro</w:t>
      </w:r>
    </w:p>
    <w:p w:rsidR="00500962" w:rsidRPr="008470E9" w:rsidRDefault="00500962" w:rsidP="00500962">
      <w:r w:rsidRPr="008470E9">
        <w:t xml:space="preserve">Bestämmelserna i förordningen om gränsöverskridande betalningar i euro ska ersätta bestämmelserna i en befintlig förordning. Den nya förordningen syftar till att underlätta genomförandet av gränsöverskridande betalningar i euro inom gemenskapen. Förordningen innehåller bestämmelser om lika avgifter för nationella och gränsöverskridande betalningar samt om rapportering av betalningsbalansstatistik. Dessutom införs bestämmelser om vilka avgifter bankerna får ta ut av varandra för gränsöverskridande och nationella autogirobetalningar i euro och om nåbarhet för sådana transaktioner.  </w:t>
      </w:r>
    </w:p>
    <w:p w:rsidR="00500962" w:rsidRPr="008470E9" w:rsidRDefault="00500962" w:rsidP="00500962"/>
    <w:p w:rsidR="00500962" w:rsidRPr="008470E9" w:rsidRDefault="00500962" w:rsidP="00500962">
      <w:pPr>
        <w:rPr>
          <w:i/>
        </w:rPr>
      </w:pPr>
      <w:r w:rsidRPr="008470E9">
        <w:rPr>
          <w:i/>
        </w:rPr>
        <w:t>Kapitaltäckningsdirektiven</w:t>
      </w:r>
    </w:p>
    <w:p w:rsidR="00500962" w:rsidRPr="008470E9" w:rsidRDefault="00500962" w:rsidP="00500962">
      <w:r w:rsidRPr="008470E9">
        <w:t>Det handlar om ett ändringsdirektiv till dels det konsoliderade bankdirektivet, dels det s.k. Capital Adequacy Directive (tillsammans vanligen benämnda CRD, Capital Requirements Directive). I direktiven återfinns den grundläggande rörelseregleringen som bygger på den s.k. Basel II-överenskommelsen, genom vilken ett riskbaserat regelverk infördes.</w:t>
      </w:r>
    </w:p>
    <w:p w:rsidR="00500962" w:rsidRPr="008470E9" w:rsidRDefault="00500962" w:rsidP="00500962"/>
    <w:p w:rsidR="00500962" w:rsidRPr="008470E9" w:rsidRDefault="00500962" w:rsidP="00500962">
      <w:pPr>
        <w:rPr>
          <w:i/>
        </w:rPr>
      </w:pPr>
      <w:r w:rsidRPr="008470E9">
        <w:rPr>
          <w:i/>
        </w:rPr>
        <w:t>Solvens II</w:t>
      </w:r>
    </w:p>
    <w:p w:rsidR="00500962" w:rsidRPr="008470E9" w:rsidRDefault="00500962" w:rsidP="00500962">
      <w:r w:rsidRPr="008470E9">
        <w:t>Solvens II innebär att ett nytt riskbaserat regelverk införs avseende försäkringsverksamhet. Genom direktivet har dels all gällande reglering på området konsoliderats, dels en total reformering av rörelse- och tillsynsregleringen gjorts.</w:t>
      </w:r>
    </w:p>
    <w:p w:rsidR="00500962" w:rsidRPr="008470E9" w:rsidRDefault="00500962" w:rsidP="00500962"/>
    <w:p w:rsidR="00500962" w:rsidRPr="008470E9" w:rsidRDefault="00500962" w:rsidP="00500962">
      <w:pPr>
        <w:rPr>
          <w:i/>
        </w:rPr>
      </w:pPr>
      <w:r w:rsidRPr="008470E9">
        <w:rPr>
          <w:i/>
        </w:rPr>
        <w:t>Direktivet om elektroniska pengar</w:t>
      </w:r>
    </w:p>
    <w:p w:rsidR="00500962" w:rsidRPr="008470E9" w:rsidRDefault="00500962" w:rsidP="00500962">
      <w:r w:rsidRPr="008470E9">
        <w:t xml:space="preserve">Direktivet om elektroniska pengar ska modernisera ett direktiv från år 2000 om elektroniska pengar. Direktivet innehåller bestämmelser om krav på tillstånd och tillsyn för företag som vill ge ut elektroniska pengar. Dessutom innehåller det särskilda konsumentskyddsbestämmelser, bl.a. bestämmelser om inlösen av elektroniska pengar. </w:t>
      </w:r>
    </w:p>
    <w:p w:rsidR="00500962" w:rsidRPr="008470E9" w:rsidRDefault="00500962" w:rsidP="00500962"/>
    <w:p w:rsidR="00500962" w:rsidRPr="008470E9" w:rsidRDefault="00500962" w:rsidP="00500962">
      <w:r w:rsidRPr="008470E9">
        <w:t>Europaparlamentet har nu i plenum röstat igenom texter som överenskommits med rådet i samtliga dessa rättsakter utom kapitaltäckningsdirektiven, där omröstningen kommer att ske först i maj. Detta betyder att rättsakterna kommer att kunnas antas formellt så fort alla översättningar är klara.</w:t>
      </w:r>
    </w:p>
    <w:p w:rsidR="008717CA" w:rsidRPr="008470E9" w:rsidRDefault="008717CA" w:rsidP="00856A3C">
      <w:pPr>
        <w:pStyle w:val="RKnormal"/>
        <w:tabs>
          <w:tab w:val="clear" w:pos="2835"/>
          <w:tab w:val="left" w:pos="1701"/>
        </w:tabs>
      </w:pPr>
    </w:p>
    <w:p w:rsidR="00AA7510" w:rsidRPr="008470E9" w:rsidRDefault="00AA7510" w:rsidP="00B23A0A">
      <w:pPr>
        <w:pStyle w:val="RKnormal"/>
        <w:tabs>
          <w:tab w:val="clear" w:pos="2835"/>
          <w:tab w:val="left" w:pos="1701"/>
        </w:tabs>
        <w:jc w:val="center"/>
        <w:rPr>
          <w:b/>
        </w:rPr>
      </w:pPr>
      <w:r w:rsidRPr="008470E9">
        <w:softHyphen/>
      </w:r>
      <w:r w:rsidRPr="008470E9">
        <w:softHyphen/>
      </w:r>
      <w:r w:rsidRPr="008470E9">
        <w:softHyphen/>
      </w:r>
      <w:r w:rsidRPr="008470E9">
        <w:softHyphen/>
      </w:r>
      <w:r w:rsidRPr="008470E9">
        <w:softHyphen/>
      </w:r>
      <w:r w:rsidRPr="008470E9">
        <w:softHyphen/>
      </w:r>
      <w:r w:rsidRPr="008470E9">
        <w:softHyphen/>
      </w:r>
      <w:r w:rsidRPr="008470E9">
        <w:softHyphen/>
      </w:r>
      <w:r w:rsidRPr="008470E9">
        <w:softHyphen/>
      </w:r>
      <w:r w:rsidRPr="008470E9">
        <w:softHyphen/>
      </w:r>
      <w:r w:rsidRPr="008470E9">
        <w:softHyphen/>
        <w:t>_______________________</w:t>
      </w:r>
    </w:p>
    <w:sectPr w:rsidR="00AA7510" w:rsidRPr="008470E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060" w:rsidRPr="008470E9" w:rsidRDefault="008B6060">
      <w:r w:rsidRPr="008470E9">
        <w:separator/>
      </w:r>
    </w:p>
  </w:endnote>
  <w:endnote w:type="continuationSeparator" w:id="0">
    <w:p w:rsidR="008B6060" w:rsidRPr="008470E9" w:rsidRDefault="008B6060">
      <w:r w:rsidRPr="008470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060" w:rsidRPr="008470E9" w:rsidRDefault="008B6060">
      <w:r w:rsidRPr="008470E9">
        <w:separator/>
      </w:r>
    </w:p>
  </w:footnote>
  <w:footnote w:type="continuationSeparator" w:id="0">
    <w:p w:rsidR="008B6060" w:rsidRPr="008470E9" w:rsidRDefault="008B6060">
      <w:r w:rsidRPr="008470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897" w:rsidRPr="008470E9" w:rsidRDefault="002F1897">
    <w:pPr>
      <w:pStyle w:val="Sidhuvud"/>
      <w:framePr w:wrap="around" w:vAnchor="text" w:hAnchor="margin" w:xAlign="right" w:y="1"/>
      <w:rPr>
        <w:rStyle w:val="Sidnummer"/>
      </w:rPr>
    </w:pPr>
    <w:r w:rsidRPr="008470E9">
      <w:rPr>
        <w:rStyle w:val="Sidnummer"/>
      </w:rPr>
      <w:fldChar w:fldCharType="begin" w:fldLock="1"/>
    </w:r>
    <w:r w:rsidRPr="008470E9">
      <w:rPr>
        <w:rStyle w:val="Sidnummer"/>
      </w:rPr>
      <w:instrText xml:space="preserve">PAGE  </w:instrText>
    </w:r>
    <w:r w:rsidRPr="008470E9">
      <w:rPr>
        <w:rStyle w:val="Sidnummer"/>
      </w:rPr>
      <w:fldChar w:fldCharType="separate"/>
    </w:r>
    <w:r w:rsidR="00212FBE" w:rsidRPr="008470E9">
      <w:rPr>
        <w:rStyle w:val="Sidnummer"/>
      </w:rPr>
      <w:t>4</w:t>
    </w:r>
    <w:r w:rsidRPr="008470E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F1897" w:rsidRPr="008470E9">
      <w:tblPrEx>
        <w:tblCellMar>
          <w:top w:w="0" w:type="dxa"/>
          <w:bottom w:w="0" w:type="dxa"/>
        </w:tblCellMar>
      </w:tblPrEx>
      <w:trPr>
        <w:cantSplit/>
      </w:trPr>
      <w:tc>
        <w:tcPr>
          <w:tcW w:w="3119" w:type="dxa"/>
        </w:tcPr>
        <w:p w:rsidR="002F1897" w:rsidRPr="008470E9" w:rsidRDefault="002F1897">
          <w:pPr>
            <w:pStyle w:val="Sidhuvud"/>
            <w:spacing w:line="200" w:lineRule="atLeast"/>
            <w:ind w:right="357"/>
            <w:rPr>
              <w:rFonts w:ascii="TradeGothic" w:hAnsi="TradeGothic"/>
              <w:b/>
              <w:bCs/>
              <w:sz w:val="16"/>
            </w:rPr>
          </w:pPr>
        </w:p>
      </w:tc>
      <w:tc>
        <w:tcPr>
          <w:tcW w:w="4111" w:type="dxa"/>
          <w:tcMar>
            <w:left w:w="567" w:type="dxa"/>
          </w:tcMar>
        </w:tcPr>
        <w:p w:rsidR="002F1897" w:rsidRPr="008470E9" w:rsidRDefault="002F1897">
          <w:pPr>
            <w:pStyle w:val="Sidhuvud"/>
            <w:ind w:right="360"/>
          </w:pPr>
        </w:p>
      </w:tc>
      <w:tc>
        <w:tcPr>
          <w:tcW w:w="1525" w:type="dxa"/>
        </w:tcPr>
        <w:p w:rsidR="002F1897" w:rsidRPr="008470E9" w:rsidRDefault="002F1897">
          <w:pPr>
            <w:pStyle w:val="Sidhuvud"/>
            <w:ind w:right="360"/>
          </w:pPr>
        </w:p>
      </w:tc>
    </w:tr>
  </w:tbl>
  <w:p w:rsidR="002F1897" w:rsidRPr="008470E9" w:rsidRDefault="002F189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897" w:rsidRPr="008470E9" w:rsidRDefault="002F1897">
    <w:pPr>
      <w:pStyle w:val="Sidhuvud"/>
      <w:framePr w:wrap="around" w:vAnchor="text" w:hAnchor="margin" w:xAlign="right" w:y="1"/>
      <w:rPr>
        <w:rStyle w:val="Sidnummer"/>
      </w:rPr>
    </w:pPr>
    <w:r w:rsidRPr="008470E9">
      <w:rPr>
        <w:rStyle w:val="Sidnummer"/>
      </w:rPr>
      <w:fldChar w:fldCharType="begin" w:fldLock="1"/>
    </w:r>
    <w:r w:rsidRPr="008470E9">
      <w:rPr>
        <w:rStyle w:val="Sidnummer"/>
      </w:rPr>
      <w:instrText xml:space="preserve">PAGE  </w:instrText>
    </w:r>
    <w:r w:rsidRPr="008470E9">
      <w:rPr>
        <w:rStyle w:val="Sidnummer"/>
      </w:rPr>
      <w:fldChar w:fldCharType="separate"/>
    </w:r>
    <w:r w:rsidR="00212FBE" w:rsidRPr="008470E9">
      <w:rPr>
        <w:rStyle w:val="Sidnummer"/>
      </w:rPr>
      <w:t>5</w:t>
    </w:r>
    <w:r w:rsidRPr="008470E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F1897" w:rsidRPr="008470E9">
      <w:tblPrEx>
        <w:tblCellMar>
          <w:top w:w="0" w:type="dxa"/>
          <w:bottom w:w="0" w:type="dxa"/>
        </w:tblCellMar>
      </w:tblPrEx>
      <w:trPr>
        <w:cantSplit/>
      </w:trPr>
      <w:tc>
        <w:tcPr>
          <w:tcW w:w="3119" w:type="dxa"/>
        </w:tcPr>
        <w:p w:rsidR="002F1897" w:rsidRPr="008470E9" w:rsidRDefault="002F1897">
          <w:pPr>
            <w:pStyle w:val="Sidhuvud"/>
            <w:spacing w:line="200" w:lineRule="atLeast"/>
            <w:ind w:right="357"/>
            <w:rPr>
              <w:rFonts w:ascii="TradeGothic" w:hAnsi="TradeGothic"/>
              <w:b/>
              <w:bCs/>
              <w:sz w:val="16"/>
            </w:rPr>
          </w:pPr>
        </w:p>
      </w:tc>
      <w:tc>
        <w:tcPr>
          <w:tcW w:w="4111" w:type="dxa"/>
          <w:tcMar>
            <w:left w:w="567" w:type="dxa"/>
          </w:tcMar>
        </w:tcPr>
        <w:p w:rsidR="002F1897" w:rsidRPr="008470E9" w:rsidRDefault="002F1897">
          <w:pPr>
            <w:pStyle w:val="Sidhuvud"/>
            <w:ind w:right="360"/>
          </w:pPr>
        </w:p>
      </w:tc>
      <w:tc>
        <w:tcPr>
          <w:tcW w:w="1525" w:type="dxa"/>
        </w:tcPr>
        <w:p w:rsidR="002F1897" w:rsidRPr="008470E9" w:rsidRDefault="002F1897">
          <w:pPr>
            <w:pStyle w:val="Sidhuvud"/>
            <w:ind w:right="360"/>
          </w:pPr>
        </w:p>
      </w:tc>
    </w:tr>
  </w:tbl>
  <w:p w:rsidR="002F1897" w:rsidRPr="008470E9" w:rsidRDefault="002F189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897" w:rsidRPr="008470E9" w:rsidRDefault="008470E9">
    <w:pPr>
      <w:framePr w:w="2948" w:h="1321" w:hRule="exact" w:wrap="notBeside" w:vAnchor="page" w:hAnchor="page" w:x="1362" w:y="653"/>
    </w:pPr>
    <w:r w:rsidRPr="008470E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F1897" w:rsidRPr="008470E9" w:rsidRDefault="002F1897">
    <w:pPr>
      <w:pStyle w:val="RKrubrik"/>
      <w:keepNext w:val="0"/>
      <w:tabs>
        <w:tab w:val="clear" w:pos="1134"/>
        <w:tab w:val="clear" w:pos="2835"/>
      </w:tabs>
      <w:spacing w:before="0" w:after="0" w:line="320" w:lineRule="atLeast"/>
      <w:rPr>
        <w:bCs/>
      </w:rPr>
    </w:pPr>
  </w:p>
  <w:p w:rsidR="002F1897" w:rsidRPr="008470E9" w:rsidRDefault="002F1897">
    <w:pPr>
      <w:rPr>
        <w:rFonts w:ascii="TradeGothic" w:hAnsi="TradeGothic"/>
        <w:b/>
        <w:bCs/>
        <w:spacing w:val="12"/>
        <w:sz w:val="22"/>
      </w:rPr>
    </w:pPr>
  </w:p>
  <w:p w:rsidR="002F1897" w:rsidRPr="008470E9" w:rsidRDefault="002F1897">
    <w:pPr>
      <w:pStyle w:val="RKrubrik"/>
      <w:keepNext w:val="0"/>
      <w:tabs>
        <w:tab w:val="clear" w:pos="1134"/>
        <w:tab w:val="clear" w:pos="2835"/>
      </w:tabs>
      <w:spacing w:before="0" w:after="0" w:line="320" w:lineRule="atLeast"/>
      <w:rPr>
        <w:bCs/>
      </w:rPr>
    </w:pPr>
  </w:p>
  <w:p w:rsidR="002F1897" w:rsidRPr="008470E9" w:rsidRDefault="002F189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64822AA"/>
    <w:multiLevelType w:val="hybridMultilevel"/>
    <w:tmpl w:val="0AEECB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CD62F7"/>
    <w:multiLevelType w:val="hybridMultilevel"/>
    <w:tmpl w:val="B8B6C2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40688366">
    <w:abstractNumId w:val="0"/>
    <w:lvlOverride w:ilvl="0">
      <w:lvl w:ilvl="0">
        <w:numFmt w:val="bullet"/>
        <w:lvlText w:val="•"/>
        <w:legacy w:legacy="1" w:legacySpace="0" w:legacyIndent="0"/>
        <w:lvlJc w:val="left"/>
        <w:rPr>
          <w:rFonts w:ascii="Helv" w:hAnsi="Helv" w:hint="default"/>
        </w:rPr>
      </w:lvl>
    </w:lvlOverride>
  </w:num>
  <w:num w:numId="2" w16cid:durableId="292756702">
    <w:abstractNumId w:val="1"/>
  </w:num>
  <w:num w:numId="3" w16cid:durableId="434252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D5D"/>
    <w:rsid w:val="00002E7D"/>
    <w:rsid w:val="00004CC6"/>
    <w:rsid w:val="00016ADD"/>
    <w:rsid w:val="000368BF"/>
    <w:rsid w:val="00041195"/>
    <w:rsid w:val="00045C74"/>
    <w:rsid w:val="00060F7D"/>
    <w:rsid w:val="00065C80"/>
    <w:rsid w:val="0007009C"/>
    <w:rsid w:val="00085088"/>
    <w:rsid w:val="00092356"/>
    <w:rsid w:val="000A5F32"/>
    <w:rsid w:val="000B1526"/>
    <w:rsid w:val="000F7186"/>
    <w:rsid w:val="000F7A65"/>
    <w:rsid w:val="00104C19"/>
    <w:rsid w:val="00113C40"/>
    <w:rsid w:val="0012466B"/>
    <w:rsid w:val="0013172C"/>
    <w:rsid w:val="00132043"/>
    <w:rsid w:val="00150384"/>
    <w:rsid w:val="00155665"/>
    <w:rsid w:val="00165A4C"/>
    <w:rsid w:val="001805B7"/>
    <w:rsid w:val="00191AFB"/>
    <w:rsid w:val="001D1830"/>
    <w:rsid w:val="001D758A"/>
    <w:rsid w:val="001E4118"/>
    <w:rsid w:val="001E567E"/>
    <w:rsid w:val="001F2632"/>
    <w:rsid w:val="00202F66"/>
    <w:rsid w:val="00212FBE"/>
    <w:rsid w:val="00214E8E"/>
    <w:rsid w:val="00225C96"/>
    <w:rsid w:val="002506E6"/>
    <w:rsid w:val="00270280"/>
    <w:rsid w:val="002971F6"/>
    <w:rsid w:val="002C54FD"/>
    <w:rsid w:val="002C7698"/>
    <w:rsid w:val="002D197A"/>
    <w:rsid w:val="002F1897"/>
    <w:rsid w:val="002F2F1E"/>
    <w:rsid w:val="00310545"/>
    <w:rsid w:val="003115C5"/>
    <w:rsid w:val="00330369"/>
    <w:rsid w:val="00362206"/>
    <w:rsid w:val="003629A1"/>
    <w:rsid w:val="00383698"/>
    <w:rsid w:val="003B4309"/>
    <w:rsid w:val="003B49FE"/>
    <w:rsid w:val="003B6E61"/>
    <w:rsid w:val="003D45A4"/>
    <w:rsid w:val="003E5ABF"/>
    <w:rsid w:val="003F436C"/>
    <w:rsid w:val="00403A3B"/>
    <w:rsid w:val="004072F9"/>
    <w:rsid w:val="0043370C"/>
    <w:rsid w:val="004629C8"/>
    <w:rsid w:val="00466549"/>
    <w:rsid w:val="004706A2"/>
    <w:rsid w:val="00473305"/>
    <w:rsid w:val="004A328D"/>
    <w:rsid w:val="004A4918"/>
    <w:rsid w:val="004A743A"/>
    <w:rsid w:val="004B5D98"/>
    <w:rsid w:val="004B75EE"/>
    <w:rsid w:val="00500962"/>
    <w:rsid w:val="00515451"/>
    <w:rsid w:val="00521BDE"/>
    <w:rsid w:val="00521DC8"/>
    <w:rsid w:val="00535CE4"/>
    <w:rsid w:val="005659EB"/>
    <w:rsid w:val="00574523"/>
    <w:rsid w:val="005748AA"/>
    <w:rsid w:val="00575D45"/>
    <w:rsid w:val="00581316"/>
    <w:rsid w:val="00591CD1"/>
    <w:rsid w:val="005A52F6"/>
    <w:rsid w:val="005B6658"/>
    <w:rsid w:val="005C18BC"/>
    <w:rsid w:val="005C2DB7"/>
    <w:rsid w:val="005F3AA0"/>
    <w:rsid w:val="005F3D2C"/>
    <w:rsid w:val="005F4359"/>
    <w:rsid w:val="00602111"/>
    <w:rsid w:val="00605AF6"/>
    <w:rsid w:val="0060736A"/>
    <w:rsid w:val="00613B42"/>
    <w:rsid w:val="00614600"/>
    <w:rsid w:val="0061465F"/>
    <w:rsid w:val="0061624B"/>
    <w:rsid w:val="00616ED7"/>
    <w:rsid w:val="00620957"/>
    <w:rsid w:val="006224CA"/>
    <w:rsid w:val="00623D1D"/>
    <w:rsid w:val="0063673F"/>
    <w:rsid w:val="0064202A"/>
    <w:rsid w:val="006838E2"/>
    <w:rsid w:val="00695636"/>
    <w:rsid w:val="006A47F0"/>
    <w:rsid w:val="006C257C"/>
    <w:rsid w:val="006C2CE8"/>
    <w:rsid w:val="006D4CF5"/>
    <w:rsid w:val="006D54AE"/>
    <w:rsid w:val="006E1053"/>
    <w:rsid w:val="006E4E11"/>
    <w:rsid w:val="006F7D42"/>
    <w:rsid w:val="00707A0C"/>
    <w:rsid w:val="00723A76"/>
    <w:rsid w:val="007242A3"/>
    <w:rsid w:val="0072718D"/>
    <w:rsid w:val="007359F0"/>
    <w:rsid w:val="007511FC"/>
    <w:rsid w:val="007526E8"/>
    <w:rsid w:val="007636D1"/>
    <w:rsid w:val="00763E1D"/>
    <w:rsid w:val="00775043"/>
    <w:rsid w:val="0077682F"/>
    <w:rsid w:val="00787EE4"/>
    <w:rsid w:val="00794679"/>
    <w:rsid w:val="007B41AD"/>
    <w:rsid w:val="007C0970"/>
    <w:rsid w:val="007D37CD"/>
    <w:rsid w:val="007F1044"/>
    <w:rsid w:val="007F588C"/>
    <w:rsid w:val="00804111"/>
    <w:rsid w:val="00806206"/>
    <w:rsid w:val="00817067"/>
    <w:rsid w:val="00817E13"/>
    <w:rsid w:val="00821E35"/>
    <w:rsid w:val="00830ABD"/>
    <w:rsid w:val="008429CE"/>
    <w:rsid w:val="008470E9"/>
    <w:rsid w:val="00847269"/>
    <w:rsid w:val="00856A3C"/>
    <w:rsid w:val="008717CA"/>
    <w:rsid w:val="00896FCF"/>
    <w:rsid w:val="008A49FE"/>
    <w:rsid w:val="008B4D72"/>
    <w:rsid w:val="008B6060"/>
    <w:rsid w:val="008C2823"/>
    <w:rsid w:val="008D1B0F"/>
    <w:rsid w:val="008D46F1"/>
    <w:rsid w:val="008E6978"/>
    <w:rsid w:val="009035A6"/>
    <w:rsid w:val="009160B8"/>
    <w:rsid w:val="0091620F"/>
    <w:rsid w:val="009263F7"/>
    <w:rsid w:val="00930D0A"/>
    <w:rsid w:val="00931EEA"/>
    <w:rsid w:val="0094141C"/>
    <w:rsid w:val="00942391"/>
    <w:rsid w:val="00944507"/>
    <w:rsid w:val="00960307"/>
    <w:rsid w:val="00963470"/>
    <w:rsid w:val="00964FF1"/>
    <w:rsid w:val="00973291"/>
    <w:rsid w:val="009741D0"/>
    <w:rsid w:val="00974A08"/>
    <w:rsid w:val="009837F5"/>
    <w:rsid w:val="009906C2"/>
    <w:rsid w:val="00995D45"/>
    <w:rsid w:val="009A6C4B"/>
    <w:rsid w:val="009B44C7"/>
    <w:rsid w:val="009C3566"/>
    <w:rsid w:val="009C7249"/>
    <w:rsid w:val="009D79B4"/>
    <w:rsid w:val="009E162F"/>
    <w:rsid w:val="009E1C2C"/>
    <w:rsid w:val="00A239E5"/>
    <w:rsid w:val="00A3439C"/>
    <w:rsid w:val="00A343DC"/>
    <w:rsid w:val="00A37788"/>
    <w:rsid w:val="00A41507"/>
    <w:rsid w:val="00A433C5"/>
    <w:rsid w:val="00A43CFE"/>
    <w:rsid w:val="00A531A0"/>
    <w:rsid w:val="00A56A40"/>
    <w:rsid w:val="00A75496"/>
    <w:rsid w:val="00A802D3"/>
    <w:rsid w:val="00A826AE"/>
    <w:rsid w:val="00A87990"/>
    <w:rsid w:val="00A91E2E"/>
    <w:rsid w:val="00A939CB"/>
    <w:rsid w:val="00A94474"/>
    <w:rsid w:val="00A950B3"/>
    <w:rsid w:val="00AA5C22"/>
    <w:rsid w:val="00AA7510"/>
    <w:rsid w:val="00AD53EC"/>
    <w:rsid w:val="00AE1EBF"/>
    <w:rsid w:val="00AF3A1C"/>
    <w:rsid w:val="00B03237"/>
    <w:rsid w:val="00B10EAE"/>
    <w:rsid w:val="00B21CD8"/>
    <w:rsid w:val="00B23A0A"/>
    <w:rsid w:val="00B34E72"/>
    <w:rsid w:val="00B4134A"/>
    <w:rsid w:val="00B417A1"/>
    <w:rsid w:val="00B43246"/>
    <w:rsid w:val="00B50023"/>
    <w:rsid w:val="00B61CB7"/>
    <w:rsid w:val="00B6453C"/>
    <w:rsid w:val="00B762A9"/>
    <w:rsid w:val="00B80FCC"/>
    <w:rsid w:val="00B967FA"/>
    <w:rsid w:val="00BC25C8"/>
    <w:rsid w:val="00BC762F"/>
    <w:rsid w:val="00BD360A"/>
    <w:rsid w:val="00BD65B2"/>
    <w:rsid w:val="00BF311E"/>
    <w:rsid w:val="00BF5B65"/>
    <w:rsid w:val="00C0353B"/>
    <w:rsid w:val="00C1295E"/>
    <w:rsid w:val="00C270D2"/>
    <w:rsid w:val="00C27F25"/>
    <w:rsid w:val="00C33B54"/>
    <w:rsid w:val="00C413B4"/>
    <w:rsid w:val="00C62F97"/>
    <w:rsid w:val="00CA2D1A"/>
    <w:rsid w:val="00CA4AAC"/>
    <w:rsid w:val="00CA742F"/>
    <w:rsid w:val="00CD38B2"/>
    <w:rsid w:val="00CE175F"/>
    <w:rsid w:val="00CE2CE9"/>
    <w:rsid w:val="00CE449A"/>
    <w:rsid w:val="00CE6F12"/>
    <w:rsid w:val="00CF6C75"/>
    <w:rsid w:val="00D033B9"/>
    <w:rsid w:val="00D07381"/>
    <w:rsid w:val="00D07E25"/>
    <w:rsid w:val="00D13AF7"/>
    <w:rsid w:val="00D4327E"/>
    <w:rsid w:val="00D56B66"/>
    <w:rsid w:val="00DA0914"/>
    <w:rsid w:val="00DA6A10"/>
    <w:rsid w:val="00DA6C7B"/>
    <w:rsid w:val="00DD387B"/>
    <w:rsid w:val="00DF3567"/>
    <w:rsid w:val="00DF5492"/>
    <w:rsid w:val="00DF60C3"/>
    <w:rsid w:val="00E00022"/>
    <w:rsid w:val="00E02C39"/>
    <w:rsid w:val="00E21D9F"/>
    <w:rsid w:val="00E421AB"/>
    <w:rsid w:val="00E60634"/>
    <w:rsid w:val="00E9129D"/>
    <w:rsid w:val="00E94C55"/>
    <w:rsid w:val="00EB15CC"/>
    <w:rsid w:val="00EC25F9"/>
    <w:rsid w:val="00EC450A"/>
    <w:rsid w:val="00EC5436"/>
    <w:rsid w:val="00ED32AD"/>
    <w:rsid w:val="00EE056F"/>
    <w:rsid w:val="00EE3BF7"/>
    <w:rsid w:val="00EE7236"/>
    <w:rsid w:val="00EF1738"/>
    <w:rsid w:val="00F000BA"/>
    <w:rsid w:val="00F20C14"/>
    <w:rsid w:val="00F20F99"/>
    <w:rsid w:val="00F25E9A"/>
    <w:rsid w:val="00F561CA"/>
    <w:rsid w:val="00F7753D"/>
    <w:rsid w:val="00F93711"/>
    <w:rsid w:val="00F953B9"/>
    <w:rsid w:val="00FA08E3"/>
    <w:rsid w:val="00FA18F6"/>
    <w:rsid w:val="00FA76FB"/>
    <w:rsid w:val="00FB17F6"/>
    <w:rsid w:val="00FB64A0"/>
    <w:rsid w:val="00FB6A1C"/>
    <w:rsid w:val="00FB7B09"/>
    <w:rsid w:val="00FD001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CE35C71-1121-43AF-9478-4FEF333C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paragraph" w:styleId="Fotnotstext">
    <w:name w:val="footnote text"/>
    <w:basedOn w:val="Normal"/>
    <w:semiHidden/>
    <w:rsid w:val="00DA6A10"/>
    <w:pPr>
      <w:overflowPunct/>
      <w:autoSpaceDE/>
      <w:autoSpaceDN/>
      <w:adjustRightInd/>
      <w:spacing w:line="240" w:lineRule="auto"/>
      <w:textAlignment w:val="auto"/>
    </w:pPr>
    <w:rPr>
      <w:rFonts w:ascii="Times New Roman" w:hAnsi="Times New Roman"/>
      <w:sz w:val="20"/>
      <w:lang w:val="en-GB"/>
    </w:rPr>
  </w:style>
  <w:style w:type="character" w:styleId="Fotnotsreferens">
    <w:name w:val="footnote reference"/>
    <w:basedOn w:val="Standardstycketeckensnitt"/>
    <w:semiHidden/>
    <w:rsid w:val="00DA6A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1370</Words>
  <Characters>8952</Characters>
  <Application>Microsoft Office Word</Application>
  <DocSecurity>4</DocSecurity>
  <Lines>248</Lines>
  <Paragraphs>70</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2009-04-23T08:49:00Z</cp:lastPrinted>
  <dcterms:created xsi:type="dcterms:W3CDTF">2025-12-17T19:30:00Z</dcterms:created>
  <dcterms:modified xsi:type="dcterms:W3CDTF">2025-12-17T19:30:00Z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