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2022/23</w:t>
      </w:r>
      <w:bookmarkEnd w:id="0"/>
      <w:r>
        <w:t>:</w:t>
      </w:r>
      <w:bookmarkStart w:id="1" w:name="DocumentNumber"/>
      <w:r>
        <w:t>57</w:t>
      </w:r>
      <w:bookmarkEnd w:id="1"/>
    </w:p>
    <w:p w:rsidR="006E04A4">
      <w:pPr>
        <w:pStyle w:val="Date"/>
        <w:outlineLvl w:val="0"/>
      </w:pPr>
      <w:bookmarkStart w:id="2" w:name="DocumentDate"/>
      <w:r>
        <w:t>Fredagen den 3 februari 2023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Justering av protokoll från sammanträdet fredagen den 13 januari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Avsägelse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Emma Berginger (MP) </w:t>
            </w:r>
            <w:r>
              <w:rPr>
                <w:rtl w:val="0"/>
              </w:rPr>
              <w:t>som ledamot i Nordiska rådets svenska delegation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kompletteringsval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Ulf Holm (MP) </w:t>
            </w:r>
            <w:r>
              <w:rPr>
                <w:rtl w:val="0"/>
              </w:rPr>
              <w:t>som ledamot i Nordiska rådets svenska delegation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fördröjda svar på interpellationer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2022/23:161 av Alexandra Völker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Åtgärder mot Iran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2022/23:162 av Ulrika Westerlund (MP)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Stärkt barnrättspektiv i lagstiftningen om umgänge och vårdnad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faktapromemorior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2022/23:FPM44 Ändrade regler för att främja central clearing inom EU (Emirförordningen) </w:t>
            </w:r>
            <w:r>
              <w:rPr>
                <w:i/>
                <w:iCs/>
                <w:rtl w:val="0"/>
              </w:rPr>
              <w:t>COM(2022) 697, COM(2022) 696, COM(2022) 698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2022/23:FPM46 Noteringsakten </w:t>
            </w:r>
            <w:r>
              <w:rPr>
                <w:i/>
                <w:iCs/>
                <w:rtl w:val="0"/>
              </w:rPr>
              <w:t>SWD(2022) 762, COM(2022) 760, COM(2022) 762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2022/23:FPM47 Direktiv om aktiestrukturer med olika röstvärden för företag som ansöker om att notera sina aktier på en tillväxt-marknad för små och medelstora företag </w:t>
            </w:r>
            <w:r>
              <w:rPr>
                <w:i/>
                <w:iCs/>
                <w:rtl w:val="0"/>
              </w:rPr>
              <w:t>COM(2022) 761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CU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2022/23:FPM48 Direktiv om harmonisering av vissa delar av insolvensrätten </w:t>
            </w:r>
            <w:r>
              <w:rPr>
                <w:i/>
                <w:iCs/>
                <w:rtl w:val="0"/>
              </w:rPr>
              <w:t>COM(2022) 702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CU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2022/23:FPM49 EU:s handlingsplan mot olaglig handel med kulturföremål 2023-2025 </w:t>
            </w:r>
            <w:r>
              <w:rPr>
                <w:i/>
                <w:iCs/>
                <w:rtl w:val="0"/>
              </w:rPr>
              <w:t>COM(2022) 800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KrU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Skrivelse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2022/23:51 Redovisning av verksamheten i Internationella valutafonden, Världsbanksgruppen samt regionala utvecklings- och investeringsbanker 2021 och 2022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Motioner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2022/23:42 Genomförande av tillgänglighetsdirektivet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2022/23:2314 av Maj Karlsson m.fl. (V)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SoU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2022/23:2316 av Carina Ståhl Herrstedt m.fl. (SD)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SoU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2022/23:2317 av Christofer Bergenblock m.fl. (C)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SoU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2022/23:2319 av Ulrika Westerlund m.fl. (MP)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SoU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Debatt med anledning av 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Socialminister Jakob Forssmed (KD)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2022/23:153 av Nima Gholam Ali Pour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Skattemedel till organisationer med koppling till regimen i Iran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Fredagen den 3 februari 2023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2023-02-03</SAFIR_Sammantradesdatum_Doc>
    <SAFIR_SammantradeID xmlns="C07A1A6C-0B19-41D9-BDF8-F523BA3921EB">90103baa-2ec5-4c1d-bfa1-50e804706829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270D52-0B8C-41AB-BAD5-BCA6333A6EB2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Fredagen den 3 februari 2023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