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237A2C">
        <w:tblPrEx>
          <w:tblCellMar>
            <w:top w:w="0" w:type="dxa"/>
            <w:bottom w:w="0" w:type="dxa"/>
          </w:tblCellMar>
        </w:tblPrEx>
        <w:trPr>
          <w:cantSplit/>
          <w:trHeight w:hRule="exact" w:val="1260"/>
        </w:trPr>
        <w:tc>
          <w:tcPr>
            <w:tcW w:w="6024" w:type="dxa"/>
            <w:gridSpan w:val="2"/>
            <w:vMerge w:val="restart"/>
          </w:tcPr>
          <w:p w:rsidR="00AE50BA" w:rsidRPr="00237A2C" w:rsidRDefault="00AE50BA">
            <w:pPr>
              <w:pStyle w:val="HuvudRubrik"/>
            </w:pPr>
            <w:bookmarkStart w:id="0" w:name="BetänkandeRubrik"/>
            <w:bookmarkEnd w:id="0"/>
            <w:r w:rsidRPr="00237A2C">
              <w:t>Förslag till riksdagen</w:t>
            </w:r>
            <w:r w:rsidR="00237A2C" w:rsidRPr="00237A2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3034957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AE50BA" w:rsidRPr="00237A2C" w:rsidRDefault="00AE50BA">
                                  <w:pPr>
                                    <w:pStyle w:val="Logo"/>
                                  </w:pPr>
                                  <w:r w:rsidRPr="00237A2C">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45pt;height:77.15pt" fillcolor="window">
                                        <v:imagedata r:id="rId8" o:title="" cropright="-75835f"/>
                                      </v:shape>
                                      <o:OLEObject Type="Embed" ProgID="Word.Picture.8" ShapeID="_x0000_i1026" DrawAspect="Content" ObjectID="_1827353075" r:id="rId9"/>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AE50BA" w:rsidRPr="00237A2C" w:rsidRDefault="00AE50BA">
                            <w:pPr>
                              <w:pStyle w:val="Logo"/>
                            </w:pPr>
                            <w:r w:rsidRPr="00237A2C">
                              <w:object w:dxaOrig="840" w:dyaOrig="1545">
                                <v:shape id="_x0000_i1026" type="#_x0000_t75" style="width:90.45pt;height:77.15pt" fillcolor="window">
                                  <v:imagedata r:id="rId8" o:title="" cropright="-75835f"/>
                                </v:shape>
                                <o:OLEObject Type="Embed" ProgID="Word.Picture.8" ShapeID="_x0000_i1026" DrawAspect="Content" ObjectID="_1827353075" r:id="rId10"/>
                              </w:object>
                            </w:r>
                          </w:p>
                        </w:txbxContent>
                      </v:textbox>
                      <w10:wrap anchorx="page" anchory="page"/>
                    </v:shape>
                  </w:pict>
                </mc:Fallback>
              </mc:AlternateContent>
            </w:r>
          </w:p>
          <w:p w:rsidR="00AE50BA" w:rsidRPr="00237A2C" w:rsidRDefault="00AE50BA">
            <w:pPr>
              <w:pStyle w:val="HuvudRubrikRad2"/>
            </w:pPr>
            <w:bookmarkStart w:id="17" w:name="BetänkandeNr"/>
            <w:bookmarkEnd w:id="17"/>
            <w:r w:rsidRPr="00237A2C">
              <w:t>2000/01:RR14</w:t>
            </w:r>
          </w:p>
          <w:p w:rsidR="00AE50BA" w:rsidRPr="00237A2C" w:rsidRDefault="00AE50BA">
            <w:pPr>
              <w:pStyle w:val="BetnkandeRubrik"/>
            </w:pPr>
            <w:bookmarkStart w:id="18" w:name="Huvudrubrik"/>
            <w:bookmarkEnd w:id="18"/>
            <w:r w:rsidRPr="00237A2C">
              <w:t>Riksdagens revisorers förslag angående anslag som regeringen disponerar och fördelar</w:t>
            </w:r>
          </w:p>
        </w:tc>
        <w:tc>
          <w:tcPr>
            <w:tcW w:w="1559" w:type="dxa"/>
            <w:tcBorders>
              <w:bottom w:val="nil"/>
            </w:tcBorders>
          </w:tcPr>
          <w:p w:rsidR="00AE50BA" w:rsidRPr="00237A2C" w:rsidRDefault="00AE50BA">
            <w:pPr>
              <w:spacing w:before="0" w:line="230" w:lineRule="auto"/>
              <w:rPr>
                <w:sz w:val="24"/>
              </w:rPr>
            </w:pPr>
          </w:p>
        </w:tc>
      </w:tr>
      <w:tr w:rsidR="00000000" w:rsidRPr="00237A2C">
        <w:tblPrEx>
          <w:tblCellMar>
            <w:top w:w="0" w:type="dxa"/>
            <w:bottom w:w="0" w:type="dxa"/>
          </w:tblCellMar>
        </w:tblPrEx>
        <w:trPr>
          <w:cantSplit/>
          <w:trHeight w:hRule="exact" w:val="240"/>
        </w:trPr>
        <w:tc>
          <w:tcPr>
            <w:tcW w:w="6024" w:type="dxa"/>
            <w:gridSpan w:val="2"/>
            <w:vMerge/>
            <w:tcBorders>
              <w:top w:val="nil"/>
              <w:bottom w:val="nil"/>
            </w:tcBorders>
          </w:tcPr>
          <w:p w:rsidR="00AE50BA" w:rsidRPr="00237A2C" w:rsidRDefault="00AE50BA">
            <w:pPr>
              <w:spacing w:before="40" w:after="900" w:line="280" w:lineRule="exact"/>
              <w:jc w:val="left"/>
              <w:rPr>
                <w:sz w:val="28"/>
              </w:rPr>
            </w:pPr>
          </w:p>
        </w:tc>
        <w:tc>
          <w:tcPr>
            <w:tcW w:w="1559" w:type="dxa"/>
          </w:tcPr>
          <w:p w:rsidR="00AE50BA" w:rsidRPr="00237A2C" w:rsidRDefault="00AE50BA">
            <w:pPr>
              <w:pStyle w:val="rtal"/>
            </w:pPr>
            <w:r w:rsidRPr="00237A2C">
              <w:t>2000/01</w:t>
            </w:r>
          </w:p>
        </w:tc>
      </w:tr>
      <w:tr w:rsidR="00000000" w:rsidRPr="00237A2C">
        <w:tblPrEx>
          <w:tblCellMar>
            <w:top w:w="0" w:type="dxa"/>
            <w:bottom w:w="0" w:type="dxa"/>
          </w:tblCellMar>
        </w:tblPrEx>
        <w:trPr>
          <w:cantSplit/>
          <w:trHeight w:val="560"/>
        </w:trPr>
        <w:tc>
          <w:tcPr>
            <w:tcW w:w="6024" w:type="dxa"/>
            <w:gridSpan w:val="2"/>
            <w:vMerge/>
            <w:tcBorders>
              <w:top w:val="nil"/>
              <w:bottom w:val="single" w:sz="6" w:space="0" w:color="auto"/>
            </w:tcBorders>
          </w:tcPr>
          <w:p w:rsidR="00AE50BA" w:rsidRPr="00237A2C" w:rsidRDefault="00AE50BA">
            <w:pPr>
              <w:spacing w:before="40" w:after="900" w:line="280" w:lineRule="exact"/>
              <w:jc w:val="left"/>
              <w:rPr>
                <w:sz w:val="28"/>
              </w:rPr>
            </w:pPr>
          </w:p>
        </w:tc>
        <w:tc>
          <w:tcPr>
            <w:tcW w:w="1559" w:type="dxa"/>
            <w:tcBorders>
              <w:bottom w:val="single" w:sz="6" w:space="0" w:color="auto"/>
            </w:tcBorders>
          </w:tcPr>
          <w:p w:rsidR="00AE50BA" w:rsidRPr="00237A2C" w:rsidRDefault="00AE50BA">
            <w:pPr>
              <w:pStyle w:val="rtal"/>
            </w:pPr>
            <w:r w:rsidRPr="00237A2C">
              <w:t>RR14</w:t>
            </w:r>
          </w:p>
        </w:tc>
      </w:tr>
      <w:tr w:rsidR="00000000" w:rsidRPr="00237A2C">
        <w:tblPrEx>
          <w:tblCellMar>
            <w:top w:w="0" w:type="dxa"/>
            <w:bottom w:w="0" w:type="dxa"/>
          </w:tblCellMar>
        </w:tblPrEx>
        <w:trPr>
          <w:cantSplit/>
          <w:trHeight w:hRule="exact" w:val="660"/>
        </w:trPr>
        <w:tc>
          <w:tcPr>
            <w:tcW w:w="3012" w:type="dxa"/>
          </w:tcPr>
          <w:p w:rsidR="00AE50BA" w:rsidRPr="00237A2C" w:rsidRDefault="00AE50BA">
            <w:pPr>
              <w:pStyle w:val="StatusSida1"/>
            </w:pPr>
          </w:p>
        </w:tc>
        <w:tc>
          <w:tcPr>
            <w:tcW w:w="3012" w:type="dxa"/>
          </w:tcPr>
          <w:p w:rsidR="00AE50BA" w:rsidRPr="00237A2C" w:rsidRDefault="00AE50BA">
            <w:pPr>
              <w:pStyle w:val="UtskriftsdatumSida1"/>
              <w:rPr>
                <w:b/>
                <w:sz w:val="28"/>
              </w:rPr>
            </w:pPr>
          </w:p>
        </w:tc>
        <w:tc>
          <w:tcPr>
            <w:tcW w:w="1559" w:type="dxa"/>
          </w:tcPr>
          <w:p w:rsidR="00AE50BA" w:rsidRPr="00237A2C" w:rsidRDefault="00AE50BA"/>
        </w:tc>
      </w:tr>
    </w:tbl>
    <w:p w:rsidR="00AE50BA" w:rsidRPr="00237A2C" w:rsidRDefault="00AE50BA">
      <w:pPr>
        <w:pStyle w:val="Rubrik1"/>
        <w:spacing w:before="600"/>
      </w:pPr>
      <w:bookmarkStart w:id="19" w:name="Textstart"/>
      <w:bookmarkStart w:id="20" w:name="Ordförande"/>
      <w:bookmarkStart w:id="21" w:name="Nästa_Reservation"/>
      <w:bookmarkStart w:id="22" w:name="_Toc516991574"/>
      <w:bookmarkEnd w:id="19"/>
      <w:bookmarkEnd w:id="20"/>
      <w:bookmarkEnd w:id="21"/>
      <w:r w:rsidRPr="00237A2C">
        <w:t>1 Revisorernas granskning</w:t>
      </w:r>
      <w:bookmarkEnd w:id="22"/>
    </w:p>
    <w:p w:rsidR="00AE50BA" w:rsidRPr="00237A2C" w:rsidRDefault="00AE50BA">
      <w:r w:rsidRPr="00237A2C">
        <w:t>Riksdagens revisorer har på eget initiativ granskat de anslag som regeringen och Regeringskansliet disponerar. Granskningen avser primärt budgetåren 1997–2000 och är fokuserad på sådana anslag där regeringen fungerar som ett verkställighetsorgan genom att själv besluta om fördelningen av bidrag till olika ändamål. Det normala enligt svensk förvaltningstradition är att sådana uppgifter hanteras av myndigheter som lyder under regeringen.</w:t>
      </w:r>
    </w:p>
    <w:p w:rsidR="00AE50BA" w:rsidRPr="00237A2C" w:rsidRDefault="00AE50BA">
      <w:pPr>
        <w:pStyle w:val="Normaltindrag"/>
      </w:pPr>
      <w:r w:rsidRPr="00237A2C">
        <w:t>En fördjupad granskning har genomförts av åtta anslag av detta slag. I första hand har mer omfattande projekt och anslag av principiellt intresse valts ut. Som jämförelse har även två anslag inom Finansdepartementets ansvarsområde, där regeringen närmast fungerar i en strategisk roll, stud</w:t>
      </w:r>
      <w:r w:rsidRPr="00237A2C">
        <w:t>e</w:t>
      </w:r>
      <w:r w:rsidRPr="00237A2C">
        <w:t>rats. I granskningen ingår större delen av de medel i projektform som reg</w:t>
      </w:r>
      <w:r w:rsidRPr="00237A2C">
        <w:t>e</w:t>
      </w:r>
      <w:r w:rsidRPr="00237A2C">
        <w:t>ringen fördelat under perioden, i genomsnitt ca 4 miljarder kronor årligen. Den sammanlagda summa som regeringen och Regeringskansliet disponer</w:t>
      </w:r>
      <w:r w:rsidRPr="00237A2C">
        <w:t>a</w:t>
      </w:r>
      <w:r w:rsidRPr="00237A2C">
        <w:t>de under budgetåren 1997–2000 uppgick till mellan 12 och 20 miljarder kronor per år. Det motsvarar i storleksordningen 2–3 % av statsbudgetens omslutning.</w:t>
      </w:r>
    </w:p>
    <w:p w:rsidR="00AE50BA" w:rsidRPr="00237A2C" w:rsidRDefault="00AE50BA">
      <w:pPr>
        <w:pStyle w:val="Normaltindrag"/>
      </w:pPr>
      <w:r w:rsidRPr="00237A2C">
        <w:t xml:space="preserve">Fem av de studerade anslagen gäller bidrag till kommunsektorn, nämligen anslagen till </w:t>
      </w:r>
      <w:r w:rsidRPr="00237A2C">
        <w:rPr>
          <w:i/>
        </w:rPr>
        <w:t>Särskilda insatser i vissa kommuner och landsting, Särskilda insatser i utsatta bostadsområden, Kunskapslyftet, De lokala investering</w:t>
      </w:r>
      <w:r w:rsidRPr="00237A2C">
        <w:rPr>
          <w:i/>
        </w:rPr>
        <w:t>s</w:t>
      </w:r>
      <w:r w:rsidRPr="00237A2C">
        <w:rPr>
          <w:i/>
        </w:rPr>
        <w:t>programmen samt IT i skolan.</w:t>
      </w:r>
      <w:r w:rsidRPr="00237A2C">
        <w:t xml:space="preserve"> I granskningen ingår också de tre paket om vardera 1 miljard kronor som riksdagen tog ställning till sommaren 1996, dvs. den första </w:t>
      </w:r>
      <w:r w:rsidRPr="00237A2C">
        <w:rPr>
          <w:i/>
        </w:rPr>
        <w:t xml:space="preserve">Östersjömiljarden, Kretsloppsmiljarden </w:t>
      </w:r>
      <w:r w:rsidRPr="00237A2C">
        <w:t xml:space="preserve">och </w:t>
      </w:r>
      <w:r w:rsidRPr="00237A2C">
        <w:rPr>
          <w:i/>
        </w:rPr>
        <w:t>Småföretag</w:t>
      </w:r>
      <w:r w:rsidRPr="00237A2C">
        <w:rPr>
          <w:i/>
        </w:rPr>
        <w:t>s</w:t>
      </w:r>
      <w:r w:rsidRPr="00237A2C">
        <w:rPr>
          <w:i/>
        </w:rPr>
        <w:t>miljarden.</w:t>
      </w:r>
      <w:r w:rsidRPr="00237A2C">
        <w:t xml:space="preserve"> Därutöver har anslagen för </w:t>
      </w:r>
      <w:r w:rsidRPr="00237A2C">
        <w:rPr>
          <w:i/>
        </w:rPr>
        <w:t>Utvecklingsarbete</w:t>
      </w:r>
      <w:r w:rsidRPr="00237A2C">
        <w:t xml:space="preserve"> (ca 100 miljoner kronor) och </w:t>
      </w:r>
      <w:r w:rsidRPr="00237A2C">
        <w:rPr>
          <w:i/>
        </w:rPr>
        <w:t>Kontrollfunktionen i staten</w:t>
      </w:r>
      <w:r w:rsidRPr="00237A2C">
        <w:t xml:space="preserve"> (ca 300 miljoner kronor) granskats.</w:t>
      </w:r>
    </w:p>
    <w:p w:rsidR="00AE50BA" w:rsidRPr="00237A2C" w:rsidRDefault="00AE50BA">
      <w:pPr>
        <w:pStyle w:val="Normaltindrag"/>
      </w:pPr>
      <w:r w:rsidRPr="00237A2C">
        <w:t>Granskningen ä</w:t>
      </w:r>
      <w:r w:rsidRPr="00237A2C">
        <w:t>r övergripande och principiell till sin karaktär med tonvikt på samspelet mellan riksdagen och regeringen. Centrala frågeställningar har varit att studera hur styrning, insyn och kontroll fungerar i de fall regeringen själv ansvarar för beredning, beslut och genomförande. Anslagens använ</w:t>
      </w:r>
      <w:r w:rsidRPr="00237A2C">
        <w:t>d</w:t>
      </w:r>
      <w:r w:rsidRPr="00237A2C">
        <w:t>ning har inte varit föremål för granskning.</w:t>
      </w:r>
    </w:p>
    <w:p w:rsidR="00AE50BA" w:rsidRPr="00237A2C" w:rsidRDefault="00AE50BA">
      <w:pPr>
        <w:pStyle w:val="Normaltindrag"/>
      </w:pPr>
      <w:r w:rsidRPr="00237A2C">
        <w:t xml:space="preserve">Rapporten  Anslag till regeringens disposition – Hur fungerar styrningen och kontrollen när regeringen själv fördelar pengar? (Rapport 2000/01:7) </w:t>
      </w:r>
    </w:p>
    <w:p w:rsidR="00AE50BA" w:rsidRPr="00237A2C" w:rsidRDefault="00AE50BA">
      <w:pPr>
        <w:pStyle w:val="Normaltindrag"/>
      </w:pPr>
    </w:p>
    <w:p w:rsidR="00AE50BA" w:rsidRPr="00237A2C" w:rsidRDefault="00AE50BA">
      <w:pPr>
        <w:sectPr w:rsidR="00000000" w:rsidRPr="00237A2C">
          <w:headerReference w:type="default" r:id="rId11"/>
          <w:footerReference w:type="default" r:id="rId12"/>
          <w:pgSz w:w="11906" w:h="16838" w:code="9"/>
          <w:pgMar w:top="567" w:right="4876" w:bottom="4508" w:left="1134" w:header="227" w:footer="227" w:gutter="0"/>
          <w:cols w:space="720"/>
        </w:sectPr>
      </w:pPr>
    </w:p>
    <w:p w:rsidR="00AE50BA" w:rsidRPr="00237A2C" w:rsidRDefault="00AE50BA">
      <w:r w:rsidRPr="00237A2C">
        <w:lastRenderedPageBreak/>
        <w:t>beslutades av revisorerna i mars 2001. Rapporten innehåller bl.a. en geno</w:t>
      </w:r>
      <w:r w:rsidRPr="00237A2C">
        <w:t>m</w:t>
      </w:r>
      <w:r w:rsidRPr="00237A2C">
        <w:t>gång av gällande regelsystem på budgetområdet, en kartläggning och analys av hur de utvalda anslagen hanterats av regeringen och riksdagen i budge</w:t>
      </w:r>
      <w:r w:rsidRPr="00237A2C">
        <w:t>t</w:t>
      </w:r>
      <w:r w:rsidRPr="00237A2C">
        <w:t>processen samt revisorernas överväganden och förslag för att ytterligare förbättra styrning och kontroll i de fall regeringen hanterar enskilda bidrag</w:t>
      </w:r>
      <w:r w:rsidRPr="00237A2C">
        <w:t>s</w:t>
      </w:r>
      <w:r w:rsidRPr="00237A2C">
        <w:t>system. Som underlag för revisorernas bedömningar ligger också en på rev</w:t>
      </w:r>
      <w:r w:rsidRPr="00237A2C">
        <w:t>i</w:t>
      </w:r>
      <w:r w:rsidRPr="00237A2C">
        <w:t>sorernas uppdrag framtagen forskarrapport där arbets- och rollfördelningen mellan departement och myndigheter belyses. Forskarnas rapport om</w:t>
      </w:r>
      <w:r w:rsidRPr="00237A2C">
        <w:t xml:space="preserve"> den svenska förvaltningsmodellen ingår som en bilaga till granskningsra</w:t>
      </w:r>
      <w:r w:rsidRPr="00237A2C">
        <w:t>p</w:t>
      </w:r>
      <w:r w:rsidRPr="00237A2C">
        <w:t>porten.</w:t>
      </w:r>
    </w:p>
    <w:p w:rsidR="00AE50BA" w:rsidRPr="00237A2C" w:rsidRDefault="00AE50BA">
      <w:pPr>
        <w:pStyle w:val="Normaltindrag"/>
      </w:pPr>
      <w:r w:rsidRPr="00237A2C">
        <w:t xml:space="preserve">Granskningsrapporten har remissbehandlats. Följande åtta remissinstanser har yttrat sig över rapporten: </w:t>
      </w:r>
      <w:r w:rsidRPr="00237A2C">
        <w:rPr>
          <w:i/>
        </w:rPr>
        <w:t xml:space="preserve">Justitieombudsmannen, Regeringskansliet, Svea hovrätt, Kammarkollegiet, Statskontoret, Ekonomistyrningsverket, Uppsala universitet </w:t>
      </w:r>
      <w:r w:rsidRPr="00237A2C">
        <w:t xml:space="preserve">och </w:t>
      </w:r>
      <w:r w:rsidRPr="00237A2C">
        <w:rPr>
          <w:i/>
        </w:rPr>
        <w:t>Lunds universitet.</w:t>
      </w:r>
      <w:r w:rsidRPr="00237A2C">
        <w:t xml:space="preserve"> Remissinstanserna är i stort positiva till revisionsrapporten och till de förslag som där läggs fram. Granskningsra</w:t>
      </w:r>
      <w:r w:rsidRPr="00237A2C">
        <w:t>p</w:t>
      </w:r>
      <w:r w:rsidRPr="00237A2C">
        <w:t>porten  fogas som bilaga till denna skrivelse.</w:t>
      </w:r>
    </w:p>
    <w:p w:rsidR="00AE50BA" w:rsidRPr="00237A2C" w:rsidRDefault="00AE50BA">
      <w:pPr>
        <w:pStyle w:val="Rubrik1"/>
      </w:pPr>
      <w:bookmarkStart w:id="23" w:name="_Toc516991575"/>
      <w:r w:rsidRPr="00237A2C">
        <w:t>2 Revisorernas överväganden</w:t>
      </w:r>
      <w:bookmarkEnd w:id="23"/>
    </w:p>
    <w:p w:rsidR="00AE50BA" w:rsidRPr="00237A2C" w:rsidRDefault="00AE50BA">
      <w:r w:rsidRPr="00237A2C">
        <w:t>I det följande återges en punktvis sammanfattning av revisorernas iakttage</w:t>
      </w:r>
      <w:r w:rsidRPr="00237A2C">
        <w:t>l</w:t>
      </w:r>
      <w:r w:rsidRPr="00237A2C">
        <w:t xml:space="preserve">ser från rapporten och vad remissinstanserna anfört i motsvarande delar samt revisorernas överväganden och förslag. Dessa senare grundar sig på det samlade resultatet av rapporten och remissbehandlingen. </w:t>
      </w:r>
    </w:p>
    <w:p w:rsidR="00AE50BA" w:rsidRPr="00237A2C" w:rsidRDefault="00AE50BA">
      <w:pPr>
        <w:pStyle w:val="Rubrik2"/>
      </w:pPr>
      <w:bookmarkStart w:id="24" w:name="_Toc516991576"/>
      <w:r w:rsidRPr="00237A2C">
        <w:t>2.1 Principiella synpunkter på regeringen som bidragsfördelare</w:t>
      </w:r>
      <w:bookmarkEnd w:id="24"/>
    </w:p>
    <w:p w:rsidR="00AE50BA" w:rsidRPr="00237A2C" w:rsidRDefault="00AE50BA">
      <w:pPr>
        <w:pStyle w:val="Rubrik3"/>
        <w:spacing w:before="123"/>
      </w:pPr>
      <w:bookmarkStart w:id="25" w:name="_Toc516991577"/>
      <w:r w:rsidRPr="00237A2C">
        <w:t>Rapporten</w:t>
      </w:r>
      <w:bookmarkEnd w:id="25"/>
    </w:p>
    <w:p w:rsidR="00AE50BA" w:rsidRPr="00237A2C" w:rsidRDefault="00AE50BA">
      <w:r w:rsidRPr="00237A2C">
        <w:t>Med utgångspunkt i de grundläggande bestämmelserna om finansmakten i regeringsformen behandlar revisorerna i rapportens avsnitt med överväga</w:t>
      </w:r>
      <w:r w:rsidRPr="00237A2C">
        <w:t>n</w:t>
      </w:r>
      <w:r w:rsidRPr="00237A2C">
        <w:t xml:space="preserve">den och förslag (avsnitt 7) först ett antal övergripande frågor om regeringens roll som bidragsfördelare. </w:t>
      </w:r>
    </w:p>
    <w:p w:rsidR="00AE50BA" w:rsidRPr="00237A2C" w:rsidRDefault="00AE50BA">
      <w:pPr>
        <w:pStyle w:val="Normaltindrag"/>
      </w:pPr>
      <w:r w:rsidRPr="00237A2C">
        <w:t xml:space="preserve">Det gäller för det </w:t>
      </w:r>
      <w:r w:rsidRPr="00237A2C">
        <w:rPr>
          <w:i/>
        </w:rPr>
        <w:t>första</w:t>
      </w:r>
      <w:r w:rsidRPr="00237A2C">
        <w:t xml:space="preserve"> huruvida denna roll är förenlig med den s.k. </w:t>
      </w:r>
      <w:r w:rsidRPr="00237A2C">
        <w:rPr>
          <w:i/>
        </w:rPr>
        <w:t>sven</w:t>
      </w:r>
      <w:r w:rsidRPr="00237A2C">
        <w:rPr>
          <w:i/>
        </w:rPr>
        <w:t>s</w:t>
      </w:r>
      <w:r w:rsidRPr="00237A2C">
        <w:rPr>
          <w:i/>
        </w:rPr>
        <w:t>ka förvaltningsmodellen</w:t>
      </w:r>
      <w:r w:rsidRPr="00237A2C">
        <w:t xml:space="preserve"> (avsnitt 7.2). Revisorerna konstaterar att det framgår av den forskarrapport som ingår i granskningen att det finns en bred samsyn om förekomsten av en specifik svensk förvaltningsmodell. Men samtidigt är begreppets innehåll relativt diffust. Någon klar åtskillnad mellan politiska och verkställande arbetsuppgifter har inte gjorts vare sig i den politiska d</w:t>
      </w:r>
      <w:r w:rsidRPr="00237A2C">
        <w:t>e</w:t>
      </w:r>
      <w:r w:rsidRPr="00237A2C">
        <w:t>batten eller inom förvaltningsforskningen. I praktiken har det dock inte</w:t>
      </w:r>
      <w:r w:rsidRPr="00237A2C">
        <w:t xml:space="preserve"> varit ovanligt att olika regeringar genom åren fungerat som bidragsfördelare. Enligt revisorerna är det viktigt att betona att regeringens roll i förhållande till förvaltningen främst gäller ledning, styrning och samordning. Samtidigt anser revisorerna att det faktum att regeringen i vissa fall fungerar som b</w:t>
      </w:r>
      <w:r w:rsidRPr="00237A2C">
        <w:t>i</w:t>
      </w:r>
      <w:r w:rsidRPr="00237A2C">
        <w:t>dragsfördelare går att förena med den svenska förvaltningsmodellen.</w:t>
      </w:r>
    </w:p>
    <w:p w:rsidR="00AE50BA" w:rsidRPr="00237A2C" w:rsidRDefault="00AE50BA">
      <w:pPr>
        <w:pStyle w:val="Normaltindrag"/>
      </w:pPr>
      <w:r w:rsidRPr="00237A2C">
        <w:t xml:space="preserve">För det </w:t>
      </w:r>
      <w:r w:rsidRPr="00237A2C">
        <w:rPr>
          <w:i/>
        </w:rPr>
        <w:t>andra</w:t>
      </w:r>
      <w:r w:rsidRPr="00237A2C">
        <w:t xml:space="preserve"> anlägger revisorerna, mot bakgrund av tidigare uttalanden av riksdagen</w:t>
      </w:r>
      <w:r w:rsidRPr="00237A2C">
        <w:rPr>
          <w:i/>
        </w:rPr>
        <w:t>, vissa principiella synpunkter</w:t>
      </w:r>
      <w:r w:rsidRPr="00237A2C">
        <w:t xml:space="preserve"> på användningen av statliga projek</w:t>
      </w:r>
      <w:r w:rsidRPr="00237A2C">
        <w:t>t</w:t>
      </w:r>
      <w:r w:rsidRPr="00237A2C">
        <w:t>bidrag (avsnitt 7.3).  Huvuddelen av de tio anslag till regeringens disposition som studerats gäller bidragsgivning i projektform. För flera av de mest om-</w:t>
      </w:r>
    </w:p>
    <w:p w:rsidR="00AE50BA" w:rsidRPr="00237A2C" w:rsidRDefault="00AE50BA">
      <w:r w:rsidRPr="00237A2C">
        <w:t>fattande projektstöden handlar det om bidragsgivning till kommuner. Revis</w:t>
      </w:r>
      <w:r w:rsidRPr="00237A2C">
        <w:t>o</w:t>
      </w:r>
      <w:r w:rsidRPr="00237A2C">
        <w:t>rerna anser att den syn som riksdagen på förslag av finansutskottet ställt sig bakom med innebörden att restriktivitet bör iakttas i användningen av stöd i projektform fortfarande bör kunna vara vägledande. Grundregeln bör vara att statliga medel till offentliga verksamheter ska fördelas i generella termer, efter förutbestämda kriterier och kanaliseras till den ordinarie verksamheten. Det gäller inte minst bidrag till kommunsektorn.</w:t>
      </w:r>
    </w:p>
    <w:p w:rsidR="00AE50BA" w:rsidRPr="00237A2C" w:rsidRDefault="00AE50BA">
      <w:pPr>
        <w:pStyle w:val="Normaltindrag"/>
      </w:pPr>
      <w:r w:rsidRPr="00237A2C">
        <w:t xml:space="preserve">Revisorerna anger för det </w:t>
      </w:r>
      <w:r w:rsidRPr="00237A2C">
        <w:rPr>
          <w:i/>
        </w:rPr>
        <w:t>tredje</w:t>
      </w:r>
      <w:r w:rsidRPr="00237A2C">
        <w:t xml:space="preserve"> (avsnitt 7.4) </w:t>
      </w:r>
      <w:r w:rsidRPr="00237A2C">
        <w:rPr>
          <w:i/>
        </w:rPr>
        <w:t>ett antal för- respektive nac</w:t>
      </w:r>
      <w:r w:rsidRPr="00237A2C">
        <w:rPr>
          <w:i/>
        </w:rPr>
        <w:t>k</w:t>
      </w:r>
      <w:r w:rsidRPr="00237A2C">
        <w:rPr>
          <w:i/>
        </w:rPr>
        <w:t>delar</w:t>
      </w:r>
      <w:r w:rsidRPr="00237A2C">
        <w:t xml:space="preserve"> i samband med att regeringen tar på sig rollen som bidragsfördelare. Å ena sidan understryks att det finns risker för att en omfattande bidragshant</w:t>
      </w:r>
      <w:r w:rsidRPr="00237A2C">
        <w:t>e</w:t>
      </w:r>
      <w:r w:rsidRPr="00237A2C">
        <w:t>ring tränger undan strategiska uppgifter liksom att myndigheternas roll tu</w:t>
      </w:r>
      <w:r w:rsidRPr="00237A2C">
        <w:t>n</w:t>
      </w:r>
      <w:r w:rsidRPr="00237A2C">
        <w:t>nas ut. Departementen saknar dessutom inte sällan den kompetens som fackmyndigheterna har när det gäller att bedöma projektansökningar. Motiv för att regeringen tar sig an verkställighetsuppgifter kan å andra sidan vara att det i et</w:t>
      </w:r>
      <w:r w:rsidRPr="00237A2C">
        <w:t>t inledande skede inom ett programområde är oklart vilka problem som ska lösas eller att alternativa organisatoriska lösningar saknas. Revis</w:t>
      </w:r>
      <w:r w:rsidRPr="00237A2C">
        <w:t>o</w:t>
      </w:r>
      <w:r w:rsidRPr="00237A2C">
        <w:t>rernas slutsats är att enskilda bidragssystem endast undantagsvis bör hanteras av regeringen och Regeringskansliet. Regeringen bör enligt revisorerna normalt i samband med att budgetförslag läggs fram till riksdagen anmäla om man avser att själv behålla dispositionsrätten till medel av denna karaktär och motiven för detta.</w:t>
      </w:r>
    </w:p>
    <w:p w:rsidR="00AE50BA" w:rsidRPr="00237A2C" w:rsidRDefault="00AE50BA">
      <w:pPr>
        <w:pStyle w:val="Rubrik3"/>
      </w:pPr>
      <w:bookmarkStart w:id="26" w:name="_Toc516991578"/>
      <w:r w:rsidRPr="00237A2C">
        <w:t>Remissinstanserna</w:t>
      </w:r>
      <w:bookmarkEnd w:id="26"/>
    </w:p>
    <w:p w:rsidR="00AE50BA" w:rsidRPr="00237A2C" w:rsidRDefault="00AE50BA">
      <w:r w:rsidRPr="00237A2C">
        <w:rPr>
          <w:i/>
        </w:rPr>
        <w:t>Svea hovrätt</w:t>
      </w:r>
      <w:r w:rsidRPr="00237A2C">
        <w:t xml:space="preserve"> anför att de slutsatser och förslag som redovisas i rapporten inte ger anledning till några invändningar från hovrättens sida. De synes i stället, heter det, genomgående välgrundade. Enligt hovrätten utgör den i rapporten presenterade studien om den svenska förvaltningsmodellen ett värdefullt bidrag till förståelsen av en viktig konstitutionell fråga. Den synes ge en god bakgrund och utgångspunkt för de bedömningar som revisorerna gör i sin rapport.</w:t>
      </w:r>
    </w:p>
    <w:p w:rsidR="00AE50BA" w:rsidRPr="00237A2C" w:rsidRDefault="00AE50BA">
      <w:pPr>
        <w:pStyle w:val="Normaltindrag"/>
      </w:pPr>
      <w:r w:rsidRPr="00237A2C">
        <w:rPr>
          <w:i/>
        </w:rPr>
        <w:t xml:space="preserve">Justitieombudsmannen (JO) </w:t>
      </w:r>
      <w:r w:rsidRPr="00237A2C">
        <w:t>begränsar sitt yttrande till att beröra vissa rättssäkerhetsaspekter. När det gäller de faktorer som talar mot att regeringen tar på sig rollen som bidragsfördelare pekar revisorerna i rapporten (s. 42) på att det då saknas möjligheter att överklaga besluten. JO pekar därutöver på att sådana bidragsbeslut inte torde kunna bli föremål för rättsprövning och att regeringen och enskilda statsråd inte står under JO:s tillsyn. Beträffande tillfälliga organisationslösningar anförs i yttrandet att JO:s befogenheter</w:t>
      </w:r>
      <w:r w:rsidRPr="00237A2C">
        <w:t xml:space="preserve"> att utkräva ansvar för beslut m.m. av en myndighet inte kan utövas sedan my</w:t>
      </w:r>
      <w:r w:rsidRPr="00237A2C">
        <w:t>n</w:t>
      </w:r>
      <w:r w:rsidRPr="00237A2C">
        <w:t>digheten har upphört. Sammantaget talar dessa rättssäkerhetsaspekter enligt JO för att bidragsfördelning i största möjliga mån bör handläggas av förval</w:t>
      </w:r>
      <w:r w:rsidRPr="00237A2C">
        <w:t>t</w:t>
      </w:r>
      <w:r w:rsidRPr="00237A2C">
        <w:t>ningsmyndigheter och inte av regeringen.</w:t>
      </w:r>
    </w:p>
    <w:p w:rsidR="00AE50BA" w:rsidRPr="00237A2C" w:rsidRDefault="00AE50BA">
      <w:pPr>
        <w:pStyle w:val="Normaltindrag"/>
      </w:pPr>
      <w:r w:rsidRPr="00237A2C">
        <w:rPr>
          <w:i/>
        </w:rPr>
        <w:t>Statskontoret</w:t>
      </w:r>
      <w:r w:rsidRPr="00237A2C">
        <w:t xml:space="preserve"> gör i sitt yttrande en sammanfattande bedömning av rappo</w:t>
      </w:r>
      <w:r w:rsidRPr="00237A2C">
        <w:t>r</w:t>
      </w:r>
      <w:r w:rsidRPr="00237A2C">
        <w:t xml:space="preserve">ten. Därav framgår att Statskontoret i allt väsentligt delar de synpunkter som framförs i rapporten och tillstyrker förslagen. Analysen är väl genomförd, och revisorerna anvisar enligt Statskontoret rimliga lösningar på de problem som kan uppstå när regeringen själv tar på sig sådana bidragsbeviljande </w:t>
      </w:r>
    </w:p>
    <w:p w:rsidR="00AE50BA" w:rsidRPr="00237A2C" w:rsidRDefault="00AE50BA">
      <w:r w:rsidRPr="00237A2C">
        <w:t>uppgifter som annars normalt brukar fullgöras av myndigheter under reg</w:t>
      </w:r>
      <w:r w:rsidRPr="00237A2C">
        <w:t>e</w:t>
      </w:r>
      <w:r w:rsidRPr="00237A2C">
        <w:t>ringen.</w:t>
      </w:r>
    </w:p>
    <w:p w:rsidR="00AE50BA" w:rsidRPr="00237A2C" w:rsidRDefault="00AE50BA">
      <w:pPr>
        <w:pStyle w:val="Normaltindrag"/>
      </w:pPr>
      <w:r w:rsidRPr="00237A2C">
        <w:t>Statskontoret framhåller också att regeringens uppgift är att styra förval</w:t>
      </w:r>
      <w:r w:rsidRPr="00237A2C">
        <w:t>t</w:t>
      </w:r>
      <w:r w:rsidRPr="00237A2C">
        <w:t>ningen, inte att själv ha förvaltningsuppgifter av verkställighetsnatur. Det senare kan ta kraft från det förra. Enligt Statskontorets mening är det fortsatt viktigt att regeringen koncentrerar sig på sin ledningsfunktion, inte minst för att kunna utveckla kvaliteten i ledningen av förvaltningen. Det är mot den bakgrunden olyckligt om regeringen och Regeringskansliet tar på sig alltmer av direkt beredning och beslut om fördelning av projektmedel.</w:t>
      </w:r>
    </w:p>
    <w:p w:rsidR="00AE50BA" w:rsidRPr="00237A2C" w:rsidRDefault="00AE50BA">
      <w:pPr>
        <w:pStyle w:val="Normaltindrag"/>
      </w:pPr>
      <w:r w:rsidRPr="00237A2C">
        <w:rPr>
          <w:i/>
        </w:rPr>
        <w:t>Kammarkollegiet</w:t>
      </w:r>
      <w:r w:rsidRPr="00237A2C">
        <w:t xml:space="preserve"> anser att det i vissa fall där behovet av samordnad sty</w:t>
      </w:r>
      <w:r w:rsidRPr="00237A2C">
        <w:t>r</w:t>
      </w:r>
      <w:r w:rsidRPr="00237A2C">
        <w:t>ning är särskilt starkt – inte minst i fall där medelsbehovet är kopplat till utrikespolitiska mål – är lämpligt att regeringen tar på sig ett operativt a</w:t>
      </w:r>
      <w:r w:rsidRPr="00237A2C">
        <w:t>n</w:t>
      </w:r>
      <w:r w:rsidRPr="00237A2C">
        <w:t>svar. Antalet fall där en sådan organisering behövs torde dock även i framt</w:t>
      </w:r>
      <w:r w:rsidRPr="00237A2C">
        <w:t>i</w:t>
      </w:r>
      <w:r w:rsidRPr="00237A2C">
        <w:t>den bli begränsat. Kollegiet delar revisorernas uppfattning att detta går att förena med den svenska förvaltningsmodellen.</w:t>
      </w:r>
    </w:p>
    <w:p w:rsidR="00AE50BA" w:rsidRPr="00237A2C" w:rsidRDefault="00AE50BA">
      <w:pPr>
        <w:pStyle w:val="Normaltindrag"/>
      </w:pPr>
      <w:r w:rsidRPr="00237A2C">
        <w:t>Även om Kammarkollegiet delar revisorernas uppfattning om att restrikt</w:t>
      </w:r>
      <w:r w:rsidRPr="00237A2C">
        <w:t>i</w:t>
      </w:r>
      <w:r w:rsidRPr="00237A2C">
        <w:t>vitet bör iakttas i användningen av statligt stöd i projektform anser kollegiet att det i vissa fall av effektivitetsskäl kan finnas anledning att fördela medel i projektform. Så kan t.ex. vara fallet på det utrikespolitiska området där det kan finnas behov av snabba beslut och snabb verkställighet. I sådana fall kan behovet enligt kollegiet kvarstå under längre tid.</w:t>
      </w:r>
    </w:p>
    <w:p w:rsidR="00AE50BA" w:rsidRPr="00237A2C" w:rsidRDefault="00AE50BA">
      <w:pPr>
        <w:pStyle w:val="Normaltindrag"/>
      </w:pPr>
      <w:r w:rsidRPr="00237A2C">
        <w:rPr>
          <w:i/>
        </w:rPr>
        <w:t>Ekonomistyrningsverket (ESV)</w:t>
      </w:r>
      <w:r w:rsidRPr="00237A2C">
        <w:t xml:space="preserve"> instämmer i revisorernas förslag att reg</w:t>
      </w:r>
      <w:r w:rsidRPr="00237A2C">
        <w:t>e</w:t>
      </w:r>
      <w:r w:rsidRPr="00237A2C">
        <w:t>ringen endast i undantagsfall bör hantera enskilda bidragssystem själv. Des</w:t>
      </w:r>
      <w:r w:rsidRPr="00237A2C">
        <w:t>s</w:t>
      </w:r>
      <w:r w:rsidRPr="00237A2C">
        <w:t>utom anser ESV, liksom revisorerna, att restriktivitet bör iakttas i använ</w:t>
      </w:r>
      <w:r w:rsidRPr="00237A2C">
        <w:t>d</w:t>
      </w:r>
      <w:r w:rsidRPr="00237A2C">
        <w:t>ning av statligt stöd i projektform. Den svenska förvaltningsmodellen bygger på en hög grad av delegering till självständiga myndigheter som genomför verksamhet de är ålagda. Till detta kommer att Regeringskansliet inte är organiserat och dimensionerat för den omfattande berednings- och b</w:t>
      </w:r>
      <w:r w:rsidRPr="00237A2C">
        <w:t>e</w:t>
      </w:r>
      <w:r w:rsidRPr="00237A2C">
        <w:t>slutsprocess som en stor mäng</w:t>
      </w:r>
      <w:r w:rsidRPr="00237A2C">
        <w:t>d bidragsärenden för med sig.</w:t>
      </w:r>
    </w:p>
    <w:p w:rsidR="00AE50BA" w:rsidRPr="00237A2C" w:rsidRDefault="00AE50BA">
      <w:pPr>
        <w:pStyle w:val="Normaltindrag"/>
      </w:pPr>
      <w:r w:rsidRPr="00237A2C">
        <w:t>ESV delar revisorernas mening att  grundprincipen bör vara att statliga medel till olika offentliga verksamheter ska fördelas i generella termer, efter förutbestämda kriterier och kanaliseras till den ordinarie verksamheten.</w:t>
      </w:r>
    </w:p>
    <w:p w:rsidR="00AE50BA" w:rsidRPr="00237A2C" w:rsidRDefault="00AE50BA">
      <w:pPr>
        <w:pStyle w:val="Normaltindrag"/>
      </w:pPr>
      <w:r w:rsidRPr="00237A2C">
        <w:t xml:space="preserve">Däremot delar ESV </w:t>
      </w:r>
      <w:r w:rsidRPr="00237A2C">
        <w:rPr>
          <w:i/>
        </w:rPr>
        <w:t>inte</w:t>
      </w:r>
      <w:r w:rsidRPr="00237A2C">
        <w:t xml:space="preserve"> revisorernas förslag om att regeringen i samband med att budgetförslag läggs fram ska anmäla och motivera om den själv skall verka som bidragsförmedlare. Enligt verket bör det stå regeringen fritt att välja vem som ska disponera medlen, men riksdagen bör ställa samma krav på uppföljning och styrning oavsett vem som hanterar medlen.</w:t>
      </w:r>
    </w:p>
    <w:p w:rsidR="00AE50BA" w:rsidRPr="00237A2C" w:rsidRDefault="00AE50BA">
      <w:pPr>
        <w:pStyle w:val="Normaltindrag"/>
      </w:pPr>
      <w:r w:rsidRPr="00237A2C">
        <w:t xml:space="preserve">Inte heller </w:t>
      </w:r>
      <w:r w:rsidRPr="00237A2C">
        <w:rPr>
          <w:i/>
        </w:rPr>
        <w:t>Regeringskansliet</w:t>
      </w:r>
      <w:r w:rsidRPr="00237A2C">
        <w:t xml:space="preserve"> anser att regeringen i samband med att bu</w:t>
      </w:r>
      <w:r w:rsidRPr="00237A2C">
        <w:t>d</w:t>
      </w:r>
      <w:r w:rsidRPr="00237A2C">
        <w:t>getförslag läggs fram bör anmäla och motivera om den själv avser att fungera som bidragsfördelare. Det är inte rimligt, framhålls det, att regeringen redan när budgetpropositionen beslutas måste ta ställning till vilken aktör som ska fördela bidrag från ett bidragsanslag. Däremot ska riksdagen, om den så önskar, få information om vilka anslag som står till regeringens disposition; en sådan information kan dock ges först när regleringsbreven är besl</w:t>
      </w:r>
      <w:r w:rsidRPr="00237A2C">
        <w:t xml:space="preserve">utade. </w:t>
      </w:r>
    </w:p>
    <w:p w:rsidR="00AE50BA" w:rsidRPr="00237A2C" w:rsidRDefault="00AE50BA">
      <w:pPr>
        <w:pStyle w:val="Normaltindrag"/>
      </w:pPr>
      <w:r w:rsidRPr="00237A2C">
        <w:rPr>
          <w:i/>
        </w:rPr>
        <w:t>Uppsala universitets</w:t>
      </w:r>
      <w:r w:rsidRPr="00237A2C">
        <w:t xml:space="preserve"> uppfattning överensstämmer med de slutsatser som revisorerna har kommit fram till i rapporten.  Från universitetets sida unde</w:t>
      </w:r>
      <w:r w:rsidRPr="00237A2C">
        <w:t>r</w:t>
      </w:r>
      <w:r w:rsidRPr="00237A2C">
        <w:t>stryks att det ur demokratisynpunkt är väsentligt att de kriterier som gäller för fördelning av bidrag är tydliga och kända för de organisationer som är möjliga mottagare av bidragen. Universitetet ifrågasätter effektiviteten när regeringen disponerar och fördelar bidrag. Myndigheter under regeringen har generellt sett större kapacitet och vana att administrera bidrag, vilket enligt</w:t>
      </w:r>
      <w:r w:rsidRPr="00237A2C">
        <w:t xml:space="preserve"> universitetets bedömning bör främja en högre effektivitet.</w:t>
      </w:r>
    </w:p>
    <w:p w:rsidR="00AE50BA" w:rsidRPr="00237A2C" w:rsidRDefault="00AE50BA">
      <w:pPr>
        <w:pStyle w:val="Normaltindrag"/>
      </w:pPr>
      <w:r w:rsidRPr="00237A2C">
        <w:rPr>
          <w:i/>
        </w:rPr>
        <w:t>Lunds universitet</w:t>
      </w:r>
      <w:r w:rsidRPr="00237A2C">
        <w:t>, juridiska fakulteten, understryker att det har skett en fö</w:t>
      </w:r>
      <w:r w:rsidRPr="00237A2C">
        <w:t>r</w:t>
      </w:r>
      <w:r w:rsidRPr="00237A2C">
        <w:t xml:space="preserve">skjutning i arbetsfördelningen mellan regeringen, Regeringskansliet och förvaltningsmyndigheterna, något som bl.a. belyses i den forskningsrapport som finns som en bilaga till rapporten. Fakulteten hänvisar i sammanhanget till sitt nyligen avgivna remissvar över Riksdagskommitténs betänkande </w:t>
      </w:r>
      <w:r w:rsidRPr="00237A2C">
        <w:rPr>
          <w:i/>
        </w:rPr>
        <w:t xml:space="preserve">Riksdagen inför 2000-talet </w:t>
      </w:r>
      <w:r w:rsidRPr="00237A2C">
        <w:t xml:space="preserve">vari uppfattningen framförts att en större samlad översyn av dessa frågor snart bör ske. </w:t>
      </w:r>
    </w:p>
    <w:p w:rsidR="00AE50BA" w:rsidRPr="00237A2C" w:rsidRDefault="00AE50BA">
      <w:pPr>
        <w:pStyle w:val="Normaltindrag"/>
      </w:pPr>
      <w:r w:rsidRPr="00237A2C">
        <w:t>Fakulteten anser att de slutsatser som dr</w:t>
      </w:r>
      <w:r w:rsidRPr="00237A2C">
        <w:t>as i rapporten framstår som väl a</w:t>
      </w:r>
      <w:r w:rsidRPr="00237A2C">
        <w:t>v</w:t>
      </w:r>
      <w:r w:rsidRPr="00237A2C">
        <w:t>vägda och fakulteten tillstyrker därför de förslag som framförts. Det kan ibland finnas skäl till att regeringen ska hantera fördelningen av anslag. Det bör i huvudsak vara sådana anslag där det krävs genuint politiska avvägnin</w:t>
      </w:r>
      <w:r w:rsidRPr="00237A2C">
        <w:t>g</w:t>
      </w:r>
      <w:r w:rsidRPr="00237A2C">
        <w:t>ar vid fördelningen eller där det inledningsvis är önskvärt att det etableras principer för anslagsfördelningen. Det kan också enligt fakulteten gälla a</w:t>
      </w:r>
      <w:r w:rsidRPr="00237A2C">
        <w:t>n</w:t>
      </w:r>
      <w:r w:rsidRPr="00237A2C">
        <w:t>slag där kravet på skyndsamhet gör att beslut i enbart ett organ är önskvärt.</w:t>
      </w:r>
    </w:p>
    <w:p w:rsidR="00AE50BA" w:rsidRPr="00237A2C" w:rsidRDefault="00AE50BA">
      <w:pPr>
        <w:pStyle w:val="Rubrik3"/>
      </w:pPr>
      <w:bookmarkStart w:id="27" w:name="_Toc516991579"/>
      <w:r w:rsidRPr="00237A2C">
        <w:t>Revisorerna</w:t>
      </w:r>
      <w:bookmarkEnd w:id="27"/>
    </w:p>
    <w:p w:rsidR="00AE50BA" w:rsidRPr="00237A2C" w:rsidRDefault="00AE50BA">
      <w:r w:rsidRPr="00237A2C">
        <w:t>Revisorerna noterar att det bland remissinstanserna finns ett brett stöd för de grundläggande utgångspunkter och förslag som redovisas i rapporten. Det gäller såväl synen på den svenska förvaltningsmodellen, förordet för att statligt stöd i projektform ska användas restriktivt som revisorernas slutsats att regeringen endast undantagsvis bör ikläda sig rollen som operativt ansv</w:t>
      </w:r>
      <w:r w:rsidRPr="00237A2C">
        <w:t>a</w:t>
      </w:r>
      <w:r w:rsidRPr="00237A2C">
        <w:t>rig för statliga bidragssystem.</w:t>
      </w:r>
    </w:p>
    <w:p w:rsidR="00AE50BA" w:rsidRPr="00237A2C" w:rsidRDefault="00AE50BA">
      <w:pPr>
        <w:pStyle w:val="Normaltindrag"/>
      </w:pPr>
      <w:r w:rsidRPr="00237A2C">
        <w:t>Revisorerna framhöll i sin rapport att det för flertalet av de undersökta a</w:t>
      </w:r>
      <w:r w:rsidRPr="00237A2C">
        <w:t>n</w:t>
      </w:r>
      <w:r w:rsidRPr="00237A2C">
        <w:t>slagen inte framgår av propositionerna att regeringen själv ska fungera som operativt organ och motiven för detta. Regeringen borde enligt rapporten regelmässigt i samband med att budgetförslag läggs fram till riksdagen a</w:t>
      </w:r>
      <w:r w:rsidRPr="00237A2C">
        <w:t>n</w:t>
      </w:r>
      <w:r w:rsidRPr="00237A2C">
        <w:t>mäla om man avser att behålla dispositionsrätten till medel av här aktuellt slag. Ekonomistyrningsverket och Regeringskansliet delar inte denna up</w:t>
      </w:r>
      <w:r w:rsidRPr="00237A2C">
        <w:t>p</w:t>
      </w:r>
      <w:r w:rsidRPr="00237A2C">
        <w:t>fattning. Enligt Regeringskansliets yttrande är det inte rimligt att regeringen redan när budgetpropositionen beslutas måste ta ställning vilk</w:t>
      </w:r>
      <w:r w:rsidRPr="00237A2C">
        <w:t xml:space="preserve">en aktör som skall få bidrag från ett bidragsanslag. </w:t>
      </w:r>
    </w:p>
    <w:p w:rsidR="00AE50BA" w:rsidRPr="00237A2C" w:rsidRDefault="00AE50BA">
      <w:pPr>
        <w:pStyle w:val="Normaltindrag"/>
      </w:pPr>
      <w:r w:rsidRPr="00237A2C">
        <w:t>Enligt revisorerna är det önskvärt att riksdagen, som underlag för sina a</w:t>
      </w:r>
      <w:r w:rsidRPr="00237A2C">
        <w:t>n</w:t>
      </w:r>
      <w:r w:rsidRPr="00237A2C">
        <w:t>slagsbeslut, har kännedom om att regeringen själv avser att hantera bidrag</w:t>
      </w:r>
      <w:r w:rsidRPr="00237A2C">
        <w:t>s</w:t>
      </w:r>
      <w:r w:rsidRPr="00237A2C">
        <w:t>system av det omfattande slag som studerats i granskningen. Revisorerna står därför fast vid ståndpunkten att regeringen för riksdagen bör anmäla sina avsikter i detta avseende när ett eventuellt nytt bidragssystem introduceras. Revisorerna är givetvis medvetna om att regeringen inte alltid, vid det til</w:t>
      </w:r>
      <w:r w:rsidRPr="00237A2C">
        <w:t>l</w:t>
      </w:r>
      <w:r w:rsidRPr="00237A2C">
        <w:t xml:space="preserve">fälle som budgetförslaget beslutas, har tagit ställning till vilket organ som skall fördela bidragen. Revisorerna vill peka på att </w:t>
      </w:r>
      <w:r w:rsidRPr="00237A2C">
        <w:t>regeringen i sådant fall  kan återkomma med en redovisning vid ett senare tillfälle eller att frågan kan komma att aktualiseras i samband med riksdagens beredning av regeringens förslag genom att berört utskott begär information av regeringen.</w:t>
      </w:r>
    </w:p>
    <w:p w:rsidR="00AE50BA" w:rsidRPr="00237A2C" w:rsidRDefault="00AE50BA">
      <w:pPr>
        <w:pStyle w:val="Rubrik2"/>
      </w:pPr>
      <w:bookmarkStart w:id="28" w:name="_Toc516991580"/>
      <w:r w:rsidRPr="00237A2C">
        <w:t>2.2 Riksdagen behöver ett bättre beslutsunderlag och en utökad resultatrapportering</w:t>
      </w:r>
      <w:bookmarkEnd w:id="28"/>
    </w:p>
    <w:p w:rsidR="00AE50BA" w:rsidRPr="00237A2C" w:rsidRDefault="00AE50BA">
      <w:pPr>
        <w:pStyle w:val="Rubrik3"/>
      </w:pPr>
      <w:bookmarkStart w:id="29" w:name="_Toc516991581"/>
      <w:r w:rsidRPr="00237A2C">
        <w:t>Rapporten</w:t>
      </w:r>
      <w:bookmarkEnd w:id="29"/>
    </w:p>
    <w:p w:rsidR="00AE50BA" w:rsidRPr="00237A2C" w:rsidRDefault="00AE50BA">
      <w:r w:rsidRPr="00237A2C">
        <w:t>Revisorerna konstaterar (avsnitt 7.5) att regeringen enligt budgetlagen (1996:1059) för riksdagen ska redovisa de mål som åsyftas och de resultat som uppnåtts på olika verksamhetsområden (2§). Granskningen har visat att denna redovisning i praktiken är av mycket ojämn kvalitet när det gäller medel som regeringen själv förfogar över. Samtidigt som vissa förbättringar kan noteras över tiden saknas resultatredovisning helt för vissa av de stud</w:t>
      </w:r>
      <w:r w:rsidRPr="00237A2C">
        <w:t>e</w:t>
      </w:r>
      <w:r w:rsidRPr="00237A2C">
        <w:t xml:space="preserve">rade anslagen. </w:t>
      </w:r>
    </w:p>
    <w:p w:rsidR="00AE50BA" w:rsidRPr="00237A2C" w:rsidRDefault="00AE50BA">
      <w:pPr>
        <w:pStyle w:val="Normaltindrag"/>
      </w:pPr>
      <w:r w:rsidRPr="00237A2C">
        <w:t>Revisorerna framhåller att de givetvis är medvetna om att det kan vara svårt att beskriva mål och mäta uppnådda resultat på vissa av de aktuella områdena. Samtidigt är det viktigt att regeringen genom ändringar i för</w:t>
      </w:r>
      <w:r w:rsidRPr="00237A2C">
        <w:t>e</w:t>
      </w:r>
      <w:r w:rsidRPr="00237A2C">
        <w:t>skrifter m.m. ser till att ökade krav ställs på redovisningen i budgetpropos</w:t>
      </w:r>
      <w:r w:rsidRPr="00237A2C">
        <w:t>i</w:t>
      </w:r>
      <w:r w:rsidRPr="00237A2C">
        <w:t>tionen av mål och resultat när regeringen eller Regeringskansliet disponerar anslagsmedel. Det kan t.ex. ske genom ändrade riktlinjer från Finansdepa</w:t>
      </w:r>
      <w:r w:rsidRPr="00237A2C">
        <w:t>r</w:t>
      </w:r>
      <w:r w:rsidRPr="00237A2C">
        <w:t>tementet för utformningen av budgetpropositionen eller genom en ändring och precisering av budgetlagen.</w:t>
      </w:r>
    </w:p>
    <w:p w:rsidR="00AE50BA" w:rsidRPr="00237A2C" w:rsidRDefault="00AE50BA">
      <w:pPr>
        <w:pStyle w:val="Normaltindrag"/>
      </w:pPr>
      <w:r w:rsidRPr="00237A2C">
        <w:t>Regeringens rapportering till riksdagen av mål och resultat bygger inte minst på myndigheternas redovisning i årsredovisningarna. När det gäller anslag som regeringen eller Regerin</w:t>
      </w:r>
      <w:r w:rsidRPr="00237A2C">
        <w:t>gskansliet disponerar försvåras dock återföringen till riksdagen av att Regeringskansliet enligt sin instruktion är undantaget från kravet på resultatredovisning i årsredovisningen. Denna senare fråga behandlas av revisorerna i rapportens avsnitt om redovisning och revision (avsnitt 7.7).</w:t>
      </w:r>
    </w:p>
    <w:p w:rsidR="00AE50BA" w:rsidRPr="00237A2C" w:rsidRDefault="00AE50BA">
      <w:pPr>
        <w:pStyle w:val="Rubrik3"/>
      </w:pPr>
      <w:bookmarkStart w:id="30" w:name="_Toc516991582"/>
      <w:r w:rsidRPr="00237A2C">
        <w:t>Remissinstanserna</w:t>
      </w:r>
      <w:bookmarkEnd w:id="30"/>
    </w:p>
    <w:p w:rsidR="00AE50BA" w:rsidRPr="00237A2C" w:rsidRDefault="00AE50BA">
      <w:r w:rsidRPr="00237A2C">
        <w:rPr>
          <w:i/>
        </w:rPr>
        <w:t>Regeringskansliet</w:t>
      </w:r>
      <w:r w:rsidRPr="00237A2C">
        <w:t xml:space="preserve"> framhåller att den s.k. tvåårsöversynen syftade till att utveckla resultatstyrningen i budgetprocessen. Detta skall ske genom att regeringens resultatredovisning till riksdagen förbättras. Mål, budget och resultat skall kopplas närmare till varandra. Redovisningen skall bli ver</w:t>
      </w:r>
      <w:r w:rsidRPr="00237A2C">
        <w:t>k</w:t>
      </w:r>
      <w:r w:rsidRPr="00237A2C">
        <w:t>samhetsorienterad i stället för myndighetsorienterad. Som ett första steg i utvecklingsarbetet presenterades politikområden i budgetpropositionen för år 2001. Arbetet fortsätter nu med att verksamhetsområden tas fram samt att strate</w:t>
      </w:r>
      <w:r w:rsidRPr="00237A2C">
        <w:t>gier för uppföljning och utvärdering utarbetas för de olika politikomr</w:t>
      </w:r>
      <w:r w:rsidRPr="00237A2C">
        <w:t>å</w:t>
      </w:r>
      <w:r w:rsidRPr="00237A2C">
        <w:t>dena.</w:t>
      </w:r>
    </w:p>
    <w:p w:rsidR="00AE50BA" w:rsidRPr="00237A2C" w:rsidRDefault="00AE50BA">
      <w:r w:rsidRPr="00237A2C">
        <w:rPr>
          <w:i/>
        </w:rPr>
        <w:t>Ekonomistyrningsverket</w:t>
      </w:r>
      <w:r w:rsidRPr="00237A2C">
        <w:t xml:space="preserve"> instämmer i att beslutsunderlag och resultatrapport</w:t>
      </w:r>
      <w:r w:rsidRPr="00237A2C">
        <w:t>e</w:t>
      </w:r>
      <w:r w:rsidRPr="00237A2C">
        <w:t>ring till riksdagen kan förbättras. Enligt ESV framgår det inte av rapporten om den bristande resultatrapporteringen är ett generellt problem eller om det endast avser den verksamhet som regeringen själv valt att operativt ansvara för. Om budgetlagen är otillräcklig vad gäller generella krav på regeringen bör den kompletteras eller förtydligas. Om regeringens resultatrapportering är ett specifikt problem för de studerade anslagen bör riksdagen ange särski</w:t>
      </w:r>
      <w:r w:rsidRPr="00237A2C">
        <w:t>l</w:t>
      </w:r>
      <w:r w:rsidRPr="00237A2C">
        <w:t>da återrapporteringskrav för verksamheterna. ESV understryker också i sitt yttrande att man välkomnar förslaget från Riksdagskommittén i betänkandet Riksdagen inför 2000-talet att regeringen ska lämna en fördjupad och flerårig resultatinformation till riksdagen som komplement till den ettåriga resultati</w:t>
      </w:r>
      <w:r w:rsidRPr="00237A2C">
        <w:t>n</w:t>
      </w:r>
      <w:r w:rsidRPr="00237A2C">
        <w:t xml:space="preserve">formationen i budgetpropositionen. </w:t>
      </w:r>
    </w:p>
    <w:p w:rsidR="00AE50BA" w:rsidRPr="00237A2C" w:rsidRDefault="00AE50BA">
      <w:pPr>
        <w:pStyle w:val="Rubrik3"/>
      </w:pPr>
      <w:bookmarkStart w:id="31" w:name="_Toc516991583"/>
      <w:r w:rsidRPr="00237A2C">
        <w:t>Revisorerna</w:t>
      </w:r>
      <w:bookmarkEnd w:id="31"/>
    </w:p>
    <w:p w:rsidR="00AE50BA" w:rsidRPr="00237A2C" w:rsidRDefault="00AE50BA">
      <w:r w:rsidRPr="00237A2C">
        <w:t>Revisorerna vill framhålla betydelsen av det generella utvecklingsarbete som nu pågår för att allmänt förbättra resultatrapporteringen till riksdagen. Där</w:t>
      </w:r>
      <w:r w:rsidRPr="00237A2C">
        <w:t>i</w:t>
      </w:r>
      <w:r w:rsidRPr="00237A2C">
        <w:t xml:space="preserve">genom kan de krav som budgetlagen ställer på regeringen i detta avseende successivt få ett bättre genomslag. Riksdagens revisorer har nyligen i ett yttrande till konstitutionsutskottet med anledning av Riksdagskommitténs förslag </w:t>
      </w:r>
      <w:r w:rsidRPr="00237A2C">
        <w:rPr>
          <w:i/>
        </w:rPr>
        <w:t>Riksdagen inför 2000-talet</w:t>
      </w:r>
      <w:r w:rsidRPr="00237A2C">
        <w:t xml:space="preserve"> sett positivt på förslaget att regeringen varje vår till riksdagen lämnar skrivelser med resultatinformation för alla utgiftsområden. Även Regeringskansliet och Ekonomistyrningsverket pekar i sina yttranden på att resultatrapporteringen till riksdagen gen</w:t>
      </w:r>
      <w:r w:rsidRPr="00237A2C">
        <w:t>erellt sett kan förbättras.</w:t>
      </w:r>
    </w:p>
    <w:p w:rsidR="00AE50BA" w:rsidRPr="00237A2C" w:rsidRDefault="00AE50BA">
      <w:pPr>
        <w:pStyle w:val="Normaltindrag"/>
      </w:pPr>
      <w:r w:rsidRPr="00237A2C">
        <w:t>Revisorernas förslag i rapporten tar emellertid helt sikte på återföringen av information till riksdagen om resultatet i de specifika fall där regeringen själv har det operativa ansvaret för bidragshanteringen. Som framgår av rapporten har visserligen en förbättring skett under den studerade perioden, men resu</w:t>
      </w:r>
      <w:r w:rsidRPr="00237A2C">
        <w:t>l</w:t>
      </w:r>
      <w:r w:rsidRPr="00237A2C">
        <w:t>tatredovisningen är fortfarande av ojämn kvalitet och saknas i vissa fall helt.</w:t>
      </w:r>
    </w:p>
    <w:p w:rsidR="00AE50BA" w:rsidRPr="00237A2C" w:rsidRDefault="00AE50BA">
      <w:pPr>
        <w:pStyle w:val="Normaltindrag"/>
      </w:pPr>
      <w:r w:rsidRPr="00237A2C">
        <w:t>Revisorerna anser att samma krav givetvis bör ställas på regeringen när den hanterar bidragsmedel som på varje annan statlig myndighet. Det handlar här enligt revisorernas mening i första hand om att budgetlagens bestämme</w:t>
      </w:r>
      <w:r w:rsidRPr="00237A2C">
        <w:t>l</w:t>
      </w:r>
      <w:r w:rsidRPr="00237A2C">
        <w:t>ser bör tillämpas på ett likartat sätt oavsett vilket organ som ansvarar för medelshanteringen. Regeringen bör överväga vilka ändringar i föreskrifter eller riktlinjer som behöver vidtas för att förbättra resultatredovisningen till riksdagen av mål och resultat när regeringen eller Regeringskansliet dispon</w:t>
      </w:r>
      <w:r w:rsidRPr="00237A2C">
        <w:t>e</w:t>
      </w:r>
      <w:r w:rsidRPr="00237A2C">
        <w:t>rar anslagsmedel.</w:t>
      </w:r>
    </w:p>
    <w:p w:rsidR="00AE50BA" w:rsidRPr="00237A2C" w:rsidRDefault="00AE50BA">
      <w:pPr>
        <w:pStyle w:val="Rubrik2"/>
      </w:pPr>
      <w:bookmarkStart w:id="32" w:name="_Toc516991584"/>
      <w:r w:rsidRPr="00237A2C">
        <w:t>2.3 Regeringens bidragshantering</w:t>
      </w:r>
      <w:bookmarkEnd w:id="32"/>
    </w:p>
    <w:p w:rsidR="00AE50BA" w:rsidRPr="00237A2C" w:rsidRDefault="00AE50BA">
      <w:pPr>
        <w:pStyle w:val="Rubrik3"/>
      </w:pPr>
      <w:bookmarkStart w:id="33" w:name="_Toc516991585"/>
      <w:r w:rsidRPr="00237A2C">
        <w:t>Rapporten</w:t>
      </w:r>
      <w:bookmarkEnd w:id="33"/>
    </w:p>
    <w:p w:rsidR="00AE50BA" w:rsidRPr="00237A2C" w:rsidRDefault="00AE50BA">
      <w:pPr>
        <w:rPr>
          <w:sz w:val="21"/>
        </w:rPr>
      </w:pPr>
      <w:r w:rsidRPr="00237A2C">
        <w:t>Med ledning av vad som framkommit i granskningen har revisorerna – se tidigare avsnitt – funnit att det i undantagsfall kan vara lämpligt att bidrag</w:t>
      </w:r>
      <w:r w:rsidRPr="00237A2C">
        <w:t>s</w:t>
      </w:r>
      <w:r w:rsidRPr="00237A2C">
        <w:t>fördelning organiseras så att regeringen tar på sig ett operativt ansvar. Rev</w:t>
      </w:r>
      <w:r w:rsidRPr="00237A2C">
        <w:t>i</w:t>
      </w:r>
      <w:r w:rsidRPr="00237A2C">
        <w:t>sorerna anger i rapporten (avsnitt 7.6) att regeringens berednings- och b</w:t>
      </w:r>
      <w:r w:rsidRPr="00237A2C">
        <w:t>e</w:t>
      </w:r>
      <w:r w:rsidRPr="00237A2C">
        <w:t>slutsprocess i dessa särskilda fall behöver förbät</w:t>
      </w:r>
      <w:r w:rsidRPr="00237A2C">
        <w:t>t</w:t>
      </w:r>
      <w:r w:rsidRPr="00237A2C">
        <w:t>ras</w:t>
      </w:r>
      <w:r w:rsidRPr="00237A2C">
        <w:rPr>
          <w:sz w:val="21"/>
        </w:rPr>
        <w:t>.</w:t>
      </w:r>
    </w:p>
    <w:p w:rsidR="00AE50BA" w:rsidRPr="00237A2C" w:rsidRDefault="00AE50BA">
      <w:pPr>
        <w:pStyle w:val="Normaltindrag"/>
      </w:pPr>
      <w:r w:rsidRPr="00237A2C">
        <w:t>Revisorerna förordar att regeringens beslut om fördelning av stöd i pr</w:t>
      </w:r>
      <w:r w:rsidRPr="00237A2C">
        <w:t>o</w:t>
      </w:r>
      <w:r w:rsidRPr="00237A2C">
        <w:t>jektform i princip bör regleras i en författning. I en sådan författning bör så långt som möjligt de kriterier som ska gälla för bidragsgivningen preciseras. Inte minst viktigt är att stöd till kommunsektorn sker i författningsreglerade och av mottagarna förutsebar ordning. Revisorerna menar också att det av författningarna ska framgå hur uppföljning och utvärdering av de beslutade bidragen ska ske.</w:t>
      </w:r>
    </w:p>
    <w:p w:rsidR="00AE50BA" w:rsidRPr="00237A2C" w:rsidRDefault="00AE50BA">
      <w:pPr>
        <w:pStyle w:val="Normaltindrag"/>
      </w:pPr>
      <w:r w:rsidRPr="00237A2C">
        <w:t>Revisorerna anser också att det i regel kan vara lämpligt att, såsom skett i flera av de studerade fallen, s</w:t>
      </w:r>
      <w:r w:rsidRPr="00237A2C">
        <w:t>kapa särskilda delegationer med uppgift att svara för berednings- och beslutsuppgifter. Därigenom underlättas medve</w:t>
      </w:r>
      <w:r w:rsidRPr="00237A2C">
        <w:t>r</w:t>
      </w:r>
      <w:r w:rsidRPr="00237A2C">
        <w:t xml:space="preserve">kan av extern expertis liksom från olika intressenter. Delegationer kan även vara lättare att avveckla än om tillfälliga uppgifter handhas av den ordinarie organisationen. </w:t>
      </w:r>
    </w:p>
    <w:p w:rsidR="00AE50BA" w:rsidRPr="00237A2C" w:rsidRDefault="00AE50BA">
      <w:pPr>
        <w:pStyle w:val="Rubrik3"/>
      </w:pPr>
      <w:bookmarkStart w:id="34" w:name="_Toc516991586"/>
      <w:r w:rsidRPr="00237A2C">
        <w:t>Remissinstanserna</w:t>
      </w:r>
      <w:bookmarkEnd w:id="34"/>
    </w:p>
    <w:p w:rsidR="00AE50BA" w:rsidRPr="00237A2C" w:rsidRDefault="00AE50BA">
      <w:r w:rsidRPr="00237A2C">
        <w:rPr>
          <w:i/>
        </w:rPr>
        <w:t>Regeringskansliet</w:t>
      </w:r>
      <w:r w:rsidRPr="00237A2C">
        <w:t xml:space="preserve"> framhåller att man nyligen beslutat om riktlinjer för b</w:t>
      </w:r>
      <w:r w:rsidRPr="00237A2C">
        <w:t>i</w:t>
      </w:r>
      <w:r w:rsidRPr="00237A2C">
        <w:t>drag. Syftet är att skapa enhetliga och tydliga regler för hantering av b</w:t>
      </w:r>
      <w:r w:rsidRPr="00237A2C">
        <w:t>i</w:t>
      </w:r>
      <w:r w:rsidRPr="00237A2C">
        <w:t xml:space="preserve">dragsärenden i Regeringskansliet, säkerställa goda ekonomiadministrativa rutiner och att i övrigt underlätta arbetet med bidragsgivning. I yttrandet understryks att de nya riktlinjerna tar fasta på bidrag som </w:t>
      </w:r>
      <w:r w:rsidRPr="00237A2C">
        <w:rPr>
          <w:i/>
        </w:rPr>
        <w:t>inte</w:t>
      </w:r>
      <w:r w:rsidRPr="00237A2C">
        <w:t xml:space="preserve"> regleras i någon författning, och riktlinjerna har inte formen av föreskrifter.</w:t>
      </w:r>
    </w:p>
    <w:p w:rsidR="00AE50BA" w:rsidRPr="00237A2C" w:rsidRDefault="00AE50BA">
      <w:pPr>
        <w:pStyle w:val="Normaltindrag"/>
      </w:pPr>
      <w:r w:rsidRPr="00237A2C">
        <w:t xml:space="preserve">Riktlinjerna gäller bidrag till föreningar, företag och andra enskilda som beslutas av </w:t>
      </w:r>
      <w:r w:rsidRPr="00237A2C">
        <w:t>regeringen. Vid bidragsgivning till kommuner, landsting och myndigheter kan riktlinjerna vara vägledande när kommunen konkurrerar med enskilda om bidrag. En författningsreglering bör enligt riktlinjerna övervägas framför allt när bidragsgivningen ska bygga på en prövning av ansökningar från enskilda, kommuner eller landsting, har betydelse för en vid krets av mottagare eller kan antas komma att bestå mer än ett år.</w:t>
      </w:r>
    </w:p>
    <w:p w:rsidR="00AE50BA" w:rsidRPr="00237A2C" w:rsidRDefault="00AE50BA">
      <w:pPr>
        <w:pStyle w:val="Normaltindrag"/>
      </w:pPr>
      <w:r w:rsidRPr="00237A2C">
        <w:t>Regeringskansliets interna styrprocess är vidare enligt yttrandet under kontinuerlig utveckli</w:t>
      </w:r>
      <w:r w:rsidRPr="00237A2C">
        <w:t>ng med syfte att utveckla arbetsformerna och rutinerna kring en gemensam verksamhetsplanering och uppföljning för hela kansliet. Verksamhetsplaneringen ska ge en planeringsprocess som säkerställer att regeringens prioriteringar genomsyrar arbetet i Regeringskansliet. Verksa</w:t>
      </w:r>
      <w:r w:rsidRPr="00237A2C">
        <w:t>m</w:t>
      </w:r>
      <w:r w:rsidRPr="00237A2C">
        <w:t>hetsplaneringen är också avsedd att underlätta den interna styrningen av de enskilda departementen. Dessutom ska den utgöra ett stöd  vid fördelningen av förvaltningsanslaget inom Regeringskansliet.</w:t>
      </w:r>
    </w:p>
    <w:p w:rsidR="00AE50BA" w:rsidRPr="00237A2C" w:rsidRDefault="00AE50BA">
      <w:pPr>
        <w:pStyle w:val="Normaltindrag"/>
      </w:pPr>
      <w:r w:rsidRPr="00237A2C">
        <w:rPr>
          <w:i/>
        </w:rPr>
        <w:t>Svea hovrätt</w:t>
      </w:r>
      <w:r w:rsidRPr="00237A2C">
        <w:t xml:space="preserve"> anger att rapporten särskilt uppmärksammar regeringens roll i fråga om några projektbidragsformer samt att denna del av finansmakten och dess utövning här får en praktisk och ingående belysning. Därmed har också de principiella resonemang som förs om saken givits ökad tyngd.  Hovrätten understryker också den viktiga roll som en ny oberoende revisionsmyndighet under riksdagen kan komma att ha i framtiden för att säkerställa att riksd</w:t>
      </w:r>
      <w:r w:rsidRPr="00237A2C">
        <w:t>a</w:t>
      </w:r>
      <w:r w:rsidRPr="00237A2C">
        <w:t>gens krav på regeringen i samband med hanteringen av bidrag iakttas.</w:t>
      </w:r>
    </w:p>
    <w:p w:rsidR="00AE50BA" w:rsidRPr="00237A2C" w:rsidRDefault="00AE50BA">
      <w:pPr>
        <w:pStyle w:val="Normaltindrag"/>
      </w:pPr>
      <w:r w:rsidRPr="00237A2C">
        <w:rPr>
          <w:i/>
        </w:rPr>
        <w:t>Kamma</w:t>
      </w:r>
      <w:r w:rsidRPr="00237A2C">
        <w:rPr>
          <w:i/>
        </w:rPr>
        <w:t>rkollegiet</w:t>
      </w:r>
      <w:r w:rsidRPr="00237A2C">
        <w:t xml:space="preserve"> delar revisorernas uppfattning att en uppstramning skett av regeringens berednings- och beslutsprocess när det gäller fördelning av bidrag. Kollegiet har däremot inte intrycket att det finns behov av någon ytterligare kraftig uppstramning och ställer sig därför tveksamt till de förslag i det syftet som revisorerna för fram (avsnitt 7.6) i rapporten.</w:t>
      </w:r>
    </w:p>
    <w:p w:rsidR="00AE50BA" w:rsidRPr="00237A2C" w:rsidRDefault="00AE50BA">
      <w:pPr>
        <w:pStyle w:val="Normaltindrag"/>
      </w:pPr>
      <w:r w:rsidRPr="00237A2C">
        <w:rPr>
          <w:i/>
        </w:rPr>
        <w:t>Statskontoret</w:t>
      </w:r>
      <w:r w:rsidRPr="00237A2C">
        <w:t xml:space="preserve"> är överens med revisorerna om att delegationer, om de inrä</w:t>
      </w:r>
      <w:r w:rsidRPr="00237A2C">
        <w:t>t</w:t>
      </w:r>
      <w:r w:rsidRPr="00237A2C">
        <w:t>tas, bör vara tidsbegränsade och uppgifterna författningsreglerade. Statsko</w:t>
      </w:r>
      <w:r w:rsidRPr="00237A2C">
        <w:t>n</w:t>
      </w:r>
      <w:r w:rsidRPr="00237A2C">
        <w:t xml:space="preserve">toret anser också att organ med myndighetsutövande uppgifter normalt bör ha en instruktion. </w:t>
      </w:r>
    </w:p>
    <w:p w:rsidR="00AE50BA" w:rsidRPr="00237A2C" w:rsidRDefault="00AE50BA">
      <w:pPr>
        <w:pStyle w:val="Normaltindrag"/>
      </w:pPr>
      <w:r w:rsidRPr="00237A2C">
        <w:t>Statskontoret är, liksom revisorerna, positivt till att i författningar tydli</w:t>
      </w:r>
      <w:r w:rsidRPr="00237A2C">
        <w:t>g</w:t>
      </w:r>
      <w:r w:rsidRPr="00237A2C">
        <w:t xml:space="preserve">göra regeringens rätt till medelsdisposition i de enskilda fallen, men ställer sig tveksamt till den föreslagna formen, dvs. ”att i en sådan författning så långt möjligt precisera de kriterier som ska gälla för bidragsgivningen”. Det kan enligt Statskontoret vara ändamålsenligt att regeringen </w:t>
      </w:r>
      <w:r w:rsidRPr="00237A2C">
        <w:rPr>
          <w:i/>
        </w:rPr>
        <w:t>i vissa unda</w:t>
      </w:r>
      <w:r w:rsidRPr="00237A2C">
        <w:rPr>
          <w:i/>
        </w:rPr>
        <w:t>n</w:t>
      </w:r>
      <w:r w:rsidRPr="00237A2C">
        <w:rPr>
          <w:i/>
        </w:rPr>
        <w:t>tagsfall</w:t>
      </w:r>
      <w:r w:rsidRPr="00237A2C">
        <w:t xml:space="preserve"> själv förvaltar bidrag i de fall då etablerad praxis saknas och behovet av innovation är stort. Har däremot verksamheten nått det stadium då det är möjligt att ange preciserade kriterier bör den </w:t>
      </w:r>
      <w:r w:rsidRPr="00237A2C">
        <w:t>också förläggas till myndigh</w:t>
      </w:r>
      <w:r w:rsidRPr="00237A2C">
        <w:t>e</w:t>
      </w:r>
      <w:r w:rsidRPr="00237A2C">
        <w:t>ter.</w:t>
      </w:r>
    </w:p>
    <w:p w:rsidR="00AE50BA" w:rsidRPr="00237A2C" w:rsidRDefault="00AE50BA">
      <w:pPr>
        <w:pStyle w:val="Normaltindrag"/>
      </w:pPr>
      <w:r w:rsidRPr="00237A2C">
        <w:rPr>
          <w:i/>
        </w:rPr>
        <w:t>Lunds universitet</w:t>
      </w:r>
      <w:r w:rsidRPr="00237A2C">
        <w:t>, juridiska fakulteten, framhåller att de problem som ra</w:t>
      </w:r>
      <w:r w:rsidRPr="00237A2C">
        <w:t>p</w:t>
      </w:r>
      <w:r w:rsidRPr="00237A2C">
        <w:t>porten aktualiserar också fanns vad gällde Allmänna arvsfonden för några år sedan. Fördelningen av stora anslag bör ske efter tydliga principer så att den som söker anslag kan förutse hur medlen fördelas. Detta kan lämpligen ske i förordningsform. Det får enligt yttrandet inte finnas några misstankar om att medlen fördelas av partipolitiska skäl. Då det rör sig om stora anslag är det lämpligt att en särskild tillfällig myndighet utses som anslagsförde</w:t>
      </w:r>
      <w:r w:rsidRPr="00237A2C">
        <w:t>lare eller att anslagen fördelas av existerande förvaltningsmyndigheter.</w:t>
      </w:r>
    </w:p>
    <w:p w:rsidR="00AE50BA" w:rsidRPr="00237A2C" w:rsidRDefault="00AE50BA">
      <w:pPr>
        <w:pStyle w:val="Rubrik3"/>
      </w:pPr>
      <w:bookmarkStart w:id="35" w:name="_Toc516991587"/>
      <w:r w:rsidRPr="00237A2C">
        <w:t>Revisorerna</w:t>
      </w:r>
      <w:bookmarkEnd w:id="35"/>
    </w:p>
    <w:p w:rsidR="00AE50BA" w:rsidRPr="00237A2C" w:rsidRDefault="00AE50BA">
      <w:r w:rsidRPr="00237A2C">
        <w:t>Förslagen i rapporten i syfte att förbättra bidragshanteringen – i de särskilda fall när regeringen själv tar på sig ett operativt ansvar – har i stort sett fått ett positivt mottagande av remissinstanserna. Revisorerna vidhåller mot denna bakgrund förslagen i rapporten att regeringens beslut om fördelning av stöd i projektform bör regleras i en förordning och att det i regel också bör tillsk</w:t>
      </w:r>
      <w:r w:rsidRPr="00237A2C">
        <w:t>a</w:t>
      </w:r>
      <w:r w:rsidRPr="00237A2C">
        <w:t>pas särskilda delegationer för berednings- och beslutsuppgifter.</w:t>
      </w:r>
    </w:p>
    <w:p w:rsidR="00AE50BA" w:rsidRPr="00237A2C" w:rsidRDefault="00AE50BA">
      <w:pPr>
        <w:pStyle w:val="Normaltindrag"/>
      </w:pPr>
      <w:r w:rsidRPr="00237A2C">
        <w:t>En avvikande mening anmäls endast av Kammarkollegiet som inte anser att rapporten visar att det finns behov av någon ytterligare kraftig uppstra</w:t>
      </w:r>
      <w:r w:rsidRPr="00237A2C">
        <w:t>m</w:t>
      </w:r>
      <w:r w:rsidRPr="00237A2C">
        <w:t>ning av verksamheten. Revisorerna noterar det arbete som pågår i Reg</w:t>
      </w:r>
      <w:r w:rsidRPr="00237A2C">
        <w:t>e</w:t>
      </w:r>
      <w:r w:rsidRPr="00237A2C">
        <w:t>ringskansliet med att skapa tydliga och enhetliga regler för hanteringen av bidragsärenden. Samtidigt måste konstateras att de nyligen beslutade riktli</w:t>
      </w:r>
      <w:r w:rsidRPr="00237A2C">
        <w:t>n</w:t>
      </w:r>
      <w:r w:rsidRPr="00237A2C">
        <w:t>jerna endast gäller sådana oftast mindre bidrag som beslutas av regeringen och som inte är författningsreglerade. Av yttrandet från Regeringskansliet framgår inte om regeringen har några ambitioner att även strama upp hant</w:t>
      </w:r>
      <w:r w:rsidRPr="00237A2C">
        <w:t>e</w:t>
      </w:r>
      <w:r w:rsidRPr="00237A2C">
        <w:t>ringen av övriga bidrag eller att föra över någon bidragsgivning ti</w:t>
      </w:r>
      <w:r w:rsidRPr="00237A2C">
        <w:t>ll myndi</w:t>
      </w:r>
      <w:r w:rsidRPr="00237A2C">
        <w:t>g</w:t>
      </w:r>
      <w:r w:rsidRPr="00237A2C">
        <w:t>heter under regeringen.</w:t>
      </w:r>
    </w:p>
    <w:p w:rsidR="00AE50BA" w:rsidRPr="00237A2C" w:rsidRDefault="00AE50BA">
      <w:pPr>
        <w:pStyle w:val="Normaltindrag"/>
      </w:pPr>
      <w:r w:rsidRPr="00237A2C">
        <w:t>I nämnda yttrande hänvisar Regeringskansliet också till strävandena att förbättra den interna styrningen genom en utvecklad verksamhetsplanering. Denna planeringsprocess ska, framgår det, bl.a. vara ett stöd vid fördelningen av förvaltningsanslagen inom Regeringskansliet. I revisorernas rapport b</w:t>
      </w:r>
      <w:r w:rsidRPr="00237A2C">
        <w:t>e</w:t>
      </w:r>
      <w:r w:rsidRPr="00237A2C">
        <w:t xml:space="preserve">handlas </w:t>
      </w:r>
      <w:r w:rsidRPr="00237A2C">
        <w:rPr>
          <w:i/>
        </w:rPr>
        <w:t>inte</w:t>
      </w:r>
      <w:r w:rsidRPr="00237A2C">
        <w:t xml:space="preserve"> de ordinarie förvaltningsanslagen för Regeringskansliet respe</w:t>
      </w:r>
      <w:r w:rsidRPr="00237A2C">
        <w:t>k</w:t>
      </w:r>
      <w:r w:rsidRPr="00237A2C">
        <w:t>tive för Utrikesförvaltningen utan endast vissa andra större anslag som reg</w:t>
      </w:r>
      <w:r w:rsidRPr="00237A2C">
        <w:t>e</w:t>
      </w:r>
      <w:r w:rsidRPr="00237A2C">
        <w:t>ringen disponerar för främst stödverksamhet.  Av rapporten framgår att fö</w:t>
      </w:r>
      <w:r w:rsidRPr="00237A2C">
        <w:t>r</w:t>
      </w:r>
      <w:r w:rsidRPr="00237A2C">
        <w:t>delningen av pengar från dessa senare anslag  hanteras såväl inom den ord</w:t>
      </w:r>
      <w:r w:rsidRPr="00237A2C">
        <w:t>i</w:t>
      </w:r>
      <w:r w:rsidRPr="00237A2C">
        <w:t>narie organisationen som av särskilt tillskapade beredningsorgan. Samtidigt disponeras icke oväsentliga belopp från dessa särskilda anslag av Regering</w:t>
      </w:r>
      <w:r w:rsidRPr="00237A2C">
        <w:t>s</w:t>
      </w:r>
      <w:r w:rsidRPr="00237A2C">
        <w:t xml:space="preserve">kansliet för administration av stöden. Därigenom prövas inte </w:t>
      </w:r>
      <w:r w:rsidRPr="00237A2C">
        <w:t>detta tillskott mot förvaltningsanslaget i den ordinarie budgetprocessen. I Regeringskansl</w:t>
      </w:r>
      <w:r w:rsidRPr="00237A2C">
        <w:t>i</w:t>
      </w:r>
      <w:r w:rsidRPr="00237A2C">
        <w:t>ets  yttrande kommenteras inte dessa frågor men revisorerna utgår från att regeringen i verksamhetsplaneringen även beaktar hur hanteringen av dessa bidragssystem påverkar arbetet i Regeringskansliet. Det är enligt revisorerna väsentligt att man i den interna processen gör noggrann åtskillnad mellan medel för den ordinarie departementsverksamheten och medel för tillfälliga projekt.</w:t>
      </w:r>
    </w:p>
    <w:p w:rsidR="00AE50BA" w:rsidRPr="00237A2C" w:rsidRDefault="00AE50BA">
      <w:pPr>
        <w:pStyle w:val="Normaltindrag"/>
      </w:pPr>
      <w:r w:rsidRPr="00237A2C">
        <w:t>Statskontoret ställer sig bakom revi</w:t>
      </w:r>
      <w:r w:rsidRPr="00237A2C">
        <w:t>sorernas förslag om författningsregl</w:t>
      </w:r>
      <w:r w:rsidRPr="00237A2C">
        <w:t>e</w:t>
      </w:r>
      <w:r w:rsidRPr="00237A2C">
        <w:t>ring men anser att det är osäkert om kriterier ska preciseras för bidragsgi</w:t>
      </w:r>
      <w:r w:rsidRPr="00237A2C">
        <w:t>v</w:t>
      </w:r>
      <w:r w:rsidRPr="00237A2C">
        <w:t>ningen. Revisorerna delar uppfattningen att det i vissa undantagsfall, t.ex. där inslaget av experiment är stort, kan vara svårt att fastställa kriterierna för fördelning av bidrag. Samtidigt måste konstateras att för flertalet av de stud</w:t>
      </w:r>
      <w:r w:rsidRPr="00237A2C">
        <w:t>e</w:t>
      </w:r>
      <w:r w:rsidRPr="00237A2C">
        <w:t>rade bidragssystemen, t.ex. beträffande de lokala investeringsprogrammen, hade det sannolikt varit möjligt att redan i ett inledningsskede ge ökad stadga och fö</w:t>
      </w:r>
      <w:r w:rsidRPr="00237A2C">
        <w:t xml:space="preserve">rutsebarhet i bidragsgivningen genom att i en förordning ställa upp tydliga kriterier för fördelningen av medel. </w:t>
      </w:r>
    </w:p>
    <w:p w:rsidR="00AE50BA" w:rsidRPr="00237A2C" w:rsidRDefault="00AE50BA">
      <w:pPr>
        <w:pStyle w:val="Rubrik2"/>
      </w:pPr>
      <w:bookmarkStart w:id="36" w:name="_Toc516991588"/>
      <w:r w:rsidRPr="00237A2C">
        <w:t>2.4 Kraven på redovisning och revision behöver skärpas</w:t>
      </w:r>
      <w:bookmarkEnd w:id="36"/>
    </w:p>
    <w:p w:rsidR="00AE50BA" w:rsidRPr="00237A2C" w:rsidRDefault="00AE50BA">
      <w:pPr>
        <w:pStyle w:val="Rubrik3"/>
      </w:pPr>
      <w:bookmarkStart w:id="37" w:name="_Toc516991589"/>
      <w:r w:rsidRPr="00237A2C">
        <w:t>Rapporten</w:t>
      </w:r>
      <w:bookmarkEnd w:id="37"/>
    </w:p>
    <w:p w:rsidR="00AE50BA" w:rsidRPr="00237A2C" w:rsidRDefault="00AE50BA">
      <w:r w:rsidRPr="00237A2C">
        <w:t>Revisorerna anser (avsnitt 7.7) att det finns starka skäl för att Regering</w:t>
      </w:r>
      <w:r w:rsidRPr="00237A2C">
        <w:t>s</w:t>
      </w:r>
      <w:r w:rsidRPr="00237A2C">
        <w:t>kansliet ska likställas med andra myndigheter när det gäller resultatredovi</w:t>
      </w:r>
      <w:r w:rsidRPr="00237A2C">
        <w:t>s</w:t>
      </w:r>
      <w:r w:rsidRPr="00237A2C">
        <w:t xml:space="preserve">ning om regeringen väljer att ta på sig uppgifter som normalt ankommer på myndigheter under regeringen. Regeringen bör därför ändra instruktionen för Regeringskansliet på denna punkt. </w:t>
      </w:r>
    </w:p>
    <w:p w:rsidR="00AE50BA" w:rsidRPr="00237A2C" w:rsidRDefault="00AE50BA">
      <w:pPr>
        <w:pStyle w:val="Normaltindrag"/>
      </w:pPr>
      <w:r w:rsidRPr="00237A2C">
        <w:t>Regeringskansliet bör också överväga förändringar i den ekonomiadm</w:t>
      </w:r>
      <w:r w:rsidRPr="00237A2C">
        <w:t>i</w:t>
      </w:r>
      <w:r w:rsidRPr="00237A2C">
        <w:t>nistrativa hanteringen av de anslag som regeringen förfogar över. Bl.a. bör prövas om inte många av de anslag som nu formellt står till regeringens disposition, t.ex. bidrag till internationella organisationer och medlemsa</w:t>
      </w:r>
      <w:r w:rsidRPr="00237A2C">
        <w:t>v</w:t>
      </w:r>
      <w:r w:rsidRPr="00237A2C">
        <w:t>gifter till olika organ, skulle kunna överföras till myndigheter under reg</w:t>
      </w:r>
      <w:r w:rsidRPr="00237A2C">
        <w:t>e</w:t>
      </w:r>
      <w:r w:rsidRPr="00237A2C">
        <w:t>ringen. Enligt revisorerna bör vidare internrevisionen inom Regeringskansl</w:t>
      </w:r>
      <w:r w:rsidRPr="00237A2C">
        <w:t>i</w:t>
      </w:r>
      <w:r w:rsidRPr="00237A2C">
        <w:t>et utvidgas till att även omfatta granskning av de här aktuella anslagens användning.</w:t>
      </w:r>
    </w:p>
    <w:p w:rsidR="00AE50BA" w:rsidRPr="00237A2C" w:rsidRDefault="00AE50BA">
      <w:pPr>
        <w:pStyle w:val="Rubrik3"/>
      </w:pPr>
      <w:bookmarkStart w:id="38" w:name="_Toc516991590"/>
      <w:r w:rsidRPr="00237A2C">
        <w:t>Remissinstanserna</w:t>
      </w:r>
      <w:bookmarkEnd w:id="38"/>
    </w:p>
    <w:p w:rsidR="00AE50BA" w:rsidRPr="00237A2C" w:rsidRDefault="00AE50BA">
      <w:r w:rsidRPr="00237A2C">
        <w:rPr>
          <w:i/>
        </w:rPr>
        <w:t xml:space="preserve">Regeringskansliet </w:t>
      </w:r>
      <w:r w:rsidRPr="00237A2C">
        <w:t>hänvisar i sitt yttrande till att regeringen i budgetpropos</w:t>
      </w:r>
      <w:r w:rsidRPr="00237A2C">
        <w:t>i</w:t>
      </w:r>
      <w:r w:rsidRPr="00237A2C">
        <w:t>tionen för år 2001 (prop. 2000/01:1, utgiftsområde 1) ansett att Regering</w:t>
      </w:r>
      <w:r w:rsidRPr="00237A2C">
        <w:t>s</w:t>
      </w:r>
      <w:r w:rsidRPr="00237A2C">
        <w:t>kansliet inte ska lämna någon resultatredovisning. I yttrandet anförs också att riksdagen självklart – i de fall när regeringen tar på sig rollen som bidragsg</w:t>
      </w:r>
      <w:r w:rsidRPr="00237A2C">
        <w:t>i</w:t>
      </w:r>
      <w:r w:rsidRPr="00237A2C">
        <w:t>vare – ska få den resultatredovisning som man behöver för sina ställningst</w:t>
      </w:r>
      <w:r w:rsidRPr="00237A2C">
        <w:t>a</w:t>
      </w:r>
      <w:r w:rsidRPr="00237A2C">
        <w:t>ganden. Återrapporteringen till riksdagen sker, heter det, i de politikområden där verksamheten hör hemma på samma sätt som när en myndighet und</w:t>
      </w:r>
      <w:r w:rsidRPr="00237A2C">
        <w:t>er regeringen beslutar om bidrag.</w:t>
      </w:r>
    </w:p>
    <w:p w:rsidR="00AE50BA" w:rsidRPr="00237A2C" w:rsidRDefault="00AE50BA">
      <w:pPr>
        <w:pStyle w:val="Normaltindrag"/>
      </w:pPr>
      <w:r w:rsidRPr="00237A2C">
        <w:t>En översyn av Regeringskansliets internrevision bereds enligt yttrandet för närvarande. En utgångspunkt är att ge internrevisionen ett bredare uppdrag med en tydligare inriktning mot ett effektivt stöd för ledningen i styrningen av organisationen. Tanken är bl.a. att internrevisionen inte bara ska arbeta med redovisningsrevision utan aktivt arbeta även med effektivitetsrevision. Ytterligare resurser ska tillföras internrevisionen, och siktet är inställt på att den nya organ</w:t>
      </w:r>
      <w:r w:rsidRPr="00237A2C">
        <w:t>isationen ska fungera från den 1 september år 2001.</w:t>
      </w:r>
    </w:p>
    <w:p w:rsidR="00AE50BA" w:rsidRPr="00237A2C" w:rsidRDefault="00AE50BA">
      <w:pPr>
        <w:pStyle w:val="Normaltindrag"/>
      </w:pPr>
      <w:r w:rsidRPr="00237A2C">
        <w:rPr>
          <w:i/>
        </w:rPr>
        <w:t>Statskontoret</w:t>
      </w:r>
      <w:r w:rsidRPr="00237A2C">
        <w:t xml:space="preserve"> tillstyrker förslaget att det generella undantaget för Reg</w:t>
      </w:r>
      <w:r w:rsidRPr="00237A2C">
        <w:t>e</w:t>
      </w:r>
      <w:r w:rsidRPr="00237A2C">
        <w:t>ringskansliet från kravet på mål- och resultatredovisning upphävs. Ett krav på att Regeringskansliet, som andra, ska lämna mål- och resultatredovisning kan dock begränsas till att särskilt gälla de fall då regeringen disponerar anslag som normalt administreras av myndigheter under regeringen. Statskontoret påpekar vidare att det naturligtvis skulle öka tyngden i b</w:t>
      </w:r>
      <w:r w:rsidRPr="00237A2C">
        <w:t>e</w:t>
      </w:r>
      <w:r w:rsidRPr="00237A2C">
        <w:t>stämmelsen om ett tydligt krav med den innebörden också fördes in i bu</w:t>
      </w:r>
      <w:r w:rsidRPr="00237A2C">
        <w:t>d</w:t>
      </w:r>
      <w:r w:rsidRPr="00237A2C">
        <w:t>getlagen.</w:t>
      </w:r>
    </w:p>
    <w:p w:rsidR="00AE50BA" w:rsidRPr="00237A2C" w:rsidRDefault="00AE50BA">
      <w:pPr>
        <w:pStyle w:val="Normaltindrag"/>
      </w:pPr>
      <w:r w:rsidRPr="00237A2C">
        <w:rPr>
          <w:i/>
        </w:rPr>
        <w:t>Ekon</w:t>
      </w:r>
      <w:r w:rsidRPr="00237A2C">
        <w:rPr>
          <w:i/>
        </w:rPr>
        <w:t xml:space="preserve">omistyrningsverket </w:t>
      </w:r>
      <w:r w:rsidRPr="00237A2C">
        <w:t>pekar på att antalet anslag och anslagsposter som står till regeringens disposition har ökat de senaste åren, men att det i många fall rör sig om medel som i ett senare skede tilldelas myndigheterna genom regeringsbeslut.  Detta har dock försvårat uppföljning och kontroll bl.a. i samband med ESV:s sammanställning av statsbudgetens utfall, där en viktig uppgift är att redovisa hur stora anslagsbehållningarna är på de olika ansl</w:t>
      </w:r>
      <w:r w:rsidRPr="00237A2C">
        <w:t>a</w:t>
      </w:r>
      <w:r w:rsidRPr="00237A2C">
        <w:t>gen. ESV understryker emellertid samtidigt att Regeringskansli</w:t>
      </w:r>
      <w:r w:rsidRPr="00237A2C">
        <w:t>ets anslagsr</w:t>
      </w:r>
      <w:r w:rsidRPr="00237A2C">
        <w:t>e</w:t>
      </w:r>
      <w:r w:rsidRPr="00237A2C">
        <w:t>dovisning av de anslag och anslagsposter som står till regeringens och Reg</w:t>
      </w:r>
      <w:r w:rsidRPr="00237A2C">
        <w:t>e</w:t>
      </w:r>
      <w:r w:rsidRPr="00237A2C">
        <w:t>ringskansliets disposition har förbättrats.</w:t>
      </w:r>
    </w:p>
    <w:p w:rsidR="00AE50BA" w:rsidRPr="00237A2C" w:rsidRDefault="00AE50BA">
      <w:pPr>
        <w:pStyle w:val="Normaltindrag"/>
      </w:pPr>
      <w:r w:rsidRPr="00237A2C">
        <w:t>När det gäller revision anser ESV att det är otillfredsställande att en del av statsbudgeten inte utsätts för en årlig oberoende granskning motsvarande den som myndigheterna utsätts för. Samtidigt konstateras att detta problem borde lösas när den nya organisationen för den statliga revisionen träder i kraft år 2003.</w:t>
      </w:r>
    </w:p>
    <w:p w:rsidR="00AE50BA" w:rsidRPr="00237A2C" w:rsidRDefault="00AE50BA">
      <w:pPr>
        <w:pStyle w:val="Normaltindrag"/>
      </w:pPr>
      <w:r w:rsidRPr="00237A2C">
        <w:rPr>
          <w:i/>
        </w:rPr>
        <w:t>Uppsala universitet</w:t>
      </w:r>
      <w:r w:rsidRPr="00237A2C">
        <w:t xml:space="preserve"> understryker att ett mål i utvecklingen av den ekon</w:t>
      </w:r>
      <w:r w:rsidRPr="00237A2C">
        <w:t>o</w:t>
      </w:r>
      <w:r w:rsidRPr="00237A2C">
        <w:t>miska styrningen i staten är att förbättra beslutsunderlag i olika former. Mot denna bakgrund anser universitetet att även de anslag som regeringen disp</w:t>
      </w:r>
      <w:r w:rsidRPr="00237A2C">
        <w:t>o</w:t>
      </w:r>
      <w:r w:rsidRPr="00237A2C">
        <w:t>nerar bör redovisas på liknande sätt som vid en statlig myndighet, dvs. r</w:t>
      </w:r>
      <w:r w:rsidRPr="00237A2C">
        <w:t>e</w:t>
      </w:r>
      <w:r w:rsidRPr="00237A2C">
        <w:t>sultatet av verksamheten ska återrapporteras i en resultatredovisning.</w:t>
      </w:r>
    </w:p>
    <w:p w:rsidR="00AE50BA" w:rsidRPr="00237A2C" w:rsidRDefault="00AE50BA">
      <w:pPr>
        <w:pStyle w:val="Rubrik3"/>
      </w:pPr>
      <w:bookmarkStart w:id="39" w:name="_Toc516991591"/>
      <w:r w:rsidRPr="00237A2C">
        <w:t>Revisorerna</w:t>
      </w:r>
      <w:bookmarkEnd w:id="39"/>
    </w:p>
    <w:p w:rsidR="00AE50BA" w:rsidRPr="00237A2C" w:rsidRDefault="00AE50BA">
      <w:r w:rsidRPr="00237A2C">
        <w:t>Revisorerna vill understryka att förslaget i rapporten om att slopa undantaget för Regeringskansliet från kravet</w:t>
      </w:r>
      <w:r w:rsidRPr="00237A2C">
        <w:rPr>
          <w:b/>
        </w:rPr>
        <w:t xml:space="preserve"> </w:t>
      </w:r>
      <w:r w:rsidRPr="00237A2C">
        <w:t>att – i sin årsredovisning – lämna resulta</w:t>
      </w:r>
      <w:r w:rsidRPr="00237A2C">
        <w:t>t</w:t>
      </w:r>
      <w:r w:rsidRPr="00237A2C">
        <w:t>redovisning  endast gäller de specifika fall då regeringen tar på sig rollen som bidragsfördelare, dvs. samma krav bör ställas på Regeringskansliet som på andra myndigheter som har motsvarande uppgifter. Revisorerna noterar att Regeringskansliet inte har yttrat sig i denna fråga och att övriga som uttalat sig tillstyrker förslaget. Revisorerna anser i likhet med vad som a</w:t>
      </w:r>
      <w:r w:rsidRPr="00237A2C">
        <w:t>n</w:t>
      </w:r>
      <w:r w:rsidRPr="00237A2C">
        <w:t>gavs i rapporten att instruktionen för Regeringskansliet bör ändras på denna punkt.</w:t>
      </w:r>
    </w:p>
    <w:p w:rsidR="00AE50BA" w:rsidRPr="00237A2C" w:rsidRDefault="00AE50BA">
      <w:pPr>
        <w:pStyle w:val="Normaltindrag"/>
      </w:pPr>
      <w:r w:rsidRPr="00237A2C">
        <w:t>I rapport</w:t>
      </w:r>
      <w:r w:rsidRPr="00237A2C">
        <w:t>en tar revisorerna även upp ett antal frågor av ekonomiadminis</w:t>
      </w:r>
      <w:r w:rsidRPr="00237A2C">
        <w:t>t</w:t>
      </w:r>
      <w:r w:rsidRPr="00237A2C">
        <w:t>rativ karaktär. Det handlar bl.a. bristande överensstämmelse mellan regl</w:t>
      </w:r>
      <w:r w:rsidRPr="00237A2C">
        <w:t>e</w:t>
      </w:r>
      <w:r w:rsidRPr="00237A2C">
        <w:t>ringsbreven och anslagsredovisningen liksom mellan formell dispositionsrätt och faktisk förfoganderätt. Revisorerna ansåg vidare att det borde övervägas om inte många av de anslag som nu formellt står till regeringens disposition borde kunna överföras till myndigheter under regeringen. Dessa</w:t>
      </w:r>
      <w:r w:rsidRPr="00237A2C">
        <w:rPr>
          <w:b/>
        </w:rPr>
        <w:t xml:space="preserve"> </w:t>
      </w:r>
      <w:r w:rsidRPr="00237A2C">
        <w:t>närmast tekniska frågor kommenteras i princip inte</w:t>
      </w:r>
      <w:r w:rsidRPr="00237A2C">
        <w:rPr>
          <w:b/>
        </w:rPr>
        <w:t xml:space="preserve"> </w:t>
      </w:r>
      <w:r w:rsidRPr="00237A2C">
        <w:t>av de berörda organen. Revis</w:t>
      </w:r>
      <w:r w:rsidRPr="00237A2C">
        <w:t>o</w:t>
      </w:r>
      <w:r w:rsidRPr="00237A2C">
        <w:t>rer</w:t>
      </w:r>
      <w:r w:rsidRPr="00237A2C">
        <w:t>na anser i likhet med vad som sägs i rapporten att de påtalade frågorna bör prövas av regeringen.</w:t>
      </w:r>
    </w:p>
    <w:p w:rsidR="00AE50BA" w:rsidRPr="00237A2C" w:rsidRDefault="00AE50BA">
      <w:pPr>
        <w:pStyle w:val="Normaltindrag"/>
      </w:pPr>
      <w:r w:rsidRPr="00237A2C">
        <w:t>När det gäller internrevisionens roll framhålls i Regeringskansliets yttra</w:t>
      </w:r>
      <w:r w:rsidRPr="00237A2C">
        <w:t>n</w:t>
      </w:r>
      <w:r w:rsidRPr="00237A2C">
        <w:t>de att denna fråga nu är föremål för översyn. Revisorerna ser, inte minst i sin roll som ansvarigt organ för externrevisionen av Regeringskansliet, mycket positivt på de aviserade ambitionerna att bredda och fördjupa internrevisi</w:t>
      </w:r>
      <w:r w:rsidRPr="00237A2C">
        <w:t>o</w:t>
      </w:r>
      <w:r w:rsidRPr="00237A2C">
        <w:t>nens arbete. Revisorerna anser att förslaget i rapporten om att internrevisi</w:t>
      </w:r>
      <w:r w:rsidRPr="00237A2C">
        <w:t>o</w:t>
      </w:r>
      <w:r w:rsidRPr="00237A2C">
        <w:t>nen även bör granska användningen av här behandlade anslag bör beaktas i samband med den pågående översynen.</w:t>
      </w:r>
    </w:p>
    <w:p w:rsidR="00AE50BA" w:rsidRPr="00237A2C" w:rsidRDefault="00AE50BA">
      <w:pPr>
        <w:pStyle w:val="Rubrik2"/>
      </w:pPr>
      <w:bookmarkStart w:id="40" w:name="_Toc516991592"/>
      <w:r w:rsidRPr="00237A2C">
        <w:t>2.5 Regeringen behöver göra en samlad översyn av föreskrifter m.m.</w:t>
      </w:r>
      <w:bookmarkEnd w:id="40"/>
    </w:p>
    <w:p w:rsidR="00AE50BA" w:rsidRPr="00237A2C" w:rsidRDefault="00AE50BA">
      <w:pPr>
        <w:pStyle w:val="Rubrik3"/>
      </w:pPr>
      <w:bookmarkStart w:id="41" w:name="_Toc516991593"/>
      <w:r w:rsidRPr="00237A2C">
        <w:t>Rapporten</w:t>
      </w:r>
      <w:bookmarkEnd w:id="41"/>
    </w:p>
    <w:p w:rsidR="00AE50BA" w:rsidRPr="00237A2C" w:rsidRDefault="00AE50BA">
      <w:r w:rsidRPr="00237A2C">
        <w:t>I rapporten föreslår revisorerna sammanfattningsvis att riksdagen bör ställa vissa generella villkor i samband med att regeringen hanterar statliga bidrag. Det gäller i första hand krav på ett fylligare beslutsunderlag, förbättrad åte</w:t>
      </w:r>
      <w:r w:rsidRPr="00237A2C">
        <w:t>r</w:t>
      </w:r>
      <w:r w:rsidRPr="00237A2C">
        <w:t>rapportering av resultat till riksdagen, en stramare berednings- och beslut</w:t>
      </w:r>
      <w:r w:rsidRPr="00237A2C">
        <w:t>s</w:t>
      </w:r>
      <w:r w:rsidRPr="00237A2C">
        <w:t>hantering samt vissa förändringar av redovisning och revision. Enligt revis</w:t>
      </w:r>
      <w:r w:rsidRPr="00237A2C">
        <w:t>o</w:t>
      </w:r>
      <w:r w:rsidRPr="00237A2C">
        <w:t>rerna bör regeringen med anledning därav göra en samlad genomgång av de förändringar av föreskrifter m.m. som behöver göras samt redovisa resultatet för riksdagen (avsnitt 7.8).</w:t>
      </w:r>
    </w:p>
    <w:p w:rsidR="00AE50BA" w:rsidRPr="00237A2C" w:rsidRDefault="00AE50BA">
      <w:pPr>
        <w:pStyle w:val="Rubrik3"/>
      </w:pPr>
      <w:bookmarkStart w:id="42" w:name="_Toc516991594"/>
      <w:r w:rsidRPr="00237A2C">
        <w:t>Remissinstanserna</w:t>
      </w:r>
      <w:bookmarkEnd w:id="42"/>
    </w:p>
    <w:p w:rsidR="00AE50BA" w:rsidRPr="00237A2C" w:rsidRDefault="00AE50BA">
      <w:r w:rsidRPr="00237A2C">
        <w:rPr>
          <w:i/>
        </w:rPr>
        <w:t>Statskontoret</w:t>
      </w:r>
      <w:r w:rsidRPr="00237A2C">
        <w:t xml:space="preserve"> anser att det över huvud taget bör övervägas om grundläggande bestämmelser angående regeringens rätt att disponera anslag är tillfredsstä</w:t>
      </w:r>
      <w:r w:rsidRPr="00237A2C">
        <w:t>l</w:t>
      </w:r>
      <w:r w:rsidRPr="00237A2C">
        <w:t>lande reglerade i budgetlagen.</w:t>
      </w:r>
    </w:p>
    <w:p w:rsidR="00AE50BA" w:rsidRPr="00237A2C" w:rsidRDefault="00AE50BA">
      <w:pPr>
        <w:pStyle w:val="Normaltindrag"/>
      </w:pPr>
      <w:r w:rsidRPr="00237A2C">
        <w:t>Statskontoret påpekar också att anslagsförordningen (1996:1189) endast gäller för myndigheter under regeringen och inte är anpassad till att regerin</w:t>
      </w:r>
      <w:r w:rsidRPr="00237A2C">
        <w:t>g</w:t>
      </w:r>
      <w:r w:rsidRPr="00237A2C">
        <w:t>en tagit på sig alltfler myndighetsuppgifter av det slag som diskuteras i ra</w:t>
      </w:r>
      <w:r w:rsidRPr="00237A2C">
        <w:t>p</w:t>
      </w:r>
      <w:r w:rsidRPr="00237A2C">
        <w:t>porten. När regeringen själv disponerar anslag uppstår t.ex. problemet att frågor om undantag från bestämmelserna inte blir formellt prövade. Det är enligt Statskontoret väsentligt att samma bestämmelser bör gälla för reg</w:t>
      </w:r>
      <w:r w:rsidRPr="00237A2C">
        <w:t>e</w:t>
      </w:r>
      <w:r w:rsidRPr="00237A2C">
        <w:t>ringen som för andra anslagsförvaltande institutioner om regeringen även framgent kommer att disponera stora anslagsbelopp för egna beslut.</w:t>
      </w:r>
    </w:p>
    <w:p w:rsidR="00AE50BA" w:rsidRPr="00237A2C" w:rsidRDefault="00AE50BA">
      <w:pPr>
        <w:pStyle w:val="Normaltindrag"/>
      </w:pPr>
      <w:r w:rsidRPr="00237A2C">
        <w:rPr>
          <w:i/>
        </w:rPr>
        <w:t>Ekonomistyrningsverket</w:t>
      </w:r>
      <w:r w:rsidRPr="00237A2C">
        <w:t xml:space="preserve"> pekar på att regeringen inte lyder under samma regelverk som övriga myndigheter, vilket innebär att det kan finnas oklarh</w:t>
      </w:r>
      <w:r w:rsidRPr="00237A2C">
        <w:t>e</w:t>
      </w:r>
      <w:r w:rsidRPr="00237A2C">
        <w:t>ter i ansvar, styrning och tillämpning av regelverket.</w:t>
      </w:r>
    </w:p>
    <w:p w:rsidR="00AE50BA" w:rsidRPr="00237A2C" w:rsidRDefault="00AE50BA">
      <w:pPr>
        <w:pStyle w:val="Rubrik3"/>
      </w:pPr>
      <w:bookmarkStart w:id="43" w:name="_Toc516991595"/>
      <w:r w:rsidRPr="00237A2C">
        <w:t>Revisorerna</w:t>
      </w:r>
      <w:bookmarkEnd w:id="43"/>
    </w:p>
    <w:p w:rsidR="00AE50BA" w:rsidRPr="00237A2C" w:rsidRDefault="00AE50BA">
      <w:r w:rsidRPr="00237A2C">
        <w:t>Den i rapporten föreslagna samlade översynen av gällande regler inom o</w:t>
      </w:r>
      <w:r w:rsidRPr="00237A2C">
        <w:t>m</w:t>
      </w:r>
      <w:r w:rsidRPr="00237A2C">
        <w:t>rådet som granskningen föranleder bör enligt revisorernas mening genomf</w:t>
      </w:r>
      <w:r w:rsidRPr="00237A2C">
        <w:t>ö</w:t>
      </w:r>
      <w:r w:rsidRPr="00237A2C">
        <w:t>ras. Inom ramen för översynen bör regeringen överväga ändringar i såväl budgetlagen (1996:1059) som i berörda förordningar och av interna riktlinjer inom Regeringskansliet. Resultatet av genomgången bör redovisas för rik</w:t>
      </w:r>
      <w:r w:rsidRPr="00237A2C">
        <w:t>s</w:t>
      </w:r>
      <w:r w:rsidRPr="00237A2C">
        <w:t>dagen senast i samband med budgetpropositionen för år 2003.</w:t>
      </w:r>
    </w:p>
    <w:p w:rsidR="00AE50BA" w:rsidRPr="00237A2C" w:rsidRDefault="00AE50BA">
      <w:pPr>
        <w:pStyle w:val="Rubrik1"/>
        <w:spacing w:before="480"/>
      </w:pPr>
      <w:bookmarkStart w:id="44" w:name="_Toc516991596"/>
      <w:r w:rsidRPr="00237A2C">
        <w:t>3 Revisorernas förslag</w:t>
      </w:r>
      <w:bookmarkEnd w:id="44"/>
    </w:p>
    <w:p w:rsidR="00AE50BA" w:rsidRPr="00237A2C" w:rsidRDefault="00AE50BA">
      <w:r w:rsidRPr="00237A2C">
        <w:t>Med hänvisning till de motiveringar som framförts under Revisorernas öve</w:t>
      </w:r>
      <w:r w:rsidRPr="00237A2C">
        <w:t>r</w:t>
      </w:r>
      <w:r w:rsidRPr="00237A2C">
        <w:t>väganden föreslår Riksdagens revisorer att riksdagen fattar följande beslut.</w:t>
      </w:r>
    </w:p>
    <w:p w:rsidR="00AE50BA" w:rsidRPr="00237A2C" w:rsidRDefault="00AE50BA">
      <w:pPr>
        <w:pStyle w:val="Rubrik3"/>
      </w:pPr>
      <w:bookmarkStart w:id="45" w:name="_Toc516991597"/>
      <w:r w:rsidRPr="00237A2C">
        <w:t>1. Principiella synpunkter på regeringen som bidragsfördelare</w:t>
      </w:r>
      <w:bookmarkEnd w:id="45"/>
      <w:r w:rsidRPr="00237A2C">
        <w:t xml:space="preserve"> </w:t>
      </w:r>
    </w:p>
    <w:p w:rsidR="00AE50BA" w:rsidRPr="00237A2C" w:rsidRDefault="00AE50BA">
      <w:r w:rsidRPr="00237A2C">
        <w:t>Riksdagen tillkännager för regeringen som sin mening vad revisorerna an-fört i avsnitt 2.1 om principiella synpunkter på regeringen som bidragsfö</w:t>
      </w:r>
      <w:r w:rsidRPr="00237A2C">
        <w:t>r</w:t>
      </w:r>
      <w:r w:rsidRPr="00237A2C">
        <w:t>delare.</w:t>
      </w:r>
    </w:p>
    <w:p w:rsidR="00AE50BA" w:rsidRPr="00237A2C" w:rsidRDefault="00AE50BA">
      <w:pPr>
        <w:pStyle w:val="Rubrik3"/>
      </w:pPr>
      <w:bookmarkStart w:id="46" w:name="_Toc516991598"/>
      <w:r w:rsidRPr="00237A2C">
        <w:t>2. Beslutsunderlag och resultatrapportering</w:t>
      </w:r>
      <w:bookmarkEnd w:id="46"/>
    </w:p>
    <w:p w:rsidR="00AE50BA" w:rsidRPr="00237A2C" w:rsidRDefault="00AE50BA">
      <w:r w:rsidRPr="00237A2C">
        <w:t>Riksdagen tillkännager för regeringen som sin mening vad revisorerna anfört i avsnitt 2.2 om behovet av ett bättre beslutsunderlag och en utökad resulta</w:t>
      </w:r>
      <w:r w:rsidRPr="00237A2C">
        <w:t>t</w:t>
      </w:r>
      <w:r w:rsidRPr="00237A2C">
        <w:t>rapportering.</w:t>
      </w:r>
    </w:p>
    <w:p w:rsidR="00AE50BA" w:rsidRPr="00237A2C" w:rsidRDefault="00AE50BA">
      <w:pPr>
        <w:pStyle w:val="Rubrik3"/>
      </w:pPr>
      <w:bookmarkStart w:id="47" w:name="_Toc516991599"/>
      <w:r w:rsidRPr="00237A2C">
        <w:t>3. Regeringens bidragshantering</w:t>
      </w:r>
      <w:bookmarkEnd w:id="47"/>
    </w:p>
    <w:p w:rsidR="00AE50BA" w:rsidRPr="00237A2C" w:rsidRDefault="00AE50BA">
      <w:r w:rsidRPr="00237A2C">
        <w:t>Riksdagen tillkännager för regeringen som sin mening vad revisorerna anfört i avsnitt 2.3 om regeringens bidragshantering.</w:t>
      </w:r>
    </w:p>
    <w:p w:rsidR="00AE50BA" w:rsidRPr="00237A2C" w:rsidRDefault="00AE50BA">
      <w:pPr>
        <w:pStyle w:val="Rubrik3"/>
      </w:pPr>
      <w:bookmarkStart w:id="48" w:name="_Toc516991600"/>
      <w:r w:rsidRPr="00237A2C">
        <w:t>4. Redovisning och revision</w:t>
      </w:r>
      <w:bookmarkEnd w:id="48"/>
    </w:p>
    <w:p w:rsidR="00AE50BA" w:rsidRPr="00237A2C" w:rsidRDefault="00AE50BA">
      <w:r w:rsidRPr="00237A2C">
        <w:t>Riksdagen tillkännager för regeringen som sin mening vad revisorerna anfört i avsnitt 2.4 om att kraven på redovisning och revision behöver skärpas.</w:t>
      </w:r>
    </w:p>
    <w:p w:rsidR="00AE50BA" w:rsidRPr="00237A2C" w:rsidRDefault="00AE50BA">
      <w:pPr>
        <w:pStyle w:val="Rubrik3"/>
      </w:pPr>
      <w:bookmarkStart w:id="49" w:name="_Toc516991601"/>
      <w:r w:rsidRPr="00237A2C">
        <w:t>5. Samlad översyn av föreskrifter m.m.</w:t>
      </w:r>
      <w:bookmarkEnd w:id="49"/>
    </w:p>
    <w:p w:rsidR="00AE50BA" w:rsidRPr="00237A2C" w:rsidRDefault="00AE50BA">
      <w:r w:rsidRPr="00237A2C">
        <w:t xml:space="preserve">Riksdagen tillkännager för regeringen som sin mening vad revisorerna anfört i avsnitt 2.5 om behovet av en samlad översyn av föreskrifter m.m. </w:t>
      </w:r>
    </w:p>
    <w:p w:rsidR="00AE50BA" w:rsidRPr="00237A2C" w:rsidRDefault="00AE50BA">
      <w:r w:rsidRPr="00237A2C">
        <w:t xml:space="preserve">Detta ärende har avgjorts av revisorerna i plenum. I beslutet har deltagit revisorerna </w:t>
      </w:r>
      <w:r w:rsidRPr="00237A2C">
        <w:rPr>
          <w:snapToGrid w:val="0"/>
          <w:lang w:eastAsia="sv-SE"/>
        </w:rPr>
        <w:t>Ingemar Josefsson (s), Anders G Högmark (m), Bengt Silfve</w:t>
      </w:r>
      <w:r w:rsidRPr="00237A2C">
        <w:rPr>
          <w:snapToGrid w:val="0"/>
          <w:lang w:eastAsia="sv-SE"/>
        </w:rPr>
        <w:t>r</w:t>
      </w:r>
      <w:r w:rsidRPr="00237A2C">
        <w:rPr>
          <w:snapToGrid w:val="0"/>
          <w:lang w:eastAsia="sv-SE"/>
        </w:rPr>
        <w:t>strand (s), Anita Jönsson (s), Kenneth Lantz (kd), Margit Gennser (m), Hans Stenberg (s), Karl-Gösta Svenson (m), Agneta Lundberg (s), Ann-Marie Fagerström (s), Sten Lundström (v) och Rolf Olsson (v).</w:t>
      </w:r>
    </w:p>
    <w:p w:rsidR="00AE50BA" w:rsidRPr="00237A2C" w:rsidRDefault="00AE50BA">
      <w:r w:rsidRPr="00237A2C">
        <w:br w:type="page"/>
        <w:t>Vid ärendets slutliga handläggning har vidare närvarit kanslichefen Åke Dahlberg, utredningschefen Patrick Joyce och revisionsdirektören Jörgen Nilsson (föredragande).</w:t>
      </w:r>
    </w:p>
    <w:p w:rsidR="00AE50BA" w:rsidRPr="00237A2C" w:rsidRDefault="00AE50BA">
      <w:pPr>
        <w:pStyle w:val="Stockholm"/>
      </w:pPr>
      <w:r w:rsidRPr="00237A2C">
        <w:t>Stockholm den 14 juni 2001</w:t>
      </w:r>
    </w:p>
    <w:p w:rsidR="00AE50BA" w:rsidRPr="00237A2C" w:rsidRDefault="00AE50BA">
      <w:pPr>
        <w:pStyle w:val="Normaltindrag"/>
        <w:ind w:firstLine="0"/>
      </w:pPr>
    </w:p>
    <w:p w:rsidR="00AE50BA" w:rsidRPr="00237A2C" w:rsidRDefault="00AE50BA">
      <w:pPr>
        <w:pStyle w:val="Normaltindrag"/>
        <w:ind w:firstLine="0"/>
      </w:pPr>
      <w:r w:rsidRPr="00237A2C">
        <w:t>På Riksdagens revisorers vägnar</w:t>
      </w:r>
    </w:p>
    <w:p w:rsidR="00AE50BA" w:rsidRPr="00237A2C" w:rsidRDefault="00AE50BA">
      <w:pPr>
        <w:pStyle w:val="Normaltindrag"/>
        <w:ind w:firstLine="0"/>
      </w:pPr>
    </w:p>
    <w:p w:rsidR="00AE50BA" w:rsidRPr="00237A2C" w:rsidRDefault="00AE50BA">
      <w:pPr>
        <w:spacing w:before="360"/>
        <w:rPr>
          <w:i/>
          <w:sz w:val="21"/>
        </w:rPr>
      </w:pPr>
      <w:r w:rsidRPr="00237A2C">
        <w:rPr>
          <w:i/>
          <w:sz w:val="21"/>
        </w:rPr>
        <w:t>Ingemar Josefsson</w:t>
      </w:r>
    </w:p>
    <w:p w:rsidR="00AE50BA" w:rsidRPr="00237A2C" w:rsidRDefault="00AE50BA">
      <w:pPr>
        <w:pStyle w:val="Normaltindrag"/>
        <w:rPr>
          <w:i/>
          <w:sz w:val="21"/>
        </w:rPr>
      </w:pPr>
      <w:r w:rsidRPr="00237A2C">
        <w:tab/>
      </w:r>
      <w:r w:rsidRPr="00237A2C">
        <w:tab/>
      </w:r>
      <w:r w:rsidRPr="00237A2C">
        <w:tab/>
      </w:r>
      <w:r w:rsidRPr="00237A2C">
        <w:rPr>
          <w:i/>
          <w:sz w:val="21"/>
        </w:rPr>
        <w:t>Jörgen Nilsson</w:t>
      </w:r>
    </w:p>
    <w:p w:rsidR="00AE50BA" w:rsidRPr="00237A2C" w:rsidRDefault="00AE50BA">
      <w:pPr>
        <w:pStyle w:val="Normaltindrag"/>
      </w:pPr>
    </w:p>
    <w:p w:rsidR="00AE50BA" w:rsidRPr="00237A2C" w:rsidRDefault="00AE50BA">
      <w:pPr>
        <w:pStyle w:val="Normaltindrag"/>
        <w:sectPr w:rsidR="00000000" w:rsidRPr="00237A2C">
          <w:headerReference w:type="default" r:id="rId13"/>
          <w:footerReference w:type="default" r:id="rId14"/>
          <w:pgSz w:w="11906" w:h="16838" w:code="9"/>
          <w:pgMar w:top="567" w:right="4876" w:bottom="4508" w:left="1134" w:header="227" w:footer="227" w:gutter="0"/>
          <w:cols w:space="720"/>
        </w:sectPr>
      </w:pPr>
    </w:p>
    <w:p w:rsidR="00AE50BA" w:rsidRPr="00237A2C" w:rsidRDefault="00AE50BA">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4323"/>
        <w:gridCol w:w="2126"/>
      </w:tblGrid>
      <w:tr w:rsidR="00000000" w:rsidRPr="00237A2C">
        <w:tblPrEx>
          <w:tblCellMar>
            <w:top w:w="0" w:type="dxa"/>
            <w:bottom w:w="0" w:type="dxa"/>
          </w:tblCellMar>
        </w:tblPrEx>
        <w:trPr>
          <w:cantSplit/>
          <w:trHeight w:val="1911"/>
        </w:trPr>
        <w:tc>
          <w:tcPr>
            <w:tcW w:w="4323" w:type="dxa"/>
            <w:tcBorders>
              <w:bottom w:val="single" w:sz="4" w:space="0" w:color="auto"/>
            </w:tcBorders>
          </w:tcPr>
          <w:p w:rsidR="00AE50BA" w:rsidRPr="00237A2C" w:rsidRDefault="00AE50BA">
            <w:pPr>
              <w:pStyle w:val="HuvudRubrik"/>
            </w:pPr>
            <w:r w:rsidRPr="00237A2C">
              <w:t xml:space="preserve">Rapport 2000/01:7 </w:t>
            </w:r>
          </w:p>
        </w:tc>
        <w:tc>
          <w:tcPr>
            <w:tcW w:w="2126" w:type="dxa"/>
            <w:tcBorders>
              <w:bottom w:val="single" w:sz="6" w:space="0" w:color="auto"/>
            </w:tcBorders>
          </w:tcPr>
          <w:p w:rsidR="00AE50BA" w:rsidRPr="00237A2C" w:rsidRDefault="00237A2C">
            <w:pPr>
              <w:pStyle w:val="rtal"/>
              <w:spacing w:before="120"/>
              <w:ind w:left="0"/>
            </w:pPr>
            <w:r w:rsidRPr="00237A2C">
              <w:rPr>
                <w:noProof/>
              </w:rPr>
              <w:drawing>
                <wp:inline distT="0" distB="0" distL="0" distR="0">
                  <wp:extent cx="1094105" cy="10941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94105" cy="1094105"/>
                          </a:xfrm>
                          <a:prstGeom prst="rect">
                            <a:avLst/>
                          </a:prstGeom>
                          <a:noFill/>
                          <a:ln>
                            <a:noFill/>
                          </a:ln>
                        </pic:spPr>
                      </pic:pic>
                    </a:graphicData>
                  </a:graphic>
                </wp:inline>
              </w:drawing>
            </w:r>
          </w:p>
        </w:tc>
      </w:tr>
    </w:tbl>
    <w:p w:rsidR="00AE50BA" w:rsidRPr="00237A2C" w:rsidRDefault="00AE50BA">
      <w:r w:rsidRPr="00237A2C">
        <w:tab/>
      </w:r>
      <w:r w:rsidRPr="00237A2C">
        <w:tab/>
      </w:r>
    </w:p>
    <w:p w:rsidR="00AE50BA" w:rsidRPr="00237A2C" w:rsidRDefault="00AE50BA">
      <w:r w:rsidRPr="00237A2C">
        <w:tab/>
      </w:r>
      <w:r w:rsidRPr="00237A2C">
        <w:tab/>
      </w:r>
    </w:p>
    <w:tbl>
      <w:tblPr>
        <w:tblW w:w="0" w:type="auto"/>
        <w:tblInd w:w="-142" w:type="dxa"/>
        <w:tblLayout w:type="fixed"/>
        <w:tblCellMar>
          <w:left w:w="70" w:type="dxa"/>
          <w:right w:w="70" w:type="dxa"/>
        </w:tblCellMar>
        <w:tblLook w:val="0000" w:firstRow="0" w:lastRow="0" w:firstColumn="0" w:lastColumn="0" w:noHBand="0" w:noVBand="0"/>
      </w:tblPr>
      <w:tblGrid>
        <w:gridCol w:w="6108"/>
      </w:tblGrid>
      <w:tr w:rsidR="00000000" w:rsidRPr="00237A2C">
        <w:tblPrEx>
          <w:tblCellMar>
            <w:top w:w="0" w:type="dxa"/>
            <w:bottom w:w="0" w:type="dxa"/>
          </w:tblCellMar>
        </w:tblPrEx>
        <w:trPr>
          <w:cantSplit/>
        </w:trPr>
        <w:tc>
          <w:tcPr>
            <w:tcW w:w="6108" w:type="dxa"/>
          </w:tcPr>
          <w:p w:rsidR="00AE50BA" w:rsidRPr="00237A2C" w:rsidRDefault="00AE50BA">
            <w:pPr>
              <w:spacing w:before="240"/>
            </w:pPr>
          </w:p>
        </w:tc>
      </w:tr>
      <w:tr w:rsidR="00000000" w:rsidRPr="00237A2C">
        <w:tblPrEx>
          <w:tblCellMar>
            <w:top w:w="0" w:type="dxa"/>
            <w:bottom w:w="0" w:type="dxa"/>
          </w:tblCellMar>
        </w:tblPrEx>
        <w:trPr>
          <w:cantSplit/>
          <w:trHeight w:val="6000"/>
        </w:trPr>
        <w:tc>
          <w:tcPr>
            <w:tcW w:w="6108" w:type="dxa"/>
          </w:tcPr>
          <w:p w:rsidR="00AE50BA" w:rsidRPr="00237A2C" w:rsidRDefault="00AE50BA">
            <w:pPr>
              <w:pStyle w:val="RubrikFrstaSida"/>
            </w:pPr>
            <w:bookmarkStart w:id="50" w:name="Mittenrubrik"/>
            <w:bookmarkStart w:id="51" w:name="_Toc516991602"/>
            <w:bookmarkEnd w:id="50"/>
            <w:r w:rsidRPr="00237A2C">
              <w:t>Anslag till regeringens disposition</w:t>
            </w:r>
            <w:bookmarkEnd w:id="51"/>
          </w:p>
          <w:p w:rsidR="00AE50BA" w:rsidRPr="00237A2C" w:rsidRDefault="00AE50BA">
            <w:pPr>
              <w:pStyle w:val="RubrikFrstaSida"/>
              <w:rPr>
                <w:sz w:val="40"/>
              </w:rPr>
            </w:pPr>
            <w:r w:rsidRPr="00237A2C">
              <w:rPr>
                <w:sz w:val="28"/>
              </w:rPr>
              <w:t>Hur fungerar styrningen och kontrollen när regeringen själv</w:t>
            </w:r>
            <w:r w:rsidRPr="00237A2C">
              <w:rPr>
                <w:sz w:val="40"/>
              </w:rPr>
              <w:t xml:space="preserve"> </w:t>
            </w:r>
            <w:r w:rsidRPr="00237A2C">
              <w:rPr>
                <w:sz w:val="28"/>
              </w:rPr>
              <w:t>fördelar pengar?</w:t>
            </w:r>
          </w:p>
        </w:tc>
      </w:tr>
    </w:tbl>
    <w:p w:rsidR="00AE50BA" w:rsidRPr="00237A2C" w:rsidRDefault="00AE50BA"/>
    <w:tbl>
      <w:tblPr>
        <w:tblW w:w="0" w:type="auto"/>
        <w:tblInd w:w="-70" w:type="dxa"/>
        <w:tblLayout w:type="fixed"/>
        <w:tblCellMar>
          <w:left w:w="70" w:type="dxa"/>
          <w:right w:w="70" w:type="dxa"/>
        </w:tblCellMar>
        <w:tblLook w:val="0000" w:firstRow="0" w:lastRow="0" w:firstColumn="0" w:lastColumn="0" w:noHBand="0" w:noVBand="0"/>
      </w:tblPr>
      <w:tblGrid>
        <w:gridCol w:w="2905"/>
        <w:gridCol w:w="2268"/>
        <w:gridCol w:w="2410"/>
      </w:tblGrid>
      <w:tr w:rsidR="00000000" w:rsidRPr="00237A2C">
        <w:tblPrEx>
          <w:tblCellMar>
            <w:top w:w="0" w:type="dxa"/>
            <w:bottom w:w="0" w:type="dxa"/>
          </w:tblCellMar>
        </w:tblPrEx>
        <w:trPr>
          <w:cantSplit/>
        </w:trPr>
        <w:tc>
          <w:tcPr>
            <w:tcW w:w="7583" w:type="dxa"/>
            <w:gridSpan w:val="3"/>
          </w:tcPr>
          <w:p w:rsidR="00AE50BA" w:rsidRPr="00237A2C" w:rsidRDefault="00AE50BA">
            <w:pPr>
              <w:pStyle w:val="Citat"/>
              <w:spacing w:before="0" w:line="245" w:lineRule="exact"/>
            </w:pPr>
          </w:p>
        </w:tc>
      </w:tr>
      <w:tr w:rsidR="00000000" w:rsidRPr="00237A2C">
        <w:tblPrEx>
          <w:tblCellMar>
            <w:top w:w="0" w:type="dxa"/>
            <w:bottom w:w="0" w:type="dxa"/>
          </w:tblCellMar>
        </w:tblPrEx>
        <w:tc>
          <w:tcPr>
            <w:tcW w:w="2905" w:type="dxa"/>
          </w:tcPr>
          <w:p w:rsidR="00AE50BA" w:rsidRPr="00237A2C" w:rsidRDefault="00AE50BA">
            <w:r w:rsidRPr="00237A2C">
              <w:t>RIKSDAGENS REVIS</w:t>
            </w:r>
            <w:r w:rsidRPr="00237A2C">
              <w:t>O</w:t>
            </w:r>
            <w:r w:rsidRPr="00237A2C">
              <w:t>RER</w:t>
            </w:r>
          </w:p>
        </w:tc>
        <w:tc>
          <w:tcPr>
            <w:tcW w:w="2268" w:type="dxa"/>
          </w:tcPr>
          <w:p w:rsidR="00AE50BA" w:rsidRPr="00237A2C" w:rsidRDefault="00AE50BA">
            <w:r w:rsidRPr="00237A2C">
              <w:t>TEL 08-786 40 00</w:t>
            </w:r>
          </w:p>
        </w:tc>
        <w:tc>
          <w:tcPr>
            <w:tcW w:w="2410" w:type="dxa"/>
          </w:tcPr>
          <w:p w:rsidR="00AE50BA" w:rsidRPr="00237A2C" w:rsidRDefault="00AE50BA">
            <w:r w:rsidRPr="00237A2C">
              <w:t>www.riksdagen.se/rr</w:t>
            </w:r>
          </w:p>
        </w:tc>
      </w:tr>
      <w:tr w:rsidR="00000000" w:rsidRPr="00237A2C">
        <w:tblPrEx>
          <w:tblCellMar>
            <w:top w:w="0" w:type="dxa"/>
            <w:bottom w:w="0" w:type="dxa"/>
          </w:tblCellMar>
        </w:tblPrEx>
        <w:tc>
          <w:tcPr>
            <w:tcW w:w="2905" w:type="dxa"/>
          </w:tcPr>
          <w:p w:rsidR="00AE50BA" w:rsidRPr="00237A2C" w:rsidRDefault="00AE50BA">
            <w:r w:rsidRPr="00237A2C">
              <w:t>100 12 STOCKHOLM</w:t>
            </w:r>
          </w:p>
        </w:tc>
        <w:tc>
          <w:tcPr>
            <w:tcW w:w="2268" w:type="dxa"/>
          </w:tcPr>
          <w:p w:rsidR="00AE50BA" w:rsidRPr="00237A2C" w:rsidRDefault="00AE50BA">
            <w:r w:rsidRPr="00237A2C">
              <w:t>FAX 08-786 61 88</w:t>
            </w:r>
          </w:p>
        </w:tc>
        <w:tc>
          <w:tcPr>
            <w:tcW w:w="2410" w:type="dxa"/>
          </w:tcPr>
          <w:p w:rsidR="00AE50BA" w:rsidRPr="00237A2C" w:rsidRDefault="00AE50BA"/>
        </w:tc>
      </w:tr>
    </w:tbl>
    <w:p w:rsidR="00AE50BA" w:rsidRPr="00237A2C" w:rsidRDefault="00AE50BA">
      <w:pPr>
        <w:sectPr w:rsidR="00000000" w:rsidRPr="00237A2C">
          <w:headerReference w:type="default" r:id="rId16"/>
          <w:footerReference w:type="even" r:id="rId17"/>
          <w:footerReference w:type="default" r:id="rId18"/>
          <w:pgSz w:w="11906" w:h="16838" w:code="9"/>
          <w:pgMar w:top="567" w:right="4876" w:bottom="4508" w:left="1134" w:header="227" w:footer="227" w:gutter="0"/>
          <w:cols w:space="720"/>
        </w:sectPr>
      </w:pPr>
    </w:p>
    <w:p w:rsidR="00AE50BA" w:rsidRPr="00237A2C" w:rsidRDefault="00AE50BA"/>
    <w:p w:rsidR="00AE50BA" w:rsidRPr="00237A2C" w:rsidRDefault="00AE50BA">
      <w:pPr>
        <w:sectPr w:rsidR="00000000" w:rsidRPr="00237A2C">
          <w:headerReference w:type="default" r:id="rId19"/>
          <w:footerReference w:type="default" r:id="rId20"/>
          <w:pgSz w:w="11906" w:h="16838" w:code="9"/>
          <w:pgMar w:top="567" w:right="4876" w:bottom="4508" w:left="1134" w:header="227" w:footer="227" w:gutter="0"/>
          <w:cols w:space="720"/>
        </w:sectPr>
      </w:pPr>
    </w:p>
    <w:p w:rsidR="00AE50BA" w:rsidRPr="00237A2C" w:rsidRDefault="00AE50BA">
      <w:pPr>
        <w:pStyle w:val="Rubrik1"/>
      </w:pPr>
      <w:bookmarkStart w:id="52" w:name="_Toc509125550"/>
      <w:bookmarkStart w:id="53" w:name="_Toc509737982"/>
      <w:bookmarkStart w:id="54" w:name="_Toc516991603"/>
      <w:r w:rsidRPr="00237A2C">
        <w:t>Förord</w:t>
      </w:r>
      <w:bookmarkEnd w:id="52"/>
      <w:bookmarkEnd w:id="53"/>
      <w:bookmarkEnd w:id="54"/>
    </w:p>
    <w:p w:rsidR="00AE50BA" w:rsidRPr="00237A2C" w:rsidRDefault="00AE50BA">
      <w:r w:rsidRPr="00237A2C">
        <w:t>Riksdagens revisorer beslutade i oktober 1999 att genomföra en granskning av de anslag som regeringen och Regeringskansliet disponerar (förstudie 1999/2000:3).</w:t>
      </w:r>
    </w:p>
    <w:p w:rsidR="00AE50BA" w:rsidRPr="00237A2C" w:rsidRDefault="00AE50BA">
      <w:pPr>
        <w:pStyle w:val="Normaltindrag"/>
      </w:pPr>
      <w:r w:rsidRPr="00237A2C">
        <w:t>Granskningen omfattar tio anslag som står till regeringens disposition och där regeringen själv beslutar om bidragsfördelningen. Granskningen, som är förvaltningspolitisk till sin karaktär, baseras på dokumentstudier och inte</w:t>
      </w:r>
      <w:r w:rsidRPr="00237A2C">
        <w:t>r</w:t>
      </w:r>
      <w:r w:rsidRPr="00237A2C">
        <w:t>vjuer. Koncentration sker främst till frågor om styrning, insyn och kontroll i samband med att regeringen fungerar som genomförandeorgan. En central fråga är hur samspelet mellan riksdag och regering fungerar i de aktuella fallen. Samtidigt behandlas också rollfördelningen mellan departementen och de statliga myndigheterna. För belysning av den senare frågan har en forska</w:t>
      </w:r>
      <w:r w:rsidRPr="00237A2C">
        <w:t>r</w:t>
      </w:r>
      <w:r w:rsidRPr="00237A2C">
        <w:t>rapport om den s.k. svenska förvaltningsmodellen utarbetats på uppdrag av revisorerna. Undersökningen har bifogats denna granskningsrapp</w:t>
      </w:r>
      <w:r w:rsidRPr="00237A2C">
        <w:t>ort.</w:t>
      </w:r>
    </w:p>
    <w:p w:rsidR="00AE50BA" w:rsidRPr="00237A2C" w:rsidRDefault="00AE50BA">
      <w:pPr>
        <w:pStyle w:val="Normaltindrag"/>
      </w:pPr>
      <w:r w:rsidRPr="00237A2C">
        <w:t>Föreliggande rapport har utarbetats inom revisorernas första avdelning. I avdelningen ingår följande ledamöter och suppleanter: Ingemar Josefsson (s), ordförande, Karl-Gösta Svenson (m), vice ordförande, Agneta Lundberg (s), Björn Kaaling (s), Sten Lundström (v), Gunilla Tjernberg (kd), Patrik Nori</w:t>
      </w:r>
      <w:r w:rsidRPr="00237A2C">
        <w:t>n</w:t>
      </w:r>
      <w:r w:rsidRPr="00237A2C">
        <w:t>der (m) och Ronny Kor</w:t>
      </w:r>
      <w:r w:rsidRPr="00237A2C">
        <w:t>s</w:t>
      </w:r>
      <w:r w:rsidRPr="00237A2C">
        <w:t>berg (mp).</w:t>
      </w:r>
    </w:p>
    <w:p w:rsidR="00AE50BA" w:rsidRPr="00237A2C" w:rsidRDefault="00AE50BA">
      <w:pPr>
        <w:pStyle w:val="Normaltindrag"/>
      </w:pPr>
      <w:r w:rsidRPr="00237A2C">
        <w:t>Inom revisorernas kansli har granskningsarbetet utförts av revisionsdire</w:t>
      </w:r>
      <w:r w:rsidRPr="00237A2C">
        <w:t>k</w:t>
      </w:r>
      <w:r w:rsidRPr="00237A2C">
        <w:t>tör Jörgen Nilsson. Även kanslichef Åke Dahlberg har deltagit i arb</w:t>
      </w:r>
      <w:r w:rsidRPr="00237A2C">
        <w:t>e</w:t>
      </w:r>
      <w:r w:rsidRPr="00237A2C">
        <w:t>tet.</w:t>
      </w:r>
    </w:p>
    <w:p w:rsidR="00AE50BA" w:rsidRPr="00237A2C" w:rsidRDefault="00AE50BA">
      <w:pPr>
        <w:pStyle w:val="Normaltindrag"/>
      </w:pPr>
      <w:r w:rsidRPr="00237A2C">
        <w:t>Innehållet i denna rapport fastställdes av revisorerna i plenum den 22 mars 2001.</w:t>
      </w:r>
    </w:p>
    <w:p w:rsidR="00AE50BA" w:rsidRPr="00237A2C" w:rsidRDefault="00AE50BA">
      <w:pPr>
        <w:pStyle w:val="Rubrik1"/>
        <w:sectPr w:rsidR="00000000" w:rsidRPr="00237A2C">
          <w:headerReference w:type="default" r:id="rId21"/>
          <w:pgSz w:w="11906" w:h="16838" w:code="9"/>
          <w:pgMar w:top="567" w:right="4876" w:bottom="4508" w:left="1134" w:header="227" w:footer="227" w:gutter="0"/>
          <w:cols w:space="720"/>
        </w:sectPr>
      </w:pPr>
      <w:bookmarkStart w:id="55" w:name="_Toc509125551"/>
    </w:p>
    <w:p w:rsidR="00AE50BA" w:rsidRPr="00237A2C" w:rsidRDefault="00AE50BA">
      <w:pPr>
        <w:pStyle w:val="Rubrik1"/>
      </w:pPr>
      <w:bookmarkStart w:id="56" w:name="_Toc509125553"/>
      <w:bookmarkStart w:id="57" w:name="_Toc509737984"/>
      <w:bookmarkStart w:id="58" w:name="_Toc516991604"/>
      <w:bookmarkEnd w:id="55"/>
      <w:r w:rsidRPr="00237A2C">
        <w:t>Sammanfattning</w:t>
      </w:r>
      <w:bookmarkEnd w:id="57"/>
      <w:bookmarkEnd w:id="58"/>
    </w:p>
    <w:p w:rsidR="00AE50BA" w:rsidRPr="00237A2C" w:rsidRDefault="00AE50BA">
      <w:pPr>
        <w:pStyle w:val="Rubrik2"/>
      </w:pPr>
      <w:bookmarkStart w:id="59" w:name="_Toc509737985"/>
      <w:bookmarkStart w:id="60" w:name="_Toc516991605"/>
      <w:r w:rsidRPr="00237A2C">
        <w:t>Inledning</w:t>
      </w:r>
      <w:bookmarkEnd w:id="56"/>
      <w:bookmarkEnd w:id="59"/>
      <w:bookmarkEnd w:id="60"/>
    </w:p>
    <w:p w:rsidR="00AE50BA" w:rsidRPr="00237A2C" w:rsidRDefault="00AE50BA">
      <w:r w:rsidRPr="00237A2C">
        <w:t>Av statsbudgetens drygt 500 anslag står cirka en fjärdedel helt eller delvis (i form av s.k. anslagsposter) till regeringens eller Regeringskansliets dispos</w:t>
      </w:r>
      <w:r w:rsidRPr="00237A2C">
        <w:t>i</w:t>
      </w:r>
      <w:r w:rsidRPr="00237A2C">
        <w:t>tion. Under budgetåren 1997</w:t>
      </w:r>
      <w:r w:rsidRPr="00237A2C">
        <w:sym w:font="Symbol" w:char="F02D"/>
      </w:r>
      <w:r w:rsidRPr="00237A2C">
        <w:t>2000 handlade det om  12</w:t>
      </w:r>
      <w:r w:rsidRPr="00237A2C">
        <w:sym w:font="Symbol" w:char="F02D"/>
      </w:r>
      <w:r w:rsidRPr="00237A2C">
        <w:t>20 miljarder kronor per år eller 2</w:t>
      </w:r>
      <w:r w:rsidRPr="00237A2C">
        <w:sym w:font="Symbol" w:char="F02D"/>
      </w:r>
      <w:r w:rsidRPr="00237A2C">
        <w:t>3 % av statsbudgetens totala omslu</w:t>
      </w:r>
      <w:r w:rsidRPr="00237A2C">
        <w:t>t</w:t>
      </w:r>
      <w:r w:rsidRPr="00237A2C">
        <w:t>ning.</w:t>
      </w:r>
    </w:p>
    <w:p w:rsidR="00AE50BA" w:rsidRPr="00237A2C" w:rsidRDefault="00AE50BA">
      <w:r w:rsidRPr="00237A2C">
        <w:t>Granskningen omfattar tio av dessa anslag. För de anslag som studerats gäller att regeringen valt att ta på sig operativa uppgifter genom att själv besluta om fördelningen av bidrag för olika ändamål, uppgifter som enligt svensk förvaltningstradition normalt handhas av myndigheter som lyder under regeringen. I granskningen ingår större delen av de medel i projek</w:t>
      </w:r>
      <w:r w:rsidRPr="00237A2C">
        <w:t>t</w:t>
      </w:r>
      <w:r w:rsidRPr="00237A2C">
        <w:t>form som regeringen fördelat under den aktuella perioden, i genomsnitt ca 4 milja</w:t>
      </w:r>
      <w:r w:rsidRPr="00237A2C">
        <w:t>r</w:t>
      </w:r>
      <w:r w:rsidRPr="00237A2C">
        <w:t xml:space="preserve">der kronor årligen. </w:t>
      </w:r>
    </w:p>
    <w:p w:rsidR="00AE50BA" w:rsidRPr="00237A2C" w:rsidRDefault="00AE50BA">
      <w:pPr>
        <w:pStyle w:val="Normaltindrag"/>
        <w:rPr>
          <w:sz w:val="20"/>
        </w:rPr>
      </w:pPr>
      <w:r w:rsidRPr="00237A2C">
        <w:t>Tyngdpunkten har varit att studera hur styrning, insyn och kontroll – ut</w:t>
      </w:r>
      <w:r w:rsidRPr="00237A2C">
        <w:t>i</w:t>
      </w:r>
      <w:r w:rsidRPr="00237A2C">
        <w:t>från främst riksdagens perspektiv – fungerar i de fall då regeringen själv ansvarar för beredning, beslut och genomförande. Granskningen är övergr</w:t>
      </w:r>
      <w:r w:rsidRPr="00237A2C">
        <w:t>i</w:t>
      </w:r>
      <w:r w:rsidRPr="00237A2C">
        <w:t>pande till sin inriktning och gäller inte de aktuella anslagens använ</w:t>
      </w:r>
      <w:r w:rsidRPr="00237A2C">
        <w:t>d</w:t>
      </w:r>
      <w:r w:rsidRPr="00237A2C">
        <w:t>ning.</w:t>
      </w:r>
    </w:p>
    <w:p w:rsidR="00AE50BA" w:rsidRPr="00237A2C" w:rsidRDefault="00AE50BA">
      <w:pPr>
        <w:pStyle w:val="Normaltindrag"/>
      </w:pPr>
      <w:r w:rsidRPr="00237A2C">
        <w:t>Utöver de studerade anslagen finns ett stort antal andra anslag som reg</w:t>
      </w:r>
      <w:r w:rsidRPr="00237A2C">
        <w:t>e</w:t>
      </w:r>
      <w:r w:rsidRPr="00237A2C">
        <w:t>ringen och Regeringskansliet disponerar, t.ex. förvaltningsanslagen till d</w:t>
      </w:r>
      <w:r w:rsidRPr="00237A2C">
        <w:t>e</w:t>
      </w:r>
      <w:r w:rsidRPr="00237A2C">
        <w:t>partementen, bidrag till olika internationella organisationer, anslag till olika utvecklings- och informationsinsatser, medel för jämställdhetsarbete och vissa forskningspengar.</w:t>
      </w:r>
    </w:p>
    <w:p w:rsidR="00AE50BA" w:rsidRPr="00237A2C" w:rsidRDefault="00AE50BA">
      <w:pPr>
        <w:pStyle w:val="Normaltindrag"/>
        <w:rPr>
          <w:i/>
          <w:sz w:val="20"/>
        </w:rPr>
      </w:pPr>
      <w:r w:rsidRPr="00237A2C">
        <w:t>Fem av studerade anslagen gäller bidrag till kommunsektorn, nämligen a</w:t>
      </w:r>
      <w:r w:rsidRPr="00237A2C">
        <w:t>n</w:t>
      </w:r>
      <w:r w:rsidRPr="00237A2C">
        <w:t xml:space="preserve">slagen till </w:t>
      </w:r>
      <w:r w:rsidRPr="00237A2C">
        <w:rPr>
          <w:i/>
        </w:rPr>
        <w:t>Särskilda insatser i vissa kommuner och landsting</w:t>
      </w:r>
      <w:r w:rsidRPr="00237A2C">
        <w:t xml:space="preserve"> (Kommundel</w:t>
      </w:r>
      <w:r w:rsidRPr="00237A2C">
        <w:t>e</w:t>
      </w:r>
      <w:r w:rsidRPr="00237A2C">
        <w:t xml:space="preserve">gationen respektive Bostadsdelegationen), </w:t>
      </w:r>
      <w:r w:rsidRPr="00237A2C">
        <w:rPr>
          <w:i/>
        </w:rPr>
        <w:t>Särskilda insatser i utsatta b</w:t>
      </w:r>
      <w:r w:rsidRPr="00237A2C">
        <w:rPr>
          <w:i/>
        </w:rPr>
        <w:t>o</w:t>
      </w:r>
      <w:r w:rsidRPr="00237A2C">
        <w:rPr>
          <w:i/>
        </w:rPr>
        <w:t>stadsområden</w:t>
      </w:r>
      <w:r w:rsidRPr="00237A2C">
        <w:t xml:space="preserve"> (de s.k. Blommanpengarna), </w:t>
      </w:r>
      <w:r w:rsidRPr="00237A2C">
        <w:rPr>
          <w:i/>
        </w:rPr>
        <w:t>Kunskapslyftet</w:t>
      </w:r>
      <w:r w:rsidRPr="00237A2C">
        <w:t xml:space="preserve">, </w:t>
      </w:r>
      <w:r w:rsidRPr="00237A2C">
        <w:rPr>
          <w:i/>
        </w:rPr>
        <w:t>De lokala inve</w:t>
      </w:r>
      <w:r w:rsidRPr="00237A2C">
        <w:rPr>
          <w:i/>
        </w:rPr>
        <w:t>s</w:t>
      </w:r>
      <w:r w:rsidRPr="00237A2C">
        <w:rPr>
          <w:i/>
        </w:rPr>
        <w:t>teringsprogrammen</w:t>
      </w:r>
      <w:r w:rsidRPr="00237A2C">
        <w:t xml:space="preserve">, samt </w:t>
      </w:r>
      <w:r w:rsidRPr="00237A2C">
        <w:rPr>
          <w:i/>
        </w:rPr>
        <w:t xml:space="preserve">IT i skolan </w:t>
      </w:r>
      <w:r w:rsidRPr="00237A2C">
        <w:t>(ItiS</w:t>
      </w:r>
      <w:r w:rsidRPr="00237A2C">
        <w:rPr>
          <w:i/>
        </w:rPr>
        <w:t xml:space="preserve">). </w:t>
      </w:r>
    </w:p>
    <w:p w:rsidR="00AE50BA" w:rsidRPr="00237A2C" w:rsidRDefault="00AE50BA">
      <w:pPr>
        <w:pStyle w:val="Normaltindrag"/>
      </w:pPr>
      <w:r w:rsidRPr="00237A2C">
        <w:t>Den största enskilda satsningen gäller Kunskapslyftet, som under perioden 1997</w:t>
      </w:r>
      <w:r w:rsidRPr="00237A2C">
        <w:sym w:font="Symbol" w:char="F02D"/>
      </w:r>
      <w:r w:rsidRPr="00237A2C">
        <w:t>2000 omfattar ca 15 miljarder kronor och under hela perioden fram t.o.m. år 2003 ca 24 miljarder kronor. Anslagen till särskilda insatser i ko</w:t>
      </w:r>
      <w:r w:rsidRPr="00237A2C">
        <w:t>m</w:t>
      </w:r>
      <w:r w:rsidRPr="00237A2C">
        <w:t>muner och landsting resp. till de lokala investeringsprogrammen är båda på  6,6 miljarder kronor. Satsningarna på utsatta bostadsområden respektive IT i skolan omfattar ca 1,5 mi</w:t>
      </w:r>
      <w:r w:rsidRPr="00237A2C">
        <w:t>l</w:t>
      </w:r>
      <w:r w:rsidRPr="00237A2C">
        <w:t>jarder kronor vardera.</w:t>
      </w:r>
    </w:p>
    <w:p w:rsidR="00AE50BA" w:rsidRPr="00237A2C" w:rsidRDefault="00AE50BA">
      <w:pPr>
        <w:pStyle w:val="Normaltindrag"/>
      </w:pPr>
      <w:r w:rsidRPr="00237A2C">
        <w:t>I granskningen ingår också de tre paket på vardera 1 miljard kronor som riksdagen tog ställning till sommaren 1996 i samband med behandlingen av regeringens propositi</w:t>
      </w:r>
      <w:r w:rsidRPr="00237A2C">
        <w:t xml:space="preserve">on om halvering av arbetslösheten till år 2000 (prop. 1995/96:222), dvs. den första </w:t>
      </w:r>
      <w:r w:rsidRPr="00237A2C">
        <w:rPr>
          <w:i/>
        </w:rPr>
        <w:t>Östersjömiljarden, Kretsloppsmiljarden</w:t>
      </w:r>
      <w:r w:rsidRPr="00237A2C">
        <w:t xml:space="preserve"> och </w:t>
      </w:r>
      <w:r w:rsidRPr="00237A2C">
        <w:rPr>
          <w:i/>
        </w:rPr>
        <w:t>Småföretagsmiljarden</w:t>
      </w:r>
      <w:r w:rsidRPr="00237A2C">
        <w:t>. Riksdagen beslutade sedermera våren 1998 att anslå ytterligare 1 miljard kronor under en femårsperiod för näringslivsutveckling i Östersjöregionen (den andra Östersjömiljarden). Som jämförelse har även två i sammanhanget mindre anslag studerats där regeringen närmast fungerar i en strategisk roll. Det gäller två anslag inom Finansdepartementets ansvars-område f</w:t>
      </w:r>
      <w:r w:rsidRPr="00237A2C">
        <w:t xml:space="preserve">ör </w:t>
      </w:r>
      <w:r w:rsidRPr="00237A2C">
        <w:rPr>
          <w:i/>
        </w:rPr>
        <w:t>utvecklingsarbete</w:t>
      </w:r>
      <w:r w:rsidRPr="00237A2C">
        <w:t xml:space="preserve"> (ca 100 miljoner kronor) och  </w:t>
      </w:r>
      <w:r w:rsidRPr="00237A2C">
        <w:rPr>
          <w:i/>
        </w:rPr>
        <w:t>kontrollinsatser</w:t>
      </w:r>
      <w:r w:rsidRPr="00237A2C">
        <w:t xml:space="preserve"> i statsförval</w:t>
      </w:r>
      <w:r w:rsidRPr="00237A2C">
        <w:t>t</w:t>
      </w:r>
      <w:r w:rsidRPr="00237A2C">
        <w:t xml:space="preserve">ningen (ca 300 miljoner kronor). </w:t>
      </w:r>
    </w:p>
    <w:p w:rsidR="00AE50BA" w:rsidRPr="00237A2C" w:rsidRDefault="00AE50BA">
      <w:pPr>
        <w:pStyle w:val="Rubrik2"/>
      </w:pPr>
      <w:bookmarkStart w:id="61" w:name="_Toc509125554"/>
      <w:bookmarkStart w:id="62" w:name="_Toc509737986"/>
      <w:bookmarkStart w:id="63" w:name="_Toc516991606"/>
      <w:r w:rsidRPr="00237A2C">
        <w:t>Revisorernas slutsatser och förslag</w:t>
      </w:r>
      <w:bookmarkEnd w:id="61"/>
      <w:bookmarkEnd w:id="62"/>
      <w:bookmarkEnd w:id="63"/>
    </w:p>
    <w:p w:rsidR="00AE50BA" w:rsidRPr="00237A2C" w:rsidRDefault="00AE50BA">
      <w:r w:rsidRPr="00237A2C">
        <w:t xml:space="preserve">Revisorerna anger inledningsvis sin </w:t>
      </w:r>
      <w:r w:rsidRPr="00237A2C">
        <w:rPr>
          <w:i/>
        </w:rPr>
        <w:t>principiella syn</w:t>
      </w:r>
      <w:r w:rsidRPr="00237A2C">
        <w:t xml:space="preserve"> på regeringen som b</w:t>
      </w:r>
      <w:r w:rsidRPr="00237A2C">
        <w:t>i</w:t>
      </w:r>
      <w:r w:rsidRPr="00237A2C">
        <w:t>dragsfördelare.</w:t>
      </w:r>
      <w:r w:rsidRPr="00237A2C">
        <w:rPr>
          <w:sz w:val="20"/>
        </w:rPr>
        <w:t xml:space="preserve"> </w:t>
      </w:r>
      <w:r w:rsidRPr="00237A2C">
        <w:t xml:space="preserve">Revisorerna understryker att förslagen syftar  till att stärka riksdagens roll i samband med beredning, beslutsfattande och kontroll av anslag som står till regeringens disposition. För de fall där regeringen väljer att ta på sig operativa uppgifter genom att själv fördela bidrag bör strävan vara att få till stånd en stramare hantering. </w:t>
      </w:r>
    </w:p>
    <w:p w:rsidR="00AE50BA" w:rsidRPr="00237A2C" w:rsidRDefault="00AE50BA">
      <w:pPr>
        <w:pStyle w:val="Normaltindrag"/>
      </w:pPr>
      <w:r w:rsidRPr="00237A2C">
        <w:t>Revisorerna betonar att regeringens främsta uppgift i förhållande till fö</w:t>
      </w:r>
      <w:r w:rsidRPr="00237A2C">
        <w:t>r</w:t>
      </w:r>
      <w:r w:rsidRPr="00237A2C">
        <w:t xml:space="preserve">valtningen gäller ledning, styrning och samordning. Revisorerna konstaterar samtidigt </w:t>
      </w:r>
      <w:r w:rsidRPr="00237A2C">
        <w:sym w:font="Symbol" w:char="F02D"/>
      </w:r>
      <w:r w:rsidRPr="00237A2C">
        <w:t xml:space="preserve"> mot bakgrund av det underlag som tagits fram </w:t>
      </w:r>
      <w:r w:rsidRPr="00237A2C">
        <w:sym w:font="Symbol" w:char="F02D"/>
      </w:r>
      <w:r w:rsidRPr="00237A2C">
        <w:t xml:space="preserve"> att det faktum att regeringen tar på sig vissa förvaltningsuppgifter i och för sig går att fö</w:t>
      </w:r>
      <w:r w:rsidRPr="00237A2C">
        <w:t>r</w:t>
      </w:r>
      <w:r w:rsidRPr="00237A2C">
        <w:t>ena med den svenska förvaltning</w:t>
      </w:r>
      <w:r w:rsidRPr="00237A2C">
        <w:t>s</w:t>
      </w:r>
      <w:r w:rsidRPr="00237A2C">
        <w:t xml:space="preserve">modellen. </w:t>
      </w:r>
    </w:p>
    <w:p w:rsidR="00AE50BA" w:rsidRPr="00237A2C" w:rsidRDefault="00AE50BA">
      <w:pPr>
        <w:pStyle w:val="Normaltindrag"/>
      </w:pPr>
      <w:r w:rsidRPr="00237A2C">
        <w:t xml:space="preserve">Att regeringen själv hanterar enskilda bidragssystem bör emellertid enligt revisorerna </w:t>
      </w:r>
      <w:r w:rsidRPr="00237A2C">
        <w:rPr>
          <w:i/>
        </w:rPr>
        <w:t>endast förekomma i undantagsfall</w:t>
      </w:r>
      <w:r w:rsidRPr="00237A2C">
        <w:t>. Om regeringen väljer att fullgöra operativa uppgifter inom budgetområdet bör utgångspunkten vara att samma krav på styrning och kontroll ställs på regeringen och Regering</w:t>
      </w:r>
      <w:r w:rsidRPr="00237A2C">
        <w:t>s</w:t>
      </w:r>
      <w:r w:rsidRPr="00237A2C">
        <w:t>kansliet som på myndigheter under regeringen.</w:t>
      </w:r>
    </w:p>
    <w:p w:rsidR="00AE50BA" w:rsidRPr="00237A2C" w:rsidRDefault="00AE50BA">
      <w:pPr>
        <w:pStyle w:val="Normaltindrag"/>
      </w:pPr>
      <w:r w:rsidRPr="00237A2C">
        <w:t xml:space="preserve">Revisorerna förordar vidare en </w:t>
      </w:r>
      <w:r w:rsidRPr="00237A2C">
        <w:rPr>
          <w:i/>
        </w:rPr>
        <w:t>restriktiv användning av stöd i projektform</w:t>
      </w:r>
      <w:r w:rsidRPr="00237A2C">
        <w:t>. Huvuddelen av de anslag till regeringens disposition som studerats i grans</w:t>
      </w:r>
      <w:r w:rsidRPr="00237A2C">
        <w:t>k</w:t>
      </w:r>
      <w:r w:rsidRPr="00237A2C">
        <w:t xml:space="preserve">ningen gäller bidragsgivning i projektform. För flera av de mest omfattande projektstöden handlar det om bidragsgivning till kommuner. </w:t>
      </w:r>
    </w:p>
    <w:p w:rsidR="00AE50BA" w:rsidRPr="00237A2C" w:rsidRDefault="00AE50BA">
      <w:pPr>
        <w:pStyle w:val="Normaltindrag"/>
      </w:pPr>
      <w:r w:rsidRPr="00237A2C">
        <w:t>Grundprincipen bör enligt revisorerna vara att statliga medel till olika o</w:t>
      </w:r>
      <w:r w:rsidRPr="00237A2C">
        <w:t>f</w:t>
      </w:r>
      <w:r w:rsidRPr="00237A2C">
        <w:t>fentliga verksamheter ska fördelas i generella termer, efter förutbestämda kriterier och till den ordinarie verksamheten. Det gäller inte minst statligt stöd till kommuner.</w:t>
      </w:r>
    </w:p>
    <w:p w:rsidR="00AE50BA" w:rsidRPr="00237A2C" w:rsidRDefault="00AE50BA">
      <w:pPr>
        <w:pStyle w:val="Normaltindrag"/>
      </w:pPr>
      <w:r w:rsidRPr="00237A2C">
        <w:t>Även om regeringen endast undantagsvis själv bör fördela bidrag kan det enligt revisorerna i vissa fall vara ändamålsenligt att regeringen tar på sig ett sådant operativt ansvar. Det kan t.ex. vara ändamålsenligt i ett initialt skede där ställningstaganden krävs av regeringen som politiskt organ eller när frågor spänner över flera sekto</w:t>
      </w:r>
      <w:r w:rsidRPr="00237A2C">
        <w:t>rer. Utgångspunkten i sådana fall bör vara att detta görs under en begränsad tid och att beslutanderätt och beredningsansvar därefter förs över till en förvaltningsmyndighet under regeringen. Grundpri</w:t>
      </w:r>
      <w:r w:rsidRPr="00237A2C">
        <w:t>n</w:t>
      </w:r>
      <w:r w:rsidRPr="00237A2C">
        <w:t>cipen måste enligt revisorerna vara att statliga satsningar och program g</w:t>
      </w:r>
      <w:r w:rsidRPr="00237A2C">
        <w:t>e</w:t>
      </w:r>
      <w:r w:rsidRPr="00237A2C">
        <w:t xml:space="preserve">nomförs av statliga myndigheter under regeringen. </w:t>
      </w:r>
    </w:p>
    <w:p w:rsidR="00AE50BA" w:rsidRPr="00237A2C" w:rsidRDefault="00AE50BA">
      <w:pPr>
        <w:pStyle w:val="Normaltindrag"/>
      </w:pPr>
      <w:r w:rsidRPr="00237A2C">
        <w:t>Om regeringen själv avser att fungera som bidragsfördelare bör detta enligt revisorerna anmälas och motiveras i samband med att budgetförslag prese</w:t>
      </w:r>
      <w:r w:rsidRPr="00237A2C">
        <w:t>n</w:t>
      </w:r>
      <w:r w:rsidRPr="00237A2C">
        <w:t xml:space="preserve">teras för riksdagen. Så har i regel inte skett för de anslag som revisorerna granskat. </w:t>
      </w:r>
    </w:p>
    <w:p w:rsidR="00AE50BA" w:rsidRPr="00237A2C" w:rsidRDefault="00AE50BA">
      <w:pPr>
        <w:pStyle w:val="Normaltindrag"/>
      </w:pPr>
      <w:r w:rsidRPr="00237A2C">
        <w:t xml:space="preserve">Enligt revisorerna behöver riksdagen i sammanhanget också </w:t>
      </w:r>
      <w:r w:rsidRPr="00237A2C">
        <w:rPr>
          <w:i/>
        </w:rPr>
        <w:t>ett bättre b</w:t>
      </w:r>
      <w:r w:rsidRPr="00237A2C">
        <w:rPr>
          <w:i/>
        </w:rPr>
        <w:t>e</w:t>
      </w:r>
      <w:r w:rsidRPr="00237A2C">
        <w:rPr>
          <w:i/>
        </w:rPr>
        <w:t>slutsunderlag och en utökad resultatrapportering.</w:t>
      </w:r>
      <w:r w:rsidRPr="00237A2C">
        <w:t xml:space="preserve"> Revisorerna konstaterar att redovisningen till riksdagen av mål och resultat för de studerade anslagen är av ojämn kvalitet. Enligt revisorerna bör bestämmelserna i budgetlagen (2 §) om redovisningen till riksdagen tillämpas på ett likartat sätt oavsett om det är en vanlig statlig myndighet eller regeringen själv som hanterar statliga medel. Regeringen bör mot denna bakgrund se till att tillämpningen förbät</w:t>
      </w:r>
      <w:r w:rsidRPr="00237A2C">
        <w:t>t</w:t>
      </w:r>
      <w:r w:rsidRPr="00237A2C">
        <w:t>ras, t.ex. genom ändrade riktlinjer fö</w:t>
      </w:r>
      <w:r w:rsidRPr="00237A2C">
        <w:t xml:space="preserve">r budgetpropositionens utformning eller genom en ändring och precisering av budgetlagen. </w:t>
      </w:r>
    </w:p>
    <w:p w:rsidR="00AE50BA" w:rsidRPr="00237A2C" w:rsidRDefault="00AE50BA">
      <w:pPr>
        <w:pStyle w:val="Normaltindrag"/>
      </w:pPr>
      <w:r w:rsidRPr="00237A2C">
        <w:rPr>
          <w:i/>
        </w:rPr>
        <w:t>Regeringens bidragshantering  måste också förbättras</w:t>
      </w:r>
      <w:r w:rsidRPr="00237A2C">
        <w:t>. Revisorernas bild är att en successiv och välbehövlig uppstramning har skett av berednings- och beslutsprocessen under perioden 1996</w:t>
      </w:r>
      <w:r w:rsidRPr="00237A2C">
        <w:sym w:font="Symbol" w:char="F02D"/>
      </w:r>
      <w:r w:rsidRPr="00237A2C">
        <w:t>2000. Stöden styrs numera för flera av anslagen av särskilda förordningar. Samtidigt noteras att flera av förordningarna är oprecisa och ger stort utrymme för tolkning. För flera av anslagen föregås vidare regeringens bidragsbeslut numera av särskilda del</w:t>
      </w:r>
      <w:r w:rsidRPr="00237A2C">
        <w:t>e</w:t>
      </w:r>
      <w:r w:rsidRPr="00237A2C">
        <w:t>gationer.</w:t>
      </w:r>
    </w:p>
    <w:p w:rsidR="00AE50BA" w:rsidRPr="00237A2C" w:rsidRDefault="00AE50BA">
      <w:pPr>
        <w:pStyle w:val="Normaltindrag"/>
      </w:pPr>
      <w:r w:rsidRPr="00237A2C">
        <w:t xml:space="preserve">Revisorerna anser vidare att regeringens beslut om fördelning av stöd i projektform i princip </w:t>
      </w:r>
      <w:r w:rsidRPr="00237A2C">
        <w:rPr>
          <w:i/>
        </w:rPr>
        <w:t>bör regleras i en författning</w:t>
      </w:r>
      <w:r w:rsidRPr="00237A2C">
        <w:t>. Det är därvid viktigt att i en sådan författning så lång möjligt preciseras de kriterier som ska gälla för bidragsgivningen. Inte minst viktigt är att stöd till kommunsektorn sker i författningsreglerad och för mottagarna förutsebar ordning. Revisorerna menar också att det av författningarna ska framgå hur uppföljning och utvä</w:t>
      </w:r>
      <w:r w:rsidRPr="00237A2C">
        <w:t>r</w:t>
      </w:r>
      <w:r w:rsidRPr="00237A2C">
        <w:t>dering av de beslutade bidragen ska göras.</w:t>
      </w:r>
    </w:p>
    <w:p w:rsidR="00AE50BA" w:rsidRPr="00237A2C" w:rsidRDefault="00AE50BA">
      <w:pPr>
        <w:pStyle w:val="Normaltindrag"/>
      </w:pPr>
      <w:r w:rsidRPr="00237A2C">
        <w:t xml:space="preserve">Revisorerna anser också att det kan vara lämpligt att i regel </w:t>
      </w:r>
      <w:r w:rsidRPr="00237A2C">
        <w:rPr>
          <w:i/>
        </w:rPr>
        <w:t>skapa särski</w:t>
      </w:r>
      <w:r w:rsidRPr="00237A2C">
        <w:rPr>
          <w:i/>
        </w:rPr>
        <w:t>l</w:t>
      </w:r>
      <w:r w:rsidRPr="00237A2C">
        <w:rPr>
          <w:i/>
        </w:rPr>
        <w:t>da delegationer</w:t>
      </w:r>
      <w:r w:rsidRPr="00237A2C">
        <w:t xml:space="preserve"> med uppgift att svara för berednings- och beslutsuppgifter. Därigenom underlättas medverkan av extern expertis liksom av olika intre</w:t>
      </w:r>
      <w:r w:rsidRPr="00237A2C">
        <w:t>s</w:t>
      </w:r>
      <w:r w:rsidRPr="00237A2C">
        <w:t xml:space="preserve">senter. </w:t>
      </w:r>
    </w:p>
    <w:p w:rsidR="00AE50BA" w:rsidRPr="00237A2C" w:rsidRDefault="00AE50BA">
      <w:pPr>
        <w:pStyle w:val="Normaltindrag"/>
      </w:pPr>
      <w:r w:rsidRPr="00237A2C">
        <w:t xml:space="preserve">Slutligen behöver enligt revisorerna </w:t>
      </w:r>
      <w:r w:rsidRPr="00237A2C">
        <w:rPr>
          <w:i/>
        </w:rPr>
        <w:t>kraven på redovisning och revision skärpas.</w:t>
      </w:r>
      <w:r w:rsidRPr="00237A2C">
        <w:t xml:space="preserve"> Enligt förordningen (1996:1515) med instruktion för Regering</w:t>
      </w:r>
      <w:r w:rsidRPr="00237A2C">
        <w:t>s</w:t>
      </w:r>
      <w:r w:rsidRPr="00237A2C">
        <w:t xml:space="preserve">kansliet (45 §) ska Regeringskansliet tillämpa de ekonomiadministrativa bestämmelser som gäller för myndigheter under regeringen, med undantag för bestämmelserna om resultatredovisning. Bakgrunden till undantaget är svårigheterna att mäta och bedöma resultat i en i hög grad politiskt styrd organisation av det slag som Regeringskansliet utgör. </w:t>
      </w:r>
    </w:p>
    <w:p w:rsidR="00AE50BA" w:rsidRPr="00237A2C" w:rsidRDefault="00AE50BA">
      <w:pPr>
        <w:pStyle w:val="Normaltindrag"/>
      </w:pPr>
      <w:r w:rsidRPr="00237A2C">
        <w:t xml:space="preserve">Revisorerna anser att det finns starka skäl  för att </w:t>
      </w:r>
      <w:r w:rsidRPr="00237A2C">
        <w:rPr>
          <w:i/>
        </w:rPr>
        <w:t>Regeringskansliet ska likställas med andra myndigheter  när det gäller resultatredovisning</w:t>
      </w:r>
      <w:r w:rsidRPr="00237A2C">
        <w:t xml:space="preserve"> om regeringen väljer att ta på sig uppgifter som normalt ankommer på myndi</w:t>
      </w:r>
      <w:r w:rsidRPr="00237A2C">
        <w:t>g</w:t>
      </w:r>
      <w:r w:rsidRPr="00237A2C">
        <w:t>heter under regeringen. Regeringen bör därför ändra instruktionen för Reg</w:t>
      </w:r>
      <w:r w:rsidRPr="00237A2C">
        <w:t>e</w:t>
      </w:r>
      <w:r w:rsidRPr="00237A2C">
        <w:t xml:space="preserve">ringskansliet på denna punkt. Därigenom förbättras också förutsättningarna för en fördjupad resultatåterföring till riksdagen. </w:t>
      </w:r>
    </w:p>
    <w:p w:rsidR="00AE50BA" w:rsidRPr="00237A2C" w:rsidRDefault="00AE50BA">
      <w:pPr>
        <w:pStyle w:val="Normaltindrag"/>
      </w:pPr>
      <w:r w:rsidRPr="00237A2C">
        <w:t xml:space="preserve">Regeringskansliet bör också överväga ett antal </w:t>
      </w:r>
      <w:r w:rsidRPr="00237A2C">
        <w:rPr>
          <w:i/>
        </w:rPr>
        <w:t>förändringar i den ekon</w:t>
      </w:r>
      <w:r w:rsidRPr="00237A2C">
        <w:rPr>
          <w:i/>
        </w:rPr>
        <w:t>o</w:t>
      </w:r>
      <w:r w:rsidRPr="00237A2C">
        <w:rPr>
          <w:i/>
        </w:rPr>
        <w:t xml:space="preserve">miadministrativa hanteringen </w:t>
      </w:r>
      <w:r w:rsidRPr="00237A2C">
        <w:t>av de anslag som regeringen förfogar över, bl.a. skulle en del av de anslag som regeringen nu formellt disponerar med fördel kunna flyttas över till myndigheter under regeringen. Revisorerna anser vidare att internrevisionen inom Regeringskansliet bör</w:t>
      </w:r>
      <w:r w:rsidRPr="00237A2C">
        <w:rPr>
          <w:sz w:val="20"/>
        </w:rPr>
        <w:t xml:space="preserve"> utvidgas till att även </w:t>
      </w:r>
      <w:r w:rsidRPr="00237A2C">
        <w:t>omfatta granskning av användningen av de medel regeringen dispon</w:t>
      </w:r>
      <w:r w:rsidRPr="00237A2C">
        <w:t>e</w:t>
      </w:r>
      <w:r w:rsidRPr="00237A2C">
        <w:t xml:space="preserve">rar. </w:t>
      </w:r>
    </w:p>
    <w:p w:rsidR="00AE50BA" w:rsidRPr="00237A2C" w:rsidRDefault="00AE50BA">
      <w:pPr>
        <w:pStyle w:val="Normaltindrag"/>
        <w:rPr>
          <w:sz w:val="20"/>
        </w:rPr>
      </w:pPr>
      <w:r w:rsidRPr="00237A2C">
        <w:t>Revisorerna har i samband med granskningen sammanfattningsvis kommit fram till att riksdagen bör ställa ökade kra</w:t>
      </w:r>
      <w:r w:rsidRPr="00237A2C">
        <w:t>v på regeringen i samband med att den hanterar statliga bidrag. Det gäller främst krav på ett fylligare beslutsu</w:t>
      </w:r>
      <w:r w:rsidRPr="00237A2C">
        <w:t>n</w:t>
      </w:r>
      <w:r w:rsidRPr="00237A2C">
        <w:t>derlag, förbättrad återrapportering av resultat till riksdagen, en stramare berednings- och beslutsprocess samt vissa förändringar av redovisning och revision. Revisorerna förordar att regeringen gör en samlad genomgång av de föreskrifter m.m. som behöver ändras samt redovisar resultatet för riksdagen.</w:t>
      </w:r>
    </w:p>
    <w:p w:rsidR="00AE50BA" w:rsidRPr="00237A2C" w:rsidRDefault="00AE50BA">
      <w:pPr>
        <w:rPr>
          <w:sz w:val="20"/>
        </w:rPr>
        <w:sectPr w:rsidR="00000000" w:rsidRPr="00237A2C">
          <w:headerReference w:type="default" r:id="rId22"/>
          <w:pgSz w:w="11906" w:h="16838" w:code="9"/>
          <w:pgMar w:top="567" w:right="4876" w:bottom="4508" w:left="1134" w:header="227" w:footer="227" w:gutter="0"/>
          <w:cols w:space="720"/>
        </w:sectPr>
      </w:pPr>
    </w:p>
    <w:p w:rsidR="00AE50BA" w:rsidRPr="00237A2C" w:rsidRDefault="00AE50BA">
      <w:pPr>
        <w:pStyle w:val="Rubrik1"/>
      </w:pPr>
      <w:bookmarkStart w:id="64" w:name="_Toc509125555"/>
      <w:bookmarkStart w:id="65" w:name="_Toc509737987"/>
      <w:bookmarkStart w:id="66" w:name="_Toc516991607"/>
      <w:r w:rsidRPr="00237A2C">
        <w:t>1 Bakgrund och uppläggning</w:t>
      </w:r>
      <w:bookmarkEnd w:id="64"/>
      <w:bookmarkEnd w:id="65"/>
      <w:bookmarkEnd w:id="66"/>
    </w:p>
    <w:p w:rsidR="00AE50BA" w:rsidRPr="00237A2C" w:rsidRDefault="00AE50BA">
      <w:r w:rsidRPr="00237A2C">
        <w:t>Riksdagens revisorer beslutade i oktober 1999 att genomföra en granskning av de anslag som regeringen och Regeringskansliet disponerar. Som unde</w:t>
      </w:r>
      <w:r w:rsidRPr="00237A2C">
        <w:t>r</w:t>
      </w:r>
      <w:r w:rsidRPr="00237A2C">
        <w:t>lag för beslutet låg en på revisorernas eget initiativ framtagen förstudie (Fö</w:t>
      </w:r>
      <w:r w:rsidRPr="00237A2C">
        <w:t>r</w:t>
      </w:r>
      <w:r w:rsidRPr="00237A2C">
        <w:t>studie 1999/2000:3). Viktiga frågor som enligt förstudien bör uppmärksa</w:t>
      </w:r>
      <w:r w:rsidRPr="00237A2C">
        <w:t>m</w:t>
      </w:r>
      <w:r w:rsidRPr="00237A2C">
        <w:t>mas i det fortsatta granskningsarbetet gäller kvaliteten på underlaget för besluten samt i vilken utsträckning uppföljning, utvärdering och revision av de aktuella medlen förekommer. Ytterligare en fråga är hur återrapporterin</w:t>
      </w:r>
      <w:r w:rsidRPr="00237A2C">
        <w:t>g</w:t>
      </w:r>
      <w:r w:rsidRPr="00237A2C">
        <w:t>en till riksdagen har varit utformad. Granskningsarbetet inleddes under våren 2000.</w:t>
      </w:r>
    </w:p>
    <w:p w:rsidR="00AE50BA" w:rsidRPr="00237A2C" w:rsidRDefault="00AE50BA">
      <w:pPr>
        <w:pStyle w:val="Normaltindrag"/>
      </w:pPr>
      <w:r w:rsidRPr="00237A2C">
        <w:t>Det finns ett antal olika skäl till och syften me</w:t>
      </w:r>
      <w:r w:rsidRPr="00237A2C">
        <w:t>d att regeringen själv behå</w:t>
      </w:r>
      <w:r w:rsidRPr="00237A2C">
        <w:t>l</w:t>
      </w:r>
      <w:r w:rsidRPr="00237A2C">
        <w:t xml:space="preserve">ler dispositionsrätten till vissa av de anslag som riksdagen har anvisat eller till vissa delar av anslagen (s.k. anslagsposter). Det är t.ex inte ovanligt att regeringen som </w:t>
      </w:r>
      <w:r w:rsidRPr="00237A2C">
        <w:rPr>
          <w:i/>
        </w:rPr>
        <w:t>ett led i styrningen</w:t>
      </w:r>
      <w:r w:rsidRPr="00237A2C">
        <w:t xml:space="preserve"> av en myndighet håller inne vissa medel och fördelar dessa senare under det pågående budgetåret. En annan typ av anslag som regeringen disponerar är bidragen till olika </w:t>
      </w:r>
      <w:r w:rsidRPr="00237A2C">
        <w:rPr>
          <w:i/>
        </w:rPr>
        <w:t>internationella org</w:t>
      </w:r>
      <w:r w:rsidRPr="00237A2C">
        <w:rPr>
          <w:i/>
        </w:rPr>
        <w:t>a</w:t>
      </w:r>
      <w:r w:rsidRPr="00237A2C">
        <w:rPr>
          <w:i/>
        </w:rPr>
        <w:t xml:space="preserve">nisationer </w:t>
      </w:r>
      <w:r w:rsidRPr="00237A2C">
        <w:t xml:space="preserve">liksom givetvis även </w:t>
      </w:r>
      <w:r w:rsidRPr="00237A2C">
        <w:rPr>
          <w:i/>
        </w:rPr>
        <w:t xml:space="preserve">förvaltningsanslagen </w:t>
      </w:r>
      <w:r w:rsidRPr="00237A2C">
        <w:t>till Regeringskansliet respektive Utrikesförva</w:t>
      </w:r>
      <w:r w:rsidRPr="00237A2C">
        <w:t xml:space="preserve">ltningen. I fokus för denna granskning står emellertid främst de anslag som regeringen förfogar över och där regeringen fungerar som ett </w:t>
      </w:r>
      <w:r w:rsidRPr="00237A2C">
        <w:rPr>
          <w:i/>
        </w:rPr>
        <w:t>verkställighetsorgan</w:t>
      </w:r>
      <w:r w:rsidRPr="00237A2C">
        <w:t xml:space="preserve"> genom att själv besluta om fördelningen av bidrag till olika ändamål.</w:t>
      </w:r>
    </w:p>
    <w:p w:rsidR="00AE50BA" w:rsidRPr="00237A2C" w:rsidRDefault="00AE50BA">
      <w:pPr>
        <w:pStyle w:val="Normaltindrag"/>
      </w:pPr>
      <w:r w:rsidRPr="00237A2C">
        <w:t>Exempel under senare år på denna sorts anslag är de lokala investering</w:t>
      </w:r>
      <w:r w:rsidRPr="00237A2C">
        <w:t>s</w:t>
      </w:r>
      <w:r w:rsidRPr="00237A2C">
        <w:t>programmen, Östersjömiljarderna, Kunskapslyftet, Storstadssatsningen, Kretsloppsmiljarden samt anslaget för bidrag till särskilda insatser i komm</w:t>
      </w:r>
      <w:r w:rsidRPr="00237A2C">
        <w:t>u</w:t>
      </w:r>
      <w:r w:rsidRPr="00237A2C">
        <w:t>ner och landsting (Kommun- och Bostadsdelegationerna). Uppföljning, utvärdering och granskning av flera av dessa projekt har genomförts eller håller på att genomföras av bl.a. Riksdagens revisorer och av Riksrev</w:t>
      </w:r>
      <w:r w:rsidRPr="00237A2C">
        <w:t>i</w:t>
      </w:r>
      <w:r w:rsidRPr="00237A2C">
        <w:t>sionsverket. I dessa, huvudsakligen sektoriella och sakpolitiska uppföljnin</w:t>
      </w:r>
      <w:r w:rsidRPr="00237A2C">
        <w:t>g</w:t>
      </w:r>
      <w:r w:rsidRPr="00237A2C">
        <w:t xml:space="preserve">ar, ligger tyngdpunkten på att belysa de aktuella anslagens </w:t>
      </w:r>
      <w:r w:rsidRPr="00237A2C">
        <w:rPr>
          <w:i/>
        </w:rPr>
        <w:t>användning</w:t>
      </w:r>
      <w:r w:rsidRPr="00237A2C">
        <w:t xml:space="preserve">, även </w:t>
      </w:r>
      <w:r w:rsidRPr="00237A2C">
        <w:t xml:space="preserve">om en rad andra aspekter också i regel tas upp. Den nu aktuella granskningen är till skillnad därifrån </w:t>
      </w:r>
      <w:r w:rsidRPr="00237A2C">
        <w:rPr>
          <w:i/>
        </w:rPr>
        <w:t>övergripande och principell</w:t>
      </w:r>
      <w:r w:rsidRPr="00237A2C">
        <w:t xml:space="preserve"> till sin inriktning och är snarast </w:t>
      </w:r>
      <w:r w:rsidRPr="00237A2C">
        <w:rPr>
          <w:i/>
        </w:rPr>
        <w:t>förvaltningspolitisk</w:t>
      </w:r>
      <w:r w:rsidRPr="00237A2C">
        <w:t xml:space="preserve"> till sin karaktär. Koncentration sker främst till frågor som rör styrning, insyn och kontroll i samband med att regeringen i de aktuella fallen fungerar som genomförandeorgan. </w:t>
      </w:r>
    </w:p>
    <w:p w:rsidR="00AE50BA" w:rsidRPr="00237A2C" w:rsidRDefault="00AE50BA">
      <w:pPr>
        <w:pStyle w:val="Normaltindrag"/>
      </w:pPr>
      <w:r w:rsidRPr="00237A2C">
        <w:t>Som underlag för revisorernas överväganden och förslag (kap. 7) redovisas i det följande bl.a. :</w:t>
      </w:r>
    </w:p>
    <w:p w:rsidR="00AE50BA" w:rsidRPr="00237A2C" w:rsidRDefault="00AE50BA">
      <w:pPr>
        <w:numPr>
          <w:ilvl w:val="0"/>
          <w:numId w:val="51"/>
        </w:numPr>
      </w:pPr>
      <w:r w:rsidRPr="00237A2C">
        <w:t>En genomgång av gällande regelsystem när det gäller ansvarsförde</w:t>
      </w:r>
      <w:r w:rsidRPr="00237A2C">
        <w:t>l</w:t>
      </w:r>
      <w:r w:rsidRPr="00237A2C">
        <w:t>ningen på budgetområdet (kap. 2)</w:t>
      </w:r>
    </w:p>
    <w:p w:rsidR="00AE50BA" w:rsidRPr="00237A2C" w:rsidRDefault="00AE50BA">
      <w:pPr>
        <w:numPr>
          <w:ilvl w:val="0"/>
          <w:numId w:val="8"/>
        </w:numPr>
      </w:pPr>
      <w:r w:rsidRPr="00237A2C">
        <w:t>En kartläggning och analys av omfattningen och utvecklingen av ansl</w:t>
      </w:r>
      <w:r w:rsidRPr="00237A2C">
        <w:t>a</w:t>
      </w:r>
      <w:r w:rsidRPr="00237A2C">
        <w:t>gen till regeringens disposition (kap. 3)</w:t>
      </w:r>
    </w:p>
    <w:p w:rsidR="00AE50BA" w:rsidRPr="00237A2C" w:rsidRDefault="00AE50BA">
      <w:pPr>
        <w:numPr>
          <w:ilvl w:val="0"/>
          <w:numId w:val="8"/>
        </w:numPr>
      </w:pPr>
      <w:r w:rsidRPr="00237A2C">
        <w:t>En undersökning av de utvalda anslagens hantering i budgetprocessen i form av en genomgång av beslutsunderlag, riksdagsbehandling, geno</w:t>
      </w:r>
      <w:r w:rsidRPr="00237A2C">
        <w:t>m</w:t>
      </w:r>
      <w:r w:rsidRPr="00237A2C">
        <w:t>förandefrågor, förekomsten av uppföljning och utvärdering m.m. (kap. 4 och bil. 1)</w:t>
      </w:r>
    </w:p>
    <w:p w:rsidR="00AE50BA" w:rsidRPr="00237A2C" w:rsidRDefault="00AE50BA">
      <w:pPr>
        <w:numPr>
          <w:ilvl w:val="0"/>
          <w:numId w:val="8"/>
        </w:numPr>
      </w:pPr>
      <w:r w:rsidRPr="00237A2C">
        <w:t xml:space="preserve">En genomgång av olika studier där frågor om anslag till regeringens disposition behandlats (kap. 5) </w:t>
      </w:r>
    </w:p>
    <w:p w:rsidR="00AE50BA" w:rsidRPr="00237A2C" w:rsidRDefault="00AE50BA">
      <w:pPr>
        <w:numPr>
          <w:ilvl w:val="0"/>
          <w:numId w:val="8"/>
        </w:numPr>
      </w:pPr>
      <w:r w:rsidRPr="00237A2C">
        <w:t>En studie av den svenska förvaltningsmodellen genomförd på revisore</w:t>
      </w:r>
      <w:r w:rsidRPr="00237A2C">
        <w:t>r</w:t>
      </w:r>
      <w:r w:rsidRPr="00237A2C">
        <w:t>nas uppdrag av statsvetenskaplig expertis från Uppsala universitet (kap. 6 och bil. 2))</w:t>
      </w:r>
    </w:p>
    <w:p w:rsidR="00AE50BA" w:rsidRPr="00237A2C" w:rsidRDefault="00AE50BA">
      <w:pPr>
        <w:pStyle w:val="Rubrik1"/>
      </w:pPr>
      <w:bookmarkStart w:id="67" w:name="_Toc509125556"/>
      <w:bookmarkStart w:id="68" w:name="_Toc509737988"/>
      <w:bookmarkStart w:id="69" w:name="_Toc516991608"/>
      <w:r w:rsidRPr="00237A2C">
        <w:t>2 Ansvarsfördelningen på budgetområdet</w:t>
      </w:r>
      <w:bookmarkEnd w:id="67"/>
      <w:bookmarkEnd w:id="68"/>
      <w:bookmarkEnd w:id="69"/>
    </w:p>
    <w:p w:rsidR="00AE50BA" w:rsidRPr="00237A2C" w:rsidRDefault="00AE50BA">
      <w:pPr>
        <w:pStyle w:val="Rubrik3"/>
      </w:pPr>
      <w:bookmarkStart w:id="70" w:name="_Toc509125557"/>
      <w:bookmarkStart w:id="71" w:name="_Toc509737989"/>
      <w:bookmarkStart w:id="72" w:name="_Toc516991609"/>
      <w:r w:rsidRPr="00237A2C">
        <w:t>2.1 Finansmakten</w:t>
      </w:r>
      <w:bookmarkEnd w:id="70"/>
      <w:bookmarkEnd w:id="71"/>
      <w:bookmarkEnd w:id="72"/>
      <w:r w:rsidRPr="00237A2C">
        <w:t xml:space="preserve"> </w:t>
      </w:r>
    </w:p>
    <w:p w:rsidR="00AE50BA" w:rsidRPr="00237A2C" w:rsidRDefault="00AE50BA">
      <w:r w:rsidRPr="00237A2C">
        <w:t xml:space="preserve">Finansmakten är den sammanfattande beteckningen på funktionerna </w:t>
      </w:r>
    </w:p>
    <w:p w:rsidR="00AE50BA" w:rsidRPr="00237A2C" w:rsidRDefault="00AE50BA">
      <w:pPr>
        <w:numPr>
          <w:ilvl w:val="0"/>
          <w:numId w:val="8"/>
        </w:numPr>
      </w:pPr>
      <w:r w:rsidRPr="00237A2C">
        <w:t>att bestämma om statens inkomster och</w:t>
      </w:r>
    </w:p>
    <w:p w:rsidR="00AE50BA" w:rsidRPr="00237A2C" w:rsidRDefault="00AE50BA">
      <w:pPr>
        <w:numPr>
          <w:ilvl w:val="0"/>
          <w:numId w:val="8"/>
        </w:numPr>
      </w:pPr>
      <w:r w:rsidRPr="00237A2C">
        <w:t>att besluta om hur statens utgifter får användas samt att i övrigt förfoga över statens tillgångar.</w:t>
      </w:r>
    </w:p>
    <w:p w:rsidR="00AE50BA" w:rsidRPr="00237A2C" w:rsidRDefault="00AE50BA">
      <w:r w:rsidRPr="00237A2C">
        <w:t>Riksdagens bestämmanderätt över statens utgifter och inkomster framgår redan inledningsvis av regeringsformen (RF). Där framkommer att riksdagen stiftar lag, beslutar om skatt och bestämmer hur statens medel skall användas (RF 1:4). De grundläggande bestämmelserna om finansmakten finns i 9 kap. RF. Bestämmelserna i RF om finansmakten är översiktliga och relativt knapphändiga. Skälet därtill är att statsmakterna utan att göra ingrepp i grundlagen ska kunna genomföra förändringar i och utveckling av den stat</w:t>
      </w:r>
      <w:r w:rsidRPr="00237A2C">
        <w:t>l</w:t>
      </w:r>
      <w:r w:rsidRPr="00237A2C">
        <w:t>i</w:t>
      </w:r>
      <w:r w:rsidRPr="00237A2C">
        <w:t>ga budgettekniken. Bestämmandet om inkomsterna sker genom normgi</w:t>
      </w:r>
      <w:r w:rsidRPr="00237A2C">
        <w:t>v</w:t>
      </w:r>
      <w:r w:rsidRPr="00237A2C">
        <w:t>ning, när det gäller beslut om skatt alltid i lags form. Beslut om avgifter till staten fattas i vissa fall av riksdagen i lags form, i andra fall av regeringen eller av statlig myndighet.</w:t>
      </w:r>
    </w:p>
    <w:p w:rsidR="00AE50BA" w:rsidRPr="00237A2C" w:rsidRDefault="00AE50BA">
      <w:pPr>
        <w:pStyle w:val="Rubrik3"/>
      </w:pPr>
      <w:bookmarkStart w:id="73" w:name="_Toc509125558"/>
      <w:bookmarkStart w:id="74" w:name="_Toc509737990"/>
      <w:bookmarkStart w:id="75" w:name="_Toc516991610"/>
      <w:r w:rsidRPr="00237A2C">
        <w:t>2.2  Budgetregleringen</w:t>
      </w:r>
      <w:bookmarkEnd w:id="73"/>
      <w:bookmarkEnd w:id="74"/>
      <w:bookmarkEnd w:id="75"/>
    </w:p>
    <w:p w:rsidR="00AE50BA" w:rsidRPr="00237A2C" w:rsidRDefault="00AE50BA">
      <w:r w:rsidRPr="00237A2C">
        <w:t>Om utgifterna, dvs om användningen av statsmedel för olika ändamål, b</w:t>
      </w:r>
      <w:r w:rsidRPr="00237A2C">
        <w:t>e</w:t>
      </w:r>
      <w:r w:rsidRPr="00237A2C">
        <w:t>stämmer riksdagen genom den s.k. budgetregleringen. Budgetregleringspr</w:t>
      </w:r>
      <w:r w:rsidRPr="00237A2C">
        <w:t>o</w:t>
      </w:r>
      <w:r w:rsidRPr="00237A2C">
        <w:t>cessen är i svensk statsrätt, i motsats till vad som gäller i flertalet länder, en från lagstiftningen skild funktion. Budgetregleringen ligger således utanför normgivningen enligt 8 kap. RF. De grundläggande bestämmelserna om riksdagens makt över statens inkomster och utgifter finns i 9 kap. RF 1</w:t>
      </w:r>
      <w:r w:rsidRPr="00237A2C">
        <w:sym w:font="Symbol" w:char="F02D"/>
      </w:r>
      <w:r w:rsidRPr="00237A2C">
        <w:t>2 §§ medan ramarna för budgetregleringen behandlas i 9 kap. RF 3</w:t>
      </w:r>
      <w:r w:rsidRPr="00237A2C">
        <w:sym w:font="Symbol" w:char="F02D"/>
      </w:r>
      <w:r w:rsidRPr="00237A2C">
        <w:t xml:space="preserve">5§§. </w:t>
      </w:r>
    </w:p>
    <w:p w:rsidR="00AE50BA" w:rsidRPr="00237A2C" w:rsidRDefault="00AE50BA">
      <w:pPr>
        <w:pStyle w:val="Normaltindrag"/>
      </w:pPr>
      <w:r w:rsidRPr="00237A2C">
        <w:t>Det viktigaste ledet i förfogandet över statens egendom utgörs av rätt</w:t>
      </w:r>
      <w:r w:rsidRPr="00237A2C">
        <w:t>en att använda statens penningmedel. Detta styrs främst genom att riksdagen anv</w:t>
      </w:r>
      <w:r w:rsidRPr="00237A2C">
        <w:t>i</w:t>
      </w:r>
      <w:r w:rsidRPr="00237A2C">
        <w:t>sar anslag för olika ändamål. Anslagsbesluten har vanligen karaktären av bemyndiganden och innebär att medel ställs till regeringens förfogande för de av riksdagen angivna ändamålen. I 9 kap. RF 2§ anges att statens medel inte får användas på annat sätt än riksdagen har bestämt. Riksdagen fattar dock inte beslut om utgifter utan denna verkställande uppgift tillkommer i första hand regeringen. Varje utgiftsbeslut av regeringen el</w:t>
      </w:r>
      <w:r w:rsidRPr="00237A2C">
        <w:t>ler annan my</w:t>
      </w:r>
      <w:r w:rsidRPr="00237A2C">
        <w:t>n</w:t>
      </w:r>
      <w:r w:rsidRPr="00237A2C">
        <w:t>dighet måste dock grundas på ett riksdagsbeslut och följa de villkor för medlens använ</w:t>
      </w:r>
      <w:r w:rsidRPr="00237A2C">
        <w:t>d</w:t>
      </w:r>
      <w:r w:rsidRPr="00237A2C">
        <w:t>ning som kan ha ställts upp i riksdagsbeslutet.</w:t>
      </w:r>
    </w:p>
    <w:p w:rsidR="00AE50BA" w:rsidRPr="00237A2C" w:rsidRDefault="00AE50BA">
      <w:pPr>
        <w:pStyle w:val="Rubrik3"/>
      </w:pPr>
      <w:bookmarkStart w:id="76" w:name="_Toc509125559"/>
      <w:bookmarkStart w:id="77" w:name="_Toc509737991"/>
      <w:bookmarkStart w:id="78" w:name="_Toc516991611"/>
      <w:r w:rsidRPr="00237A2C">
        <w:t>2.3 Ny budgetlag fr.o.m. 1997</w:t>
      </w:r>
      <w:bookmarkEnd w:id="76"/>
      <w:bookmarkEnd w:id="77"/>
      <w:bookmarkEnd w:id="78"/>
    </w:p>
    <w:p w:rsidR="00AE50BA" w:rsidRPr="00237A2C" w:rsidRDefault="00AE50BA">
      <w:r w:rsidRPr="00237A2C">
        <w:t>Riksdagens beslut om statens budget och finansmakten i övrigt behöver inte ha lags form. Fram t.om. 1996 fanns inom området som ett komplement till bestämmelsena i RF främst ett antal förordningar meddelade av regeringen. I dessa förordningar behandlas bl.a. frågor om årsredovisning, anslag, avgifter och kapitalförsörjning. Besluten om förordningarna föregicks regelmässigt av att regeringen informerat riksdagen om det huvudsakliga innehållet i förordningarna. Dessutom hade riksdagen från fall till fall bes</w:t>
      </w:r>
      <w:r w:rsidRPr="00237A2C">
        <w:t xml:space="preserve">lutat i ett antal för statsbudgeten viktiga frågor, beslut som inte tagits in i någon författning. </w:t>
      </w:r>
    </w:p>
    <w:p w:rsidR="00AE50BA" w:rsidRPr="00237A2C" w:rsidRDefault="00AE50BA">
      <w:pPr>
        <w:pStyle w:val="Normaltindrag"/>
      </w:pPr>
      <w:r w:rsidRPr="00237A2C">
        <w:t>För att få en klarare reglering på finansmaktens område föreslog regerin</w:t>
      </w:r>
      <w:r w:rsidRPr="00237A2C">
        <w:t>g</w:t>
      </w:r>
      <w:r w:rsidRPr="00237A2C">
        <w:t>en i proposition 1995/96:220 en ny lag om statsbudgeten (budgetlagen). Propositionen hade föregåtts av ett utredningsarbete som redovisades i b</w:t>
      </w:r>
      <w:r w:rsidRPr="00237A2C">
        <w:t>e</w:t>
      </w:r>
      <w:r w:rsidRPr="00237A2C">
        <w:t>tänkandet Budgetlag – regeringens befogenheter på finansmaktens område (SOU 1996:14). Lagen antogs av riksdagen hösten 1996 (bet. 1996/97:KU3) och trädde i kraft den 1 januari 1997. Den behandlar främst förhållandet mellan riksdagen och regeringen på budgetomr</w:t>
      </w:r>
      <w:r w:rsidRPr="00237A2C">
        <w:t>å</w:t>
      </w:r>
      <w:r w:rsidRPr="00237A2C">
        <w:t xml:space="preserve">det.  </w:t>
      </w:r>
    </w:p>
    <w:p w:rsidR="00AE50BA" w:rsidRPr="00237A2C" w:rsidRDefault="00AE50BA">
      <w:pPr>
        <w:pStyle w:val="Rubrik3"/>
      </w:pPr>
      <w:bookmarkStart w:id="79" w:name="_Toc509125560"/>
      <w:bookmarkStart w:id="80" w:name="_Toc509737992"/>
      <w:bookmarkStart w:id="81" w:name="_Toc516991612"/>
      <w:r w:rsidRPr="00237A2C">
        <w:t>2.4 Måste regeringen genomföra riksdagens beslut om utgifter?</w:t>
      </w:r>
      <w:bookmarkEnd w:id="79"/>
      <w:bookmarkEnd w:id="80"/>
      <w:bookmarkEnd w:id="81"/>
    </w:p>
    <w:p w:rsidR="00AE50BA" w:rsidRPr="00237A2C" w:rsidRDefault="00AE50BA">
      <w:r w:rsidRPr="00237A2C">
        <w:t>Grundlagsbestämmelsen ålägger inte regeringen att ovillkorligen verkställa ett anslagsbeslut. Enligt budgetlagen (1996:1059) ges regeringen en uttryc</w:t>
      </w:r>
      <w:r w:rsidRPr="00237A2C">
        <w:t>k</w:t>
      </w:r>
      <w:r w:rsidRPr="00237A2C">
        <w:t>lig rätt att avstå från att utnyttja medel på anvisade anslag. Det får dock bara ske om det är motiverat av särskilda omständigheter i en verksamhet eller av statsfinansiella skäl. Konstitutionsutskottet underströk vid sin behandling av lagen (bet. 1996/97:KU3) att regeringen inte får låta bli att utnyttja ett anslag enbart därför att den ogillar anslagets syfte eller omfattning, och att regerin</w:t>
      </w:r>
      <w:r w:rsidRPr="00237A2C">
        <w:t>g</w:t>
      </w:r>
      <w:r w:rsidRPr="00237A2C">
        <w:t xml:space="preserve">en också är förbunden att se till att statliga åtaganden till följd av lagar och avtal fullföljs. </w:t>
      </w:r>
    </w:p>
    <w:p w:rsidR="00AE50BA" w:rsidRPr="00237A2C" w:rsidRDefault="00AE50BA">
      <w:pPr>
        <w:pStyle w:val="Rubrik3"/>
      </w:pPr>
      <w:bookmarkStart w:id="82" w:name="_Toc509125561"/>
      <w:bookmarkStart w:id="83" w:name="_Toc509737993"/>
      <w:bookmarkStart w:id="84" w:name="_Toc516991613"/>
      <w:r w:rsidRPr="00237A2C">
        <w:t>2.5  Riksdage</w:t>
      </w:r>
      <w:r w:rsidRPr="00237A2C">
        <w:t>ns beslut om anslag och anslagsvillkor</w:t>
      </w:r>
      <w:bookmarkEnd w:id="82"/>
      <w:bookmarkEnd w:id="83"/>
      <w:bookmarkEnd w:id="84"/>
    </w:p>
    <w:p w:rsidR="00AE50BA" w:rsidRPr="00237A2C" w:rsidRDefault="00AE50BA">
      <w:r w:rsidRPr="00237A2C">
        <w:t xml:space="preserve">Av budgetlagen (3 §) framgår att när riksdagen </w:t>
      </w:r>
      <w:r w:rsidRPr="00237A2C">
        <w:sym w:font="Symbol" w:char="F02D"/>
      </w:r>
      <w:r w:rsidRPr="00237A2C">
        <w:t xml:space="preserve"> i enlighet med bestämme</w:t>
      </w:r>
      <w:r w:rsidRPr="00237A2C">
        <w:t>l</w:t>
      </w:r>
      <w:r w:rsidRPr="00237A2C">
        <w:t xml:space="preserve">serna i RF </w:t>
      </w:r>
      <w:r w:rsidRPr="00237A2C">
        <w:sym w:font="Symbol" w:char="F02D"/>
      </w:r>
      <w:r w:rsidRPr="00237A2C">
        <w:t xml:space="preserve"> anvisar anslag kan tre anslagstyper användas, nämligen ob</w:t>
      </w:r>
      <w:r w:rsidRPr="00237A2C">
        <w:t>e</w:t>
      </w:r>
      <w:r w:rsidRPr="00237A2C">
        <w:t>tecknade anslag, reservationsanslag och ramanslag. I lagen anges också de huvudsakliga villkoren för de olika anslagstyperna ( 4</w:t>
      </w:r>
      <w:r w:rsidRPr="00237A2C">
        <w:sym w:font="Symbol" w:char="F02D"/>
      </w:r>
      <w:r w:rsidRPr="00237A2C">
        <w:t xml:space="preserve">6 §§). Ett </w:t>
      </w:r>
      <w:r w:rsidRPr="00237A2C">
        <w:rPr>
          <w:i/>
        </w:rPr>
        <w:t>obetecknat anslag</w:t>
      </w:r>
      <w:r w:rsidRPr="00237A2C">
        <w:t xml:space="preserve"> får inte överskridas och inte heller får outnyttjade medel på sådana anslag användas påföljande budgetår (4 §). Ett </w:t>
      </w:r>
      <w:r w:rsidRPr="00237A2C">
        <w:rPr>
          <w:i/>
        </w:rPr>
        <w:t>reservationsanslag</w:t>
      </w:r>
      <w:r w:rsidRPr="00237A2C">
        <w:t xml:space="preserve"> får inte heller överskidas men outnyttjade medel får användas under längst tre år efter budgetåret (5 §). Ett </w:t>
      </w:r>
      <w:r w:rsidRPr="00237A2C">
        <w:rPr>
          <w:i/>
        </w:rPr>
        <w:t>ramanslag</w:t>
      </w:r>
      <w:r w:rsidRPr="00237A2C">
        <w:t>, s</w:t>
      </w:r>
      <w:r w:rsidRPr="00237A2C">
        <w:t xml:space="preserve">om är den vanligaste anslagstypen på statsbudgeten, får däremot överskridas och en anslagskredit på högst tio % användas (6 §). </w:t>
      </w:r>
    </w:p>
    <w:p w:rsidR="00AE50BA" w:rsidRPr="00237A2C" w:rsidRDefault="00AE50BA">
      <w:pPr>
        <w:pStyle w:val="Normaltindrag"/>
      </w:pPr>
      <w:r w:rsidRPr="00237A2C">
        <w:t>I propositionen understryker regeringen att det främst är genom att anvisa anslag som riksdagen bestämmer hur statens medel ska användas. Samtidigt anförs i propositionen följande: ”Riksdagen anvisar inte endast ett belopp för ett visst ändamål utan anger även de villkor som skall gälla för dispositionen av medlen. Detta sker på ett standardiserat sätt genom att riksdagen för varj</w:t>
      </w:r>
      <w:r w:rsidRPr="00237A2C">
        <w:t>e ändamål anger med vilken typ av anslag medel skall anvisas.” (Prop. s. 23.)  Det kan noteras att den tidigare vanligt förekommande anslagstypen fö</w:t>
      </w:r>
      <w:r w:rsidRPr="00237A2C">
        <w:t>r</w:t>
      </w:r>
      <w:r w:rsidRPr="00237A2C">
        <w:t>slagsanslag avvecklades med den nya lagen.</w:t>
      </w:r>
    </w:p>
    <w:p w:rsidR="00AE50BA" w:rsidRPr="00237A2C" w:rsidRDefault="00AE50BA">
      <w:pPr>
        <w:pStyle w:val="Normaltindrag"/>
      </w:pPr>
      <w:r w:rsidRPr="00237A2C">
        <w:t>Vid sin behandling av propositionen (bet. 1996/97:KU3 s. 17</w:t>
      </w:r>
      <w:r w:rsidRPr="00237A2C">
        <w:sym w:font="Symbol" w:char="F02D"/>
      </w:r>
      <w:r w:rsidRPr="00237A2C">
        <w:t>18) konst</w:t>
      </w:r>
      <w:r w:rsidRPr="00237A2C">
        <w:t>a</w:t>
      </w:r>
      <w:r w:rsidRPr="00237A2C">
        <w:t>terade konstitutionsutskottet att propositionens beskrivning inte var uttö</w:t>
      </w:r>
      <w:r w:rsidRPr="00237A2C">
        <w:t>m</w:t>
      </w:r>
      <w:r w:rsidRPr="00237A2C">
        <w:t>mande i frågan om riksdagens möjligheter att ställa villkor för utnyttjandet av anslagen. Utskottet anförde bl.a. följande: ”Riksdagen har formellt sett en obegränsad rätt när det gäller detaljregleringen i samband med utgiftsbemy</w:t>
      </w:r>
      <w:r w:rsidRPr="00237A2C">
        <w:t>n</w:t>
      </w:r>
      <w:r w:rsidRPr="00237A2C">
        <w:t>digandena. Riksdagens beslut att anvisa anslag (ändamål, anslagstyp och belopp) kan alltså kompletteras med ytterligare villkor och med motivutt</w:t>
      </w:r>
      <w:r w:rsidRPr="00237A2C">
        <w:t>a</w:t>
      </w:r>
      <w:r w:rsidRPr="00237A2C">
        <w:t>landen som binder regeringens och myndigheternas m</w:t>
      </w:r>
      <w:r w:rsidRPr="00237A2C">
        <w:t>edelsanvändning. Enligt gällande rätt är riksdagen oförhindrad att sätta vilka villkor den vill vid angivande av anslagsändamålen, under förutsättning att villkoren står i organiskt samband med anslagsändamålen i fråga  och inte strider mot tidig</w:t>
      </w:r>
      <w:r w:rsidRPr="00237A2C">
        <w:t>a</w:t>
      </w:r>
      <w:r w:rsidRPr="00237A2C">
        <w:t>re åtaganden. Sådana villkor kan innebära precisering av mål, prioritering inom ett anslag, den regionala fördelningen av medlen, organisering av ver</w:t>
      </w:r>
      <w:r w:rsidRPr="00237A2C">
        <w:t>k</w:t>
      </w:r>
      <w:r w:rsidRPr="00237A2C">
        <w:t xml:space="preserve">samheten, viss typ av insatser eller krav på återrapportering av resultat”. </w:t>
      </w:r>
    </w:p>
    <w:p w:rsidR="00AE50BA" w:rsidRPr="00237A2C" w:rsidRDefault="00AE50BA">
      <w:pPr>
        <w:pStyle w:val="Normaltindrag"/>
      </w:pPr>
      <w:r w:rsidRPr="00237A2C">
        <w:t>Konstitutionsutskottet konstaterade oc</w:t>
      </w:r>
      <w:r w:rsidRPr="00237A2C">
        <w:t>kså att Grundlagsberedningen på sin tid tog avstånd från tanken att hindra riksdagen att gå för långt i detalj vid anslagsspecificeringen samt underströk att införandet av budgetlagen inte innebär någon begränsning i riksdagens möjligheter enligt  RF att besluta om ytterligare villkor för medelsanvisningen. Utskottet framhöll också att reg</w:t>
      </w:r>
      <w:r w:rsidRPr="00237A2C">
        <w:t>e</w:t>
      </w:r>
      <w:r w:rsidRPr="00237A2C">
        <w:t xml:space="preserve">ringen är bunden av riksdagens uttalanden om ändrade, preciserade eller kompletterande villkor för medelsanvisningen oavsett hur riksdagens beslut formellt är utformade. </w:t>
      </w:r>
      <w:r w:rsidRPr="00237A2C">
        <w:t>Detta klarläggande gjordes av utskottet mot bakgrund av att det för närvarande inte finns någon enhetlig ordning då det gäller u</w:t>
      </w:r>
      <w:r w:rsidRPr="00237A2C">
        <w:t>t</w:t>
      </w:r>
      <w:r w:rsidRPr="00237A2C">
        <w:t>formningen av riksdagens budgetb</w:t>
      </w:r>
      <w:r w:rsidRPr="00237A2C">
        <w:t>e</w:t>
      </w:r>
      <w:r w:rsidRPr="00237A2C">
        <w:t>slut.</w:t>
      </w:r>
    </w:p>
    <w:p w:rsidR="00AE50BA" w:rsidRPr="00237A2C" w:rsidRDefault="00AE50BA">
      <w:pPr>
        <w:pStyle w:val="Normaltindrag"/>
      </w:pPr>
      <w:r w:rsidRPr="00237A2C">
        <w:t>Det finns således sammanfattningsvis i grundlagen inga inbyggda spärrar i riksdagens rätt att bestämma om utgifterna. Riksdagen kan utöva finan</w:t>
      </w:r>
      <w:r w:rsidRPr="00237A2C">
        <w:t>s</w:t>
      </w:r>
      <w:r w:rsidRPr="00237A2C">
        <w:t>makten på ett mer eller mindre detaljerat sätt. Å andra sidan finns det inget hinder för riksdagen att ge stora klumpanslag, dvs. i praktiken ge regeringen vidsträckta bemyndiganden att själv närmare fördela medlen.</w:t>
      </w:r>
    </w:p>
    <w:p w:rsidR="00AE50BA" w:rsidRPr="00237A2C" w:rsidRDefault="00AE50BA">
      <w:pPr>
        <w:pStyle w:val="Rubrik3"/>
      </w:pPr>
      <w:bookmarkStart w:id="85" w:name="_Toc509125562"/>
      <w:bookmarkStart w:id="86" w:name="_Toc509737994"/>
      <w:bookmarkStart w:id="87" w:name="_Toc516991614"/>
      <w:r w:rsidRPr="00237A2C">
        <w:t>2.6 Dispositionsrätt till anslag</w:t>
      </w:r>
      <w:bookmarkEnd w:id="85"/>
      <w:bookmarkEnd w:id="86"/>
      <w:bookmarkEnd w:id="87"/>
    </w:p>
    <w:p w:rsidR="00AE50BA" w:rsidRPr="00237A2C" w:rsidRDefault="00AE50BA">
      <w:r w:rsidRPr="00237A2C">
        <w:t>Enligt  9 kap. 8 § RF står statens medel och dess övriga tillgångar till reg</w:t>
      </w:r>
      <w:r w:rsidRPr="00237A2C">
        <w:t>e</w:t>
      </w:r>
      <w:r w:rsidRPr="00237A2C">
        <w:t xml:space="preserve">ringens disposition. Undantag från denna huvdregel görs i regeringsformen bl.a. för tillgångar avsedda för riksdagen och dess myndigheter. </w:t>
      </w:r>
    </w:p>
    <w:p w:rsidR="00AE50BA" w:rsidRPr="00237A2C" w:rsidRDefault="00AE50BA">
      <w:pPr>
        <w:pStyle w:val="Normaltindrag"/>
      </w:pPr>
      <w:r w:rsidRPr="00237A2C">
        <w:t>Begreppen anslag, anslagspost och delpost definieras i anslagsförordnin</w:t>
      </w:r>
      <w:r w:rsidRPr="00237A2C">
        <w:t>g</w:t>
      </w:r>
      <w:r w:rsidRPr="00237A2C">
        <w:t>en (1996:1189). Där framgår att med ett anslag avses ett av riksdagen anvisat anslag som regeringen tilldelat en myndighet med ett visst belopp för ett bestämt ändamål. Med en post avses ett belopp som har förts upp under ett anslag i form av en anslagspost eller en delpost och som avser ett visst d</w:t>
      </w:r>
      <w:r w:rsidRPr="00237A2C">
        <w:t>e</w:t>
      </w:r>
      <w:r w:rsidRPr="00237A2C">
        <w:t xml:space="preserve">l-ändamål. </w:t>
      </w:r>
    </w:p>
    <w:p w:rsidR="00AE50BA" w:rsidRPr="00237A2C" w:rsidRDefault="00AE50BA">
      <w:pPr>
        <w:pStyle w:val="Normaltindrag"/>
      </w:pPr>
      <w:r w:rsidRPr="00237A2C">
        <w:t xml:space="preserve">Riksdagen </w:t>
      </w:r>
      <w:r w:rsidRPr="00237A2C">
        <w:rPr>
          <w:i/>
        </w:rPr>
        <w:t>anvisar</w:t>
      </w:r>
      <w:r w:rsidRPr="00237A2C">
        <w:t xml:space="preserve"> således anslag till regeringen, medan regeringen </w:t>
      </w:r>
      <w:r w:rsidRPr="00237A2C">
        <w:rPr>
          <w:i/>
        </w:rPr>
        <w:t>tilld</w:t>
      </w:r>
      <w:r w:rsidRPr="00237A2C">
        <w:rPr>
          <w:i/>
        </w:rPr>
        <w:t>e</w:t>
      </w:r>
      <w:r w:rsidRPr="00237A2C">
        <w:rPr>
          <w:i/>
        </w:rPr>
        <w:t>lar</w:t>
      </w:r>
      <w:r w:rsidRPr="00237A2C">
        <w:t xml:space="preserve"> anslag till myndigheter i form av </w:t>
      </w:r>
      <w:r w:rsidRPr="00237A2C">
        <w:rPr>
          <w:i/>
        </w:rPr>
        <w:t>dispositionsrätt.</w:t>
      </w:r>
      <w:r w:rsidRPr="00237A2C">
        <w:t xml:space="preserve"> Dispositionsrätten innebär att en myndighet som tilldelats ett anslag eller en post har rätt att enligt gällande villkor och bestämmelser använda statens medel för de ä</w:t>
      </w:r>
      <w:r w:rsidRPr="00237A2C">
        <w:t>n</w:t>
      </w:r>
      <w:r w:rsidRPr="00237A2C">
        <w:t>damål som anslaget avser (5 § anslagsförordningen). Fördelningen av ansl</w:t>
      </w:r>
      <w:r w:rsidRPr="00237A2C">
        <w:t>a</w:t>
      </w:r>
      <w:r w:rsidRPr="00237A2C">
        <w:t>gen sker normalt genom regleringsbrev men kan också ske genom annat regeringsb</w:t>
      </w:r>
      <w:r w:rsidRPr="00237A2C">
        <w:t>e</w:t>
      </w:r>
      <w:r w:rsidRPr="00237A2C">
        <w:t xml:space="preserve">slut. </w:t>
      </w:r>
    </w:p>
    <w:p w:rsidR="00AE50BA" w:rsidRPr="00237A2C" w:rsidRDefault="00AE50BA">
      <w:pPr>
        <w:pStyle w:val="Normaltindrag"/>
      </w:pPr>
      <w:r w:rsidRPr="00237A2C">
        <w:rPr>
          <w:i/>
        </w:rPr>
        <w:t>Regleringsbrev</w:t>
      </w:r>
      <w:r w:rsidRPr="00237A2C">
        <w:t xml:space="preserve"> är benämningen på sådana samlade regeringsbeslut som utfärdas årligen och som syftar till att styra all verksamhet som omfattas av inkomster och utgifter på statsbudgeten samt verksamhet som helt eller de</w:t>
      </w:r>
      <w:r w:rsidRPr="00237A2C">
        <w:t>l</w:t>
      </w:r>
      <w:r w:rsidRPr="00237A2C">
        <w:t>vis finansieras med avgifter. Regleringsbreven är föreskrifter som träder i kraft vid budgetårets start den 1 januari och gäller ett år, detta till skillnad mot normgivning som normalt gäller tills vidare. Genom regleringsbreven underrättar regeringen myndigheterna om de av riksdagen anvisade anslagen och</w:t>
      </w:r>
      <w:r w:rsidRPr="00237A2C">
        <w:t xml:space="preserve"> villkoren för deras disposition. I samband  därmed kan regeringen me</w:t>
      </w:r>
      <w:r w:rsidRPr="00237A2C">
        <w:t>d</w:t>
      </w:r>
      <w:r w:rsidRPr="00237A2C">
        <w:t>dela ytterligare föreskrifter för dispositionen, förutsatt att de inte strider mot riksdagens beslut. Av regleringsbrevet framgår också vilka anslagsposter som anslaget är indelat i och om någon anslagspost är ställd till regeringens eller R</w:t>
      </w:r>
      <w:r w:rsidRPr="00237A2C">
        <w:t>e</w:t>
      </w:r>
      <w:r w:rsidRPr="00237A2C">
        <w:t xml:space="preserve">geringskansliets dispositition. </w:t>
      </w:r>
    </w:p>
    <w:p w:rsidR="00AE50BA" w:rsidRPr="00237A2C" w:rsidRDefault="00AE50BA">
      <w:pPr>
        <w:pStyle w:val="Normaltindrag"/>
      </w:pPr>
      <w:r w:rsidRPr="00237A2C">
        <w:t>Det bör i sammanhanget understrykas att regleringsbreven förutom när det gäller den finansiella styrningen av myndigheterna också är ett viktigt i</w:t>
      </w:r>
      <w:r w:rsidRPr="00237A2C">
        <w:t>n</w:t>
      </w:r>
      <w:r w:rsidRPr="00237A2C">
        <w:t>strument för regeringens verksamhetsmässiga styrning av den statliga fö</w:t>
      </w:r>
      <w:r w:rsidRPr="00237A2C">
        <w:t>r</w:t>
      </w:r>
      <w:r w:rsidRPr="00237A2C">
        <w:t>valtningen.</w:t>
      </w:r>
    </w:p>
    <w:p w:rsidR="00AE50BA" w:rsidRPr="00237A2C" w:rsidRDefault="00AE50BA">
      <w:pPr>
        <w:pStyle w:val="Rubrik3"/>
      </w:pPr>
      <w:bookmarkStart w:id="88" w:name="_Toc509125563"/>
      <w:bookmarkStart w:id="89" w:name="_Toc509737995"/>
      <w:bookmarkStart w:id="90" w:name="_Toc516991615"/>
      <w:r w:rsidRPr="00237A2C">
        <w:t>2.7 Anslag som disponeras av regeringen eller Regeringskansliet</w:t>
      </w:r>
      <w:bookmarkEnd w:id="88"/>
      <w:bookmarkEnd w:id="89"/>
      <w:bookmarkEnd w:id="90"/>
      <w:r w:rsidRPr="00237A2C">
        <w:t xml:space="preserve"> </w:t>
      </w:r>
    </w:p>
    <w:p w:rsidR="00AE50BA" w:rsidRPr="00237A2C" w:rsidRDefault="00AE50BA">
      <w:r w:rsidRPr="00237A2C">
        <w:t>Konstitutionsutskottet uppmärksammade våren 1997 i sitt granskningsbetä</w:t>
      </w:r>
      <w:r w:rsidRPr="00237A2C">
        <w:t>n</w:t>
      </w:r>
      <w:r w:rsidRPr="00237A2C">
        <w:t>kande (bet. 1996/97:KU25) frågan om när anslag kan disponeras av Reg</w:t>
      </w:r>
      <w:r w:rsidRPr="00237A2C">
        <w:t>e</w:t>
      </w:r>
      <w:r w:rsidRPr="00237A2C">
        <w:t>ringskansliet. Mot bakgrund av en genomgång av anslag som stod till reg</w:t>
      </w:r>
      <w:r w:rsidRPr="00237A2C">
        <w:t>e</w:t>
      </w:r>
      <w:r w:rsidRPr="00237A2C">
        <w:t>ringens disposition budgetåren 1993/94 och 1994/95 konstaterade utskottet beträffande regeringens utnyttjande av anslag att departement i flera fall disponerat anslagsposter för ändamål som låg utanför den interna verksa</w:t>
      </w:r>
      <w:r w:rsidRPr="00237A2C">
        <w:t>m</w:t>
      </w:r>
      <w:r w:rsidRPr="00237A2C">
        <w:t>heten. Utskottet påpekade vidare att anslag ibland hade använts för ändamål som kunde ifrågasättas mot bakgrund av det ändamål som anslaget eller ans</w:t>
      </w:r>
      <w:r w:rsidRPr="00237A2C">
        <w:t xml:space="preserve">lagsposten anger genom sin beteckning. Utskottet konstaterade också att det inte hade varit möjligt att få någon fullständig bild av användningen av medlen till regeringens disposition. </w:t>
      </w:r>
    </w:p>
    <w:p w:rsidR="00AE50BA" w:rsidRPr="00237A2C" w:rsidRDefault="00AE50BA">
      <w:pPr>
        <w:pStyle w:val="Normaltindrag"/>
      </w:pPr>
      <w:r w:rsidRPr="00237A2C">
        <w:t>I budgetpropositionen för 1998 (prop. 1997/98:1, utg.omr. 1) angav reg</w:t>
      </w:r>
      <w:r w:rsidRPr="00237A2C">
        <w:t>e</w:t>
      </w:r>
      <w:r w:rsidRPr="00237A2C">
        <w:t xml:space="preserve">ringen, med anledning av konstitutionsutskottets uttalanden, att regeringen vid beredningen av regleringsbreven i varje enskilt fall noggrannt ska pröva skälen för att anslagsmedlen ställs till Regeringskansliets disposition. I den s.k. </w:t>
      </w:r>
      <w:r w:rsidRPr="00237A2C">
        <w:rPr>
          <w:i/>
        </w:rPr>
        <w:t>Gula boken</w:t>
      </w:r>
      <w:r w:rsidRPr="00237A2C">
        <w:t>, Handläggning av ärenden i Regeringskansliet (Ds 1998:39) anges bl.a. att Regeringskansliet i princip får disponera sådana anslag som gäller Regeringskansliets, utrikesförvaltningens eller kommittéväsendets administration eller avser beredning eller uppföljning a</w:t>
      </w:r>
      <w:r w:rsidRPr="00237A2C">
        <w:t xml:space="preserve">v ett regeringsärende. I </w:t>
      </w:r>
      <w:r w:rsidRPr="00237A2C">
        <w:rPr>
          <w:i/>
        </w:rPr>
        <w:t>Gula boken</w:t>
      </w:r>
      <w:r w:rsidRPr="00237A2C">
        <w:t xml:space="preserve"> anges också att andra anslagsposter bör beslutas av regeringen eller av någon myndighet under regeringen.</w:t>
      </w:r>
    </w:p>
    <w:p w:rsidR="00AE50BA" w:rsidRPr="00237A2C" w:rsidRDefault="00AE50BA">
      <w:pPr>
        <w:pStyle w:val="Normaltindrag"/>
      </w:pPr>
      <w:r w:rsidRPr="00237A2C">
        <w:t>Riktlinjer för departementens beredning av anslagsfrågor anges också årl</w:t>
      </w:r>
      <w:r w:rsidRPr="00237A2C">
        <w:t>i</w:t>
      </w:r>
      <w:r w:rsidRPr="00237A2C">
        <w:t>gen i en intern handledning uttarbetad av budgetavdelningen inom Finansd</w:t>
      </w:r>
      <w:r w:rsidRPr="00237A2C">
        <w:t>e</w:t>
      </w:r>
      <w:r w:rsidRPr="00237A2C">
        <w:t>partementet</w:t>
      </w:r>
      <w:r w:rsidRPr="00237A2C">
        <w:rPr>
          <w:i/>
        </w:rPr>
        <w:t xml:space="preserve">. </w:t>
      </w:r>
      <w:r w:rsidRPr="00237A2C">
        <w:t>I</w:t>
      </w:r>
      <w:r w:rsidRPr="00237A2C">
        <w:rPr>
          <w:i/>
        </w:rPr>
        <w:t xml:space="preserve"> </w:t>
      </w:r>
      <w:r w:rsidRPr="00237A2C">
        <w:t>promemorian</w:t>
      </w:r>
      <w:r w:rsidRPr="00237A2C">
        <w:rPr>
          <w:i/>
        </w:rPr>
        <w:t xml:space="preserve"> Inför regleringsbrevet för år 2001</w:t>
      </w:r>
      <w:r w:rsidRPr="00237A2C">
        <w:t xml:space="preserve"> slås bl.a. fast följande:</w:t>
      </w:r>
    </w:p>
    <w:p w:rsidR="00AE50BA" w:rsidRPr="00237A2C" w:rsidRDefault="00AE50BA">
      <w:r w:rsidRPr="00237A2C">
        <w:t>- Regeringskansliet som huvudregel endast disponerar anslag som avser den interna verksamheten, beredning och uppföljning av regeringsbeslut samt utrednings- och informationsinsatser. I undantagsfall kan det vara motiverat att tilldela Regeringskansliet dispositionsrätt till andra anslag. Detta skall då prövas och motiveras särskilt i varje enskilt</w:t>
      </w:r>
      <w:r w:rsidRPr="00237A2C">
        <w:t xml:space="preserve"> fall.</w:t>
      </w:r>
    </w:p>
    <w:p w:rsidR="00AE50BA" w:rsidRPr="00237A2C" w:rsidRDefault="00AE50BA">
      <w:pPr>
        <w:pStyle w:val="Sidfot"/>
      </w:pPr>
      <w:r w:rsidRPr="00237A2C">
        <w:t>- Övriga anslag disponeras antingen av annan myndighet än Regeringskan</w:t>
      </w:r>
      <w:r w:rsidRPr="00237A2C">
        <w:t>s</w:t>
      </w:r>
      <w:r w:rsidRPr="00237A2C">
        <w:t>liet eller så avstår regeringen från att tilldela någon myndighet disposition</w:t>
      </w:r>
      <w:r w:rsidRPr="00237A2C">
        <w:t>s</w:t>
      </w:r>
      <w:r w:rsidRPr="00237A2C">
        <w:t>rätten till anslaget. Regeringen avstår från att tilldela myndighet anslag när regeringen vill ha en egen kontroll över anslaget och när användningen av anslaget ska innefatta ett ställningstagande från regeringen i dess egenskap av ett politiskt organ. Rent praktiskt sker detta genom att det under anslaget förs upp en anslagspost ”Till regeringens dispos</w:t>
      </w:r>
      <w:r w:rsidRPr="00237A2C">
        <w:t>i</w:t>
      </w:r>
      <w:r w:rsidRPr="00237A2C">
        <w:t xml:space="preserve">tion”. </w:t>
      </w:r>
    </w:p>
    <w:p w:rsidR="00AE50BA" w:rsidRPr="00237A2C" w:rsidRDefault="00AE50BA">
      <w:pPr>
        <w:pStyle w:val="Rubrik1"/>
        <w:ind w:left="225" w:hanging="225"/>
      </w:pPr>
      <w:bookmarkStart w:id="91" w:name="_Toc509125564"/>
      <w:bookmarkStart w:id="92" w:name="_Toc509737996"/>
      <w:bookmarkStart w:id="93" w:name="_Toc516991616"/>
      <w:r w:rsidRPr="00237A2C">
        <w:t>3 Allmänt om anslagen till regeringens och Regeringskansliets dispo</w:t>
      </w:r>
      <w:r w:rsidRPr="00237A2C">
        <w:t>sition</w:t>
      </w:r>
      <w:bookmarkEnd w:id="91"/>
      <w:bookmarkEnd w:id="92"/>
      <w:bookmarkEnd w:id="93"/>
    </w:p>
    <w:p w:rsidR="00AE50BA" w:rsidRPr="00237A2C" w:rsidRDefault="00AE50BA">
      <w:pPr>
        <w:pStyle w:val="Rubrik3"/>
      </w:pPr>
      <w:bookmarkStart w:id="94" w:name="_Toc509125565"/>
      <w:bookmarkStart w:id="95" w:name="_Toc509737997"/>
      <w:bookmarkStart w:id="96" w:name="_Toc516991617"/>
      <w:r w:rsidRPr="00237A2C">
        <w:t>3.1 Inledning</w:t>
      </w:r>
      <w:bookmarkEnd w:id="94"/>
      <w:bookmarkEnd w:id="95"/>
      <w:bookmarkEnd w:id="96"/>
    </w:p>
    <w:p w:rsidR="00AE50BA" w:rsidRPr="00237A2C" w:rsidRDefault="00AE50BA">
      <w:r w:rsidRPr="00237A2C">
        <w:t>En grundläggande utgångspunkt för bestämmelserna i RF och i budgetlagen är att det är regeringen som på riksdagens uppdrag leder genomförandet av den statliga verksamheten. Ansvaret för att genomföra den konkreta ver</w:t>
      </w:r>
      <w:r w:rsidRPr="00237A2C">
        <w:t>k</w:t>
      </w:r>
      <w:r w:rsidRPr="00237A2C">
        <w:t>samheten ligger på olika statliga myndigheter som sorterar under regeringen och är ansvariga inför regeringen. Som ovan berörts är det genom regl</w:t>
      </w:r>
      <w:r w:rsidRPr="00237A2C">
        <w:t>e</w:t>
      </w:r>
      <w:r w:rsidRPr="00237A2C">
        <w:t>ringsbreven som regeringen ställer medlen till myndigheternas disposition och meddelar dem villkoren för deras användande. I samband därmed kan regeringen meddela ytterligare föreskrifter för dispositionsrätten utöver dem som framgår av riksdagens anslagsbeslut. Generella och preciserade b</w:t>
      </w:r>
      <w:r w:rsidRPr="00237A2C">
        <w:t>e</w:t>
      </w:r>
      <w:r w:rsidRPr="00237A2C">
        <w:t>stämmelser för myndigheter under regeringen om dispositionsrätten till a</w:t>
      </w:r>
      <w:r w:rsidRPr="00237A2C">
        <w:t>n</w:t>
      </w:r>
      <w:r w:rsidRPr="00237A2C">
        <w:t>s</w:t>
      </w:r>
      <w:r w:rsidRPr="00237A2C">
        <w:t>lag, om anslagstyper, avräkningsförfarandet m.m. finns därutöver i anslag</w:t>
      </w:r>
      <w:r w:rsidRPr="00237A2C">
        <w:t>s</w:t>
      </w:r>
      <w:r w:rsidRPr="00237A2C">
        <w:t>föror</w:t>
      </w:r>
      <w:r w:rsidRPr="00237A2C">
        <w:t>d</w:t>
      </w:r>
      <w:r w:rsidRPr="00237A2C">
        <w:t xml:space="preserve">ningen (1996:1189). </w:t>
      </w:r>
    </w:p>
    <w:p w:rsidR="00AE50BA" w:rsidRPr="00237A2C" w:rsidRDefault="00AE50BA">
      <w:pPr>
        <w:pStyle w:val="Normaltindrag"/>
      </w:pPr>
      <w:r w:rsidRPr="00237A2C">
        <w:t xml:space="preserve">Av anslagsförordningen framgår att det endast är myndigheter som kan ges rätt att disponera anslag. Regeringen kan genom regleringsbrev eller annat regeringsbeslut besluta att en myndighet </w:t>
      </w:r>
      <w:r w:rsidRPr="00237A2C">
        <w:rPr>
          <w:i/>
        </w:rPr>
        <w:t>inte</w:t>
      </w:r>
      <w:r w:rsidRPr="00237A2C">
        <w:t xml:space="preserve"> får disponera ett visst belopp av ett anslag som tilldelats myndigheten. Det är således vanligt att regeringen ställer en del av ett anslag till sin egen disposition i form av en anslagspost. Det förekommer också att medel dras in från ett anslag i form av en besp</w:t>
      </w:r>
      <w:r w:rsidRPr="00237A2C">
        <w:t>a</w:t>
      </w:r>
      <w:r w:rsidRPr="00237A2C">
        <w:t xml:space="preserve">ring eller att anslag som ställs till en myndighets förfogande får disponeras först efter beslut av regeringen. </w:t>
      </w:r>
    </w:p>
    <w:p w:rsidR="00AE50BA" w:rsidRPr="00237A2C" w:rsidRDefault="00AE50BA">
      <w:pPr>
        <w:pStyle w:val="Normaltindrag"/>
        <w:rPr>
          <w:sz w:val="21"/>
        </w:rPr>
      </w:pPr>
      <w:r w:rsidRPr="00237A2C">
        <w:t>Regeringskansliet skall använda sig av samma ekonomiadministrativa regler som gäller för myndigheter under regeringen, om inte re</w:t>
      </w:r>
      <w:r w:rsidRPr="00237A2C">
        <w:t>geringen beslutar något annat. Regeringskansliet är dock undantaget från kravet på resultatredovisning. Det framgår av förordningen (1996:1515) med instru</w:t>
      </w:r>
      <w:r w:rsidRPr="00237A2C">
        <w:t>k</w:t>
      </w:r>
      <w:r w:rsidRPr="00237A2C">
        <w:t xml:space="preserve">tion för Regeringskansliet (45 §). I och med att Regeringskansliet blev </w:t>
      </w:r>
      <w:r w:rsidRPr="00237A2C">
        <w:rPr>
          <w:i/>
        </w:rPr>
        <w:t>en</w:t>
      </w:r>
      <w:r w:rsidRPr="00237A2C">
        <w:t xml:space="preserve"> myndighet år 1997 har fr.om. detta år en gemensam årsredovisning och ett gemensamt årsbokslut tagits fram för myndigheten Regeringskansliet. I årsredovisningen för år 1999 koncentreras t.ex. kommentarerna till utfallet för förvaltningsanslagen. För övriga anslag, dvs. ett stort ant</w:t>
      </w:r>
      <w:r w:rsidRPr="00237A2C">
        <w:t>al sakanslag som står till regeringens eller Regeringskansliets disposition, redovisas endast utfallet på dessa som transfereringar i den s.k. a</w:t>
      </w:r>
      <w:r w:rsidRPr="00237A2C">
        <w:t>n</w:t>
      </w:r>
      <w:r w:rsidRPr="00237A2C">
        <w:t>slagsredovisningen.</w:t>
      </w:r>
    </w:p>
    <w:p w:rsidR="00AE50BA" w:rsidRPr="00237A2C" w:rsidRDefault="00AE50BA">
      <w:pPr>
        <w:pStyle w:val="Rubrik3"/>
      </w:pPr>
      <w:bookmarkStart w:id="97" w:name="_Toc509125566"/>
      <w:bookmarkStart w:id="98" w:name="_Toc509737998"/>
      <w:bookmarkStart w:id="99" w:name="_Toc516991618"/>
      <w:r w:rsidRPr="00237A2C">
        <w:t>3.2 Från riksdagsbeslut till anslagsredovisning</w:t>
      </w:r>
      <w:bookmarkEnd w:id="97"/>
      <w:bookmarkEnd w:id="98"/>
      <w:bookmarkEnd w:id="99"/>
    </w:p>
    <w:p w:rsidR="00AE50BA" w:rsidRPr="00237A2C" w:rsidRDefault="00AE50BA">
      <w:r w:rsidRPr="00237A2C">
        <w:t>Efter det att riksdagen fattat beslut om budgetpropositionen beslutar reg</w:t>
      </w:r>
      <w:r w:rsidRPr="00237A2C">
        <w:t>e</w:t>
      </w:r>
      <w:r w:rsidRPr="00237A2C">
        <w:t>ringen om regleringsbrev. Det sker normalt under december månad. Regl</w:t>
      </w:r>
      <w:r w:rsidRPr="00237A2C">
        <w:t>e</w:t>
      </w:r>
      <w:r w:rsidRPr="00237A2C">
        <w:t>ringsbreven samlas i den s.k. statsliggaren. Om riksdagen under löpande budgetår på tilläggsbudget beslutar om nya eller ändrade anslag fattas beslut om nya eller ändrade regleringsbrev genom särskilda regeringsbeslut. Dessa återfinns inte i statsliggaren. Så gäller även om regeringen i andra fall under pågående budgetår beslutar om ändringar i regl</w:t>
      </w:r>
      <w:r w:rsidRPr="00237A2C">
        <w:t>e</w:t>
      </w:r>
      <w:r w:rsidRPr="00237A2C">
        <w:t xml:space="preserve">ringsbreven. </w:t>
      </w:r>
    </w:p>
    <w:p w:rsidR="00AE50BA" w:rsidRPr="00237A2C" w:rsidRDefault="00AE50BA">
      <w:pPr>
        <w:pStyle w:val="Normaltindrag"/>
      </w:pPr>
      <w:r w:rsidRPr="00237A2C">
        <w:t>Enligt gällande bestämmelser i förordningen (2000:605) för myndighete</w:t>
      </w:r>
      <w:r w:rsidRPr="00237A2C">
        <w:t>r</w:t>
      </w:r>
      <w:r w:rsidRPr="00237A2C">
        <w:t>nas årsredovisning m.m. skall årsredovisningen bl.a. innehålla en anslagsr</w:t>
      </w:r>
      <w:r w:rsidRPr="00237A2C">
        <w:t>e</w:t>
      </w:r>
      <w:r w:rsidRPr="00237A2C">
        <w:t xml:space="preserve">dovisning. I anslagsredovisningen skall framgå utfallet på de anslag och inkomsttitlar som myndigheten redovisar mot i enlighet med den indelning som framgår av regleringsbrevet. Ett av de viktigaste underlagen för den här aktuella granskningen har därför varit den anslagsredovisning som ingår som en del av årsredovisningen för Regeringskansliet. Vid en jämförelse mellan statsliggaren och Regeringskansliets anslagsredovisning visar </w:t>
      </w:r>
      <w:r w:rsidRPr="00237A2C">
        <w:t>det sig att dessa skiljer sig åt på en rad punkter. Exempelvis finns anslag och anslag</w:t>
      </w:r>
      <w:r w:rsidRPr="00237A2C">
        <w:t>s</w:t>
      </w:r>
      <w:r w:rsidRPr="00237A2C">
        <w:t>poster till regeringens eller Regeringskansliets disposition angivna i statsli</w:t>
      </w:r>
      <w:r w:rsidRPr="00237A2C">
        <w:t>g</w:t>
      </w:r>
      <w:r w:rsidRPr="00237A2C">
        <w:t>garen utan att de finns med i anslagsredovisningen. I andra fall är förhålla</w:t>
      </w:r>
      <w:r w:rsidRPr="00237A2C">
        <w:t>n</w:t>
      </w:r>
      <w:r w:rsidRPr="00237A2C">
        <w:t>det det o</w:t>
      </w:r>
      <w:r w:rsidRPr="00237A2C">
        <w:t>m</w:t>
      </w:r>
      <w:r w:rsidRPr="00237A2C">
        <w:t>vända.</w:t>
      </w:r>
    </w:p>
    <w:p w:rsidR="00AE50BA" w:rsidRPr="00237A2C" w:rsidRDefault="00AE50BA">
      <w:pPr>
        <w:pStyle w:val="Normaltindrag"/>
      </w:pPr>
      <w:r w:rsidRPr="00237A2C">
        <w:t>Konstitutionsutskottet uttalade våren 1997 (bet. 1996/97:KU25) i samband med sin genomgång av hur regeringen faktiskt utnyttjat de anslag som stått till regeringens disposition att det inte varit möjligt att få en fullständig bild av användningen av me</w:t>
      </w:r>
      <w:r w:rsidRPr="00237A2C">
        <w:t>dlen. En svårighet som utskottet uppmärksammade var t.ex. att anslagen i många fall disponerades av utomstående myndigheter som betalade ut medel efter särskilda regeringsbeslut. Det kan konstateras att motsvarande problem fortfarande föreligger, något som i hög grad försvårar möjligheterna att få en överblick över såväl antalet anslag som den totala omfattningen av de medel som regeringen faktiskt har ett direkt bestämma</w:t>
      </w:r>
      <w:r w:rsidRPr="00237A2C">
        <w:t>n</w:t>
      </w:r>
      <w:r w:rsidRPr="00237A2C">
        <w:t>de inflytande över. En annan svårighet är att anslag till regeringens och R</w:t>
      </w:r>
      <w:r w:rsidRPr="00237A2C">
        <w:t>e</w:t>
      </w:r>
      <w:r w:rsidRPr="00237A2C">
        <w:t>geringskan</w:t>
      </w:r>
      <w:r w:rsidRPr="00237A2C">
        <w:t xml:space="preserve">sliets disposition behandlas på samma sätt i redovisningen, trots skilda beslutsrutiner. </w:t>
      </w:r>
    </w:p>
    <w:p w:rsidR="00AE50BA" w:rsidRPr="00237A2C" w:rsidRDefault="00AE50BA">
      <w:pPr>
        <w:pStyle w:val="Rubrik3"/>
      </w:pPr>
      <w:bookmarkStart w:id="100" w:name="_Toc509125567"/>
      <w:bookmarkStart w:id="101" w:name="_Toc509737999"/>
      <w:bookmarkStart w:id="102" w:name="_Toc516991619"/>
      <w:r w:rsidRPr="00237A2C">
        <w:t>3.3 Regeringskansliets anslagsredovisning</w:t>
      </w:r>
      <w:bookmarkEnd w:id="100"/>
      <w:bookmarkEnd w:id="101"/>
      <w:bookmarkEnd w:id="102"/>
    </w:p>
    <w:p w:rsidR="00AE50BA" w:rsidRPr="00237A2C" w:rsidRDefault="00AE50BA">
      <w:r w:rsidRPr="00237A2C">
        <w:t>Det totala antalet anslag på statsbudgeten uppgick i mitten av 1980-talet till cirka 800. Budgetåret 1995/96 var motsvarande antal omkring 650. Därefter har antalet anslag ytterligare minskat till för närvarande drygt 500. En g</w:t>
      </w:r>
      <w:r w:rsidRPr="00237A2C">
        <w:t>e</w:t>
      </w:r>
      <w:r w:rsidRPr="00237A2C">
        <w:t>nomgång av anslagsredovisningen i Regeringskansliets årsredovisning för åren 1997</w:t>
      </w:r>
      <w:r w:rsidRPr="00237A2C">
        <w:sym w:font="Symbol" w:char="F02D"/>
      </w:r>
      <w:r w:rsidRPr="00237A2C">
        <w:t>2000 visar att ungefär en fjärdedel av alla anslag helt eller delvis (dvs. i form av anslagsposter) stod till regeringens eller Regeringskansliets förfogande. Åren 1997 och 1998 gällde det i båda fallen 114 anslag av sa</w:t>
      </w:r>
      <w:r w:rsidRPr="00237A2C">
        <w:t>m</w:t>
      </w:r>
      <w:r w:rsidRPr="00237A2C">
        <w:t xml:space="preserve">manlagt 504 respektive 497. Åren 1999 och 2000 var motsvarande antal i bägge fall 150 av sammanlagt 523 respektive 525. </w:t>
      </w:r>
    </w:p>
    <w:p w:rsidR="00AE50BA" w:rsidRPr="00237A2C" w:rsidRDefault="00AE50BA">
      <w:pPr>
        <w:pStyle w:val="Normaltindrag"/>
      </w:pPr>
      <w:r w:rsidRPr="00237A2C">
        <w:t>Den sammanlagda summan som regeringen och dess kansli disponerar över up</w:t>
      </w:r>
      <w:r w:rsidRPr="00237A2C">
        <w:t>p</w:t>
      </w:r>
      <w:r w:rsidRPr="00237A2C">
        <w:t>gick enligt samma källa under samma period till följande belopp:</w:t>
      </w:r>
    </w:p>
    <w:p w:rsidR="00AE50BA" w:rsidRPr="00237A2C" w:rsidRDefault="00AE50BA">
      <w:r w:rsidRPr="00237A2C">
        <w:t>År</w:t>
      </w:r>
      <w:r w:rsidRPr="00237A2C">
        <w:tab/>
        <w:t>milj.kr</w:t>
      </w:r>
      <w:r w:rsidRPr="00237A2C">
        <w:tab/>
        <w:t xml:space="preserve">statsbudget, </w:t>
      </w:r>
      <w:r w:rsidRPr="00237A2C">
        <w:tab/>
        <w:t>andel i %</w:t>
      </w:r>
    </w:p>
    <w:p w:rsidR="00AE50BA" w:rsidRPr="00237A2C" w:rsidRDefault="00AE50BA">
      <w:pPr>
        <w:ind w:left="1304" w:firstLine="1304"/>
      </w:pPr>
      <w:r w:rsidRPr="00237A2C">
        <w:t>totalt</w:t>
      </w:r>
      <w:r w:rsidRPr="00237A2C">
        <w:tab/>
      </w:r>
    </w:p>
    <w:p w:rsidR="00AE50BA" w:rsidRPr="00237A2C" w:rsidRDefault="00AE50BA">
      <w:pPr>
        <w:pBdr>
          <w:top w:val="single" w:sz="4" w:space="1" w:color="auto"/>
          <w:left w:val="single" w:sz="4" w:space="4" w:color="auto"/>
          <w:bottom w:val="single" w:sz="4" w:space="1" w:color="auto"/>
          <w:right w:val="single" w:sz="4" w:space="4" w:color="auto"/>
        </w:pBdr>
      </w:pPr>
      <w:r w:rsidRPr="00237A2C">
        <w:t>1997</w:t>
      </w:r>
      <w:r w:rsidRPr="00237A2C">
        <w:tab/>
        <w:t>20 629</w:t>
      </w:r>
      <w:r w:rsidRPr="00237A2C">
        <w:tab/>
        <w:t>677 542</w:t>
      </w:r>
      <w:r w:rsidRPr="00237A2C">
        <w:tab/>
        <w:t>3,04</w:t>
      </w:r>
      <w:r w:rsidRPr="00237A2C">
        <w:tab/>
      </w:r>
    </w:p>
    <w:p w:rsidR="00AE50BA" w:rsidRPr="00237A2C" w:rsidRDefault="00AE50BA">
      <w:pPr>
        <w:pBdr>
          <w:top w:val="single" w:sz="4" w:space="1" w:color="auto"/>
          <w:left w:val="single" w:sz="4" w:space="4" w:color="auto"/>
          <w:bottom w:val="single" w:sz="4" w:space="1" w:color="auto"/>
          <w:right w:val="single" w:sz="4" w:space="4" w:color="auto"/>
        </w:pBdr>
      </w:pPr>
      <w:r w:rsidRPr="00237A2C">
        <w:t>1998</w:t>
      </w:r>
      <w:r w:rsidRPr="00237A2C">
        <w:tab/>
        <w:t>12 720</w:t>
      </w:r>
      <w:r w:rsidRPr="00237A2C">
        <w:tab/>
        <w:t>692 815</w:t>
      </w:r>
      <w:r w:rsidRPr="00237A2C">
        <w:tab/>
        <w:t>1,83</w:t>
      </w:r>
    </w:p>
    <w:p w:rsidR="00AE50BA" w:rsidRPr="00237A2C" w:rsidRDefault="00AE50BA">
      <w:pPr>
        <w:pBdr>
          <w:top w:val="single" w:sz="4" w:space="1" w:color="auto"/>
          <w:left w:val="single" w:sz="4" w:space="4" w:color="auto"/>
          <w:bottom w:val="single" w:sz="4" w:space="1" w:color="auto"/>
          <w:right w:val="single" w:sz="4" w:space="4" w:color="auto"/>
        </w:pBdr>
      </w:pPr>
      <w:r w:rsidRPr="00237A2C">
        <w:t>1999</w:t>
      </w:r>
      <w:r w:rsidRPr="00237A2C">
        <w:tab/>
        <w:t>18 808</w:t>
      </w:r>
      <w:r w:rsidRPr="00237A2C">
        <w:tab/>
        <w:t>693 380</w:t>
      </w:r>
      <w:r w:rsidRPr="00237A2C">
        <w:tab/>
        <w:t>2,71</w:t>
      </w:r>
    </w:p>
    <w:p w:rsidR="00AE50BA" w:rsidRPr="00237A2C" w:rsidRDefault="00AE50BA">
      <w:pPr>
        <w:pBdr>
          <w:top w:val="single" w:sz="4" w:space="1" w:color="auto"/>
          <w:left w:val="single" w:sz="4" w:space="4" w:color="auto"/>
          <w:bottom w:val="single" w:sz="4" w:space="1" w:color="auto"/>
          <w:right w:val="single" w:sz="4" w:space="4" w:color="auto"/>
        </w:pBdr>
      </w:pPr>
      <w:r w:rsidRPr="00237A2C">
        <w:t>2000</w:t>
      </w:r>
      <w:r w:rsidRPr="00237A2C">
        <w:tab/>
        <w:t>15 070</w:t>
      </w:r>
      <w:r w:rsidRPr="00237A2C">
        <w:tab/>
        <w:t>699 303</w:t>
      </w:r>
      <w:r w:rsidRPr="00237A2C">
        <w:tab/>
        <w:t>2,15</w:t>
      </w:r>
    </w:p>
    <w:p w:rsidR="00AE50BA" w:rsidRPr="00237A2C" w:rsidRDefault="00AE50BA">
      <w:r w:rsidRPr="00237A2C">
        <w:t>Siffrorna måste dock tolkas med försiktighet. När det t.ex. gäller totalbelo</w:t>
      </w:r>
      <w:r w:rsidRPr="00237A2C">
        <w:t>p</w:t>
      </w:r>
      <w:r w:rsidRPr="00237A2C">
        <w:t>pet för år 1997 kan följande noteras. Hösten 1996 fattade riksdagen ett fö</w:t>
      </w:r>
      <w:r w:rsidRPr="00237A2C">
        <w:t>r</w:t>
      </w:r>
      <w:r w:rsidRPr="00237A2C">
        <w:t>svarspolitiskt beslut med anledning av proposition 1996/97 Totalförsvar i förnyelse. Medlen till försvaret anvisades genom beslut med anledning av budgetpropositionen (prop. 1996/97:1, utgiftsområde 6). Till anslaget A1 Försvarsmakten anvisades därvid sammanlagt ca 38,3 miljarder kronor. I samband med att regeringen beslutade om regleringsbrevet till försvaret för år 1997 innehölls ett belopp på inte mindre än 8 miljarder kronor (an</w:t>
      </w:r>
      <w:r w:rsidRPr="00237A2C">
        <w:t>slag</w:t>
      </w:r>
      <w:r w:rsidRPr="00237A2C">
        <w:t>s</w:t>
      </w:r>
      <w:r w:rsidRPr="00237A2C">
        <w:t>post 2). Dessa medel fördelades senare under året i samband med att reg</w:t>
      </w:r>
      <w:r w:rsidRPr="00237A2C">
        <w:t>e</w:t>
      </w:r>
      <w:r w:rsidRPr="00237A2C">
        <w:t>ringen successivt tog ställning till försvarets materielanskaffning. Om man bortser från detta särskilda förhållande var medlen till regeringens dispos</w:t>
      </w:r>
      <w:r w:rsidRPr="00237A2C">
        <w:t>i</w:t>
      </w:r>
      <w:r w:rsidRPr="00237A2C">
        <w:t>tion ca 12,6 miljarder kronor, dvs. i samma storleksordning som för år 1998.</w:t>
      </w:r>
    </w:p>
    <w:p w:rsidR="00AE50BA" w:rsidRPr="00237A2C" w:rsidRDefault="00AE50BA">
      <w:pPr>
        <w:pStyle w:val="Normaltindrag"/>
      </w:pPr>
      <w:r w:rsidRPr="00237A2C">
        <w:t>Ett annat exempel som belyser svårigheterna att bedöma storleksordningen på de medel som regeringen de facto disponerar är anslagen till Kunskap</w:t>
      </w:r>
      <w:r w:rsidRPr="00237A2C">
        <w:t>s</w:t>
      </w:r>
      <w:r w:rsidRPr="00237A2C">
        <w:t>lyftet. Under de två inledande åren 1997 och 1998 beslutade regeringen om bidragsfördelningen. Från och med år 1999 och för den återstående tiden för projektet har beslutanderätten överförts till Statens skolverk. Under hela perioden har emellertid anslagen formellt disponerats av Skolverket. Av det totala anslaget för år 1997 på drygt  2,5 miljarder kronor och för år 1998 på knappt 3,5 miljarder kronor disponerade enligt anslagsredovisningen Reg</w:t>
      </w:r>
      <w:r w:rsidRPr="00237A2C">
        <w:t>e</w:t>
      </w:r>
      <w:r w:rsidRPr="00237A2C">
        <w:t>ringskansliet år 1997 inga medel och för år 1998 endast ca 2</w:t>
      </w:r>
      <w:r w:rsidRPr="00237A2C">
        <w:t>0 miljoner kr</w:t>
      </w:r>
      <w:r w:rsidRPr="00237A2C">
        <w:t>o</w:t>
      </w:r>
      <w:r w:rsidRPr="00237A2C">
        <w:t>nor. Av regleringsbrevet kan utläsas att dessa medel avsatts för utveckling</w:t>
      </w:r>
      <w:r w:rsidRPr="00237A2C">
        <w:t>s</w:t>
      </w:r>
      <w:r w:rsidRPr="00237A2C">
        <w:t>arbete och administration. Det kan alltså konstateras att befogenheten att fatta beslut om medlens användning och den formella dispositionsrätten till samma medel i det aktuella fallet inte återspeglas i redovisningen.</w:t>
      </w:r>
    </w:p>
    <w:p w:rsidR="00AE50BA" w:rsidRPr="00237A2C" w:rsidRDefault="00AE50BA">
      <w:pPr>
        <w:pStyle w:val="Normaltindrag"/>
      </w:pPr>
      <w:r w:rsidRPr="00237A2C">
        <w:t xml:space="preserve">Trots svagheterna i underlaget har det i samband med denna granskning ändå bedömts som att Regeringskansliets anslagsredovisning väl kan tjäna som grund för urvalet av de anslag som här studeras. </w:t>
      </w:r>
    </w:p>
    <w:p w:rsidR="00AE50BA" w:rsidRPr="00237A2C" w:rsidRDefault="00AE50BA">
      <w:pPr>
        <w:pStyle w:val="Rubrik3"/>
      </w:pPr>
      <w:bookmarkStart w:id="103" w:name="_Toc509125568"/>
      <w:bookmarkStart w:id="104" w:name="_Toc509738000"/>
      <w:bookmarkStart w:id="105" w:name="_Toc516991620"/>
      <w:r w:rsidRPr="00237A2C">
        <w:t>3.4 Val av anslag och av undersökningsperiod</w:t>
      </w:r>
      <w:bookmarkEnd w:id="103"/>
      <w:bookmarkEnd w:id="104"/>
      <w:bookmarkEnd w:id="105"/>
    </w:p>
    <w:p w:rsidR="00AE50BA" w:rsidRPr="00237A2C" w:rsidRDefault="00AE50BA">
      <w:r w:rsidRPr="00237A2C">
        <w:t>Som tidigare angetts finns det flera skäl till att regeringen själv behåller rätten att disponera anslag som riksdagen har anvisat. Det mest uppenbara är att regeringen själv förfogar över anslagen till sin egen administrativa ver</w:t>
      </w:r>
      <w:r w:rsidRPr="00237A2C">
        <w:t>k</w:t>
      </w:r>
      <w:r w:rsidRPr="00237A2C">
        <w:t>samhet. På detta område finns för närvarande två skilda anslag. Anslaget C1 Regeringskansliet m.m. uppgick budgetåret 2000 till knappt 2,5 miljarder kronor och anslaget A1 Utrikesförvaltningen till 1,9 miljarder kronor eller sammantaget ca 4,4 miljarder kronor. Det skall då noteras att anslaget till Utrikesförvaltningen inte endast avser UD i Stockholm utan även omfattar utlandsmyndigheterna. Regeringen har aviserat att de två anslagen skall slås samman till ett gemensamt anslag för hela departementsorgani</w:t>
      </w:r>
      <w:r w:rsidRPr="00237A2C">
        <w:t xml:space="preserve">sationen fr.o.m. budgetåret 2002. Dessa förvaltningsanslag ingår </w:t>
      </w:r>
      <w:r w:rsidRPr="00237A2C">
        <w:rPr>
          <w:i/>
        </w:rPr>
        <w:t>inte</w:t>
      </w:r>
      <w:r w:rsidRPr="00237A2C">
        <w:t xml:space="preserve"> i den nu aktuella granskningen. Myndigheten Regeringskansliet studeras inom Riksdagens revisorer i en pågående granskning (Förstudie 2000/01:3).</w:t>
      </w:r>
    </w:p>
    <w:p w:rsidR="00AE50BA" w:rsidRPr="00237A2C" w:rsidRDefault="00AE50BA">
      <w:pPr>
        <w:pStyle w:val="Normaltindrag"/>
      </w:pPr>
      <w:r w:rsidRPr="00237A2C">
        <w:t>En annan typ av anslag som faller utanför denna undersökning gäller b</w:t>
      </w:r>
      <w:r w:rsidRPr="00237A2C">
        <w:t>i</w:t>
      </w:r>
      <w:r w:rsidRPr="00237A2C">
        <w:t>drag till olika organisationer samt olika typer av medlemsavgifter och där regeringen eller Regeringskansliet av praktiska skäl har dispositionsrätten. Som exempel kan nämnas bidragen till FN, OECD, Nordiska ministerrådet, SIPRI, WHO och andra internationella organisationer där Sverige gjort åt</w:t>
      </w:r>
      <w:r w:rsidRPr="00237A2C">
        <w:t>a</w:t>
      </w:r>
      <w:r w:rsidRPr="00237A2C">
        <w:t>ganden. Från undersökningen har även undantagits biståndsinsatser och fredsfrämjande insatser, områden där revisorerna genomfört granskningar (Granskningspromemoria 1999/2000:1 Regeringens Sydafrikasatsning) eller d</w:t>
      </w:r>
      <w:r w:rsidRPr="00237A2C">
        <w:t xml:space="preserve">är granskningar pågår (Förstudie 2000/01:5 Internationella fredsfrämjande insatser och hjälpinsatser). </w:t>
      </w:r>
    </w:p>
    <w:p w:rsidR="00AE50BA" w:rsidRPr="00237A2C" w:rsidRDefault="00AE50BA">
      <w:pPr>
        <w:pStyle w:val="Normaltindrag"/>
      </w:pPr>
      <w:r w:rsidRPr="00237A2C">
        <w:t>Bland mångfalden av övriga anslag som står till regeringens disposition kan bl.a. nämnas anslagen till Ekonomiska rådet, diverse kostnader för rätt</w:t>
      </w:r>
      <w:r w:rsidRPr="00237A2C">
        <w:t>s</w:t>
      </w:r>
      <w:r w:rsidRPr="00237A2C">
        <w:t>väsendet, information om Sverige i utlandet, Europainformation, offentligt biträde i utlänningsärenden, bidrag till undomsvård- och missbrukarvård, alkohol- och narkotikapolitiska åtgärder, arbetsmarknadspolitiska åtgärder, särskilda jämställdhetsåtgärder, utveckling av skola och barnomsorg, bidrag till kulturmiljövård, allmänna regionalpolitiska åtgärder, energiforskning, internationellt skogssamarbete samt kostnader för omstrukturering av vissa statligt ägda företag.</w:t>
      </w:r>
    </w:p>
    <w:p w:rsidR="00AE50BA" w:rsidRPr="00237A2C" w:rsidRDefault="00AE50BA">
      <w:pPr>
        <w:pStyle w:val="Normaltindrag"/>
      </w:pPr>
      <w:r w:rsidRPr="00237A2C">
        <w:t>Som redan inledningsvis angetts har t</w:t>
      </w:r>
      <w:r w:rsidRPr="00237A2C">
        <w:t>yngdpunkten i granskningen legat på att studera anslag där regeringen tagit på sig operativa uppgifter genom att själv besluta om fördelningen av bidrag för olika ändamål, uppgifter som enligt den svenska förvaltningsmodellen normalt ankommer på statliga my</w:t>
      </w:r>
      <w:r w:rsidRPr="00237A2C">
        <w:t>n</w:t>
      </w:r>
      <w:r w:rsidRPr="00237A2C">
        <w:t>digheter under regeringen. Åtta olika anslag eller projekt av denna typ har valts ut. I första hand har mer omfattande projekt och anslag av principiellt intresse studerats. Som jämförelse har även två anslag inom Finansdepart</w:t>
      </w:r>
      <w:r w:rsidRPr="00237A2C">
        <w:t>e</w:t>
      </w:r>
      <w:r w:rsidRPr="00237A2C">
        <w:t xml:space="preserve">mentets ansvarsområde, där </w:t>
      </w:r>
      <w:r w:rsidRPr="00237A2C">
        <w:t>regeringen närmast fungerar i en strategisk roll, studerats. Det gäller dels ett anslag för utvecklingsarbete som funnits under en lång följd av år, dels anslaget Kontrollfunktionen i staten som var uppfört på statsbudgeten under åren 1997</w:t>
      </w:r>
      <w:r w:rsidRPr="00237A2C">
        <w:sym w:font="Symbol" w:char="F02D"/>
      </w:r>
      <w:r w:rsidRPr="00237A2C">
        <w:t>1999</w:t>
      </w:r>
    </w:p>
    <w:p w:rsidR="00AE50BA" w:rsidRPr="00237A2C" w:rsidRDefault="00AE50BA">
      <w:r w:rsidRPr="00237A2C">
        <w:t>Följande tio anslag ingår i studien, nämligen</w:t>
      </w:r>
    </w:p>
    <w:p w:rsidR="00AE50BA" w:rsidRPr="00237A2C" w:rsidRDefault="00AE50BA">
      <w:pPr>
        <w:pStyle w:val="Normaltindrag"/>
        <w:numPr>
          <w:ilvl w:val="0"/>
          <w:numId w:val="8"/>
        </w:numPr>
      </w:pPr>
      <w:r w:rsidRPr="00237A2C">
        <w:t>Särskilda insatser i kommuner och landsting (Kommundelegationen och B</w:t>
      </w:r>
      <w:r w:rsidRPr="00237A2C">
        <w:t>o</w:t>
      </w:r>
      <w:r w:rsidRPr="00237A2C">
        <w:t>stadsdelegationen)</w:t>
      </w:r>
    </w:p>
    <w:p w:rsidR="00AE50BA" w:rsidRPr="00237A2C" w:rsidRDefault="00AE50BA">
      <w:pPr>
        <w:pStyle w:val="Normaltindrag"/>
        <w:numPr>
          <w:ilvl w:val="0"/>
          <w:numId w:val="8"/>
        </w:numPr>
      </w:pPr>
      <w:r w:rsidRPr="00237A2C">
        <w:t>Särskilda insatser i utsatta bostadsområden (Blommanpengarna)</w:t>
      </w:r>
    </w:p>
    <w:p w:rsidR="00AE50BA" w:rsidRPr="00237A2C" w:rsidRDefault="00AE50BA">
      <w:pPr>
        <w:pStyle w:val="Normaltindrag"/>
        <w:numPr>
          <w:ilvl w:val="0"/>
          <w:numId w:val="8"/>
        </w:numPr>
      </w:pPr>
      <w:r w:rsidRPr="00237A2C">
        <w:t>Samarbete och utveckling i Östersjöregionen m.m. (Östersjömiljarde</w:t>
      </w:r>
      <w:r w:rsidRPr="00237A2C">
        <w:t>r</w:t>
      </w:r>
      <w:r w:rsidRPr="00237A2C">
        <w:t>na)</w:t>
      </w:r>
    </w:p>
    <w:p w:rsidR="00AE50BA" w:rsidRPr="00237A2C" w:rsidRDefault="00AE50BA">
      <w:pPr>
        <w:pStyle w:val="Normaltindrag"/>
        <w:numPr>
          <w:ilvl w:val="0"/>
          <w:numId w:val="8"/>
        </w:numPr>
      </w:pPr>
      <w:r w:rsidRPr="00237A2C">
        <w:t>Investeringsbidrag för främjande av omställning i ekologiskt hållbar riktning (Kretsloppsmiljarden)</w:t>
      </w:r>
    </w:p>
    <w:p w:rsidR="00AE50BA" w:rsidRPr="00237A2C" w:rsidRDefault="00AE50BA">
      <w:pPr>
        <w:pStyle w:val="Normaltindrag"/>
        <w:numPr>
          <w:ilvl w:val="0"/>
          <w:numId w:val="8"/>
        </w:numPr>
      </w:pPr>
      <w:r w:rsidRPr="00237A2C">
        <w:t>Program för småföretagsutveckling (Småföretagsmiljarden)</w:t>
      </w:r>
    </w:p>
    <w:p w:rsidR="00AE50BA" w:rsidRPr="00237A2C" w:rsidRDefault="00AE50BA">
      <w:pPr>
        <w:pStyle w:val="Normaltindrag"/>
        <w:numPr>
          <w:ilvl w:val="0"/>
          <w:numId w:val="8"/>
        </w:numPr>
      </w:pPr>
      <w:r w:rsidRPr="00237A2C">
        <w:t>Särskilda utbildningsinsatser för vuxna (Kunskapslyftet)</w:t>
      </w:r>
    </w:p>
    <w:p w:rsidR="00AE50BA" w:rsidRPr="00237A2C" w:rsidRDefault="00AE50BA">
      <w:pPr>
        <w:pStyle w:val="Normaltindrag"/>
        <w:numPr>
          <w:ilvl w:val="0"/>
          <w:numId w:val="8"/>
        </w:numPr>
      </w:pPr>
      <w:r w:rsidRPr="00237A2C">
        <w:t>De lokala investeringsprogrammen</w:t>
      </w:r>
    </w:p>
    <w:p w:rsidR="00AE50BA" w:rsidRPr="00237A2C" w:rsidRDefault="00AE50BA">
      <w:pPr>
        <w:pStyle w:val="Normaltindrag"/>
        <w:numPr>
          <w:ilvl w:val="0"/>
          <w:numId w:val="8"/>
        </w:numPr>
      </w:pPr>
      <w:r w:rsidRPr="00237A2C">
        <w:t>Program för IT i skolan (ITiS)</w:t>
      </w:r>
    </w:p>
    <w:p w:rsidR="00AE50BA" w:rsidRPr="00237A2C" w:rsidRDefault="00AE50BA">
      <w:pPr>
        <w:pStyle w:val="Normaltindrag"/>
        <w:numPr>
          <w:ilvl w:val="0"/>
          <w:numId w:val="8"/>
        </w:numPr>
      </w:pPr>
      <w:r w:rsidRPr="00237A2C">
        <w:t>Utvecklingsarbete (inom Finansdepartementets ansvarsområde)</w:t>
      </w:r>
    </w:p>
    <w:p w:rsidR="00AE50BA" w:rsidRPr="00237A2C" w:rsidRDefault="00AE50BA">
      <w:pPr>
        <w:pStyle w:val="Normaltindrag"/>
        <w:numPr>
          <w:ilvl w:val="0"/>
          <w:numId w:val="8"/>
        </w:numPr>
      </w:pPr>
      <w:r w:rsidRPr="00237A2C">
        <w:t>Kontrollfunktionen i staten</w:t>
      </w:r>
    </w:p>
    <w:p w:rsidR="00AE50BA" w:rsidRPr="00237A2C" w:rsidRDefault="00AE50BA">
      <w:pPr>
        <w:pStyle w:val="Rubrik1"/>
        <w:ind w:left="227" w:hanging="227"/>
      </w:pPr>
      <w:bookmarkStart w:id="106" w:name="_Toc509125569"/>
      <w:bookmarkStart w:id="107" w:name="_Toc509738001"/>
      <w:bookmarkStart w:id="108" w:name="_Toc516991621"/>
      <w:r w:rsidRPr="00237A2C">
        <w:t>4 De undersökta anslagens hantering i budgetprocessen</w:t>
      </w:r>
      <w:bookmarkEnd w:id="106"/>
      <w:bookmarkEnd w:id="107"/>
      <w:bookmarkEnd w:id="108"/>
    </w:p>
    <w:p w:rsidR="00AE50BA" w:rsidRPr="00237A2C" w:rsidRDefault="00AE50BA">
      <w:pPr>
        <w:pStyle w:val="Rubrik3"/>
      </w:pPr>
      <w:bookmarkStart w:id="109" w:name="_Toc509125570"/>
      <w:bookmarkStart w:id="110" w:name="_Toc509738002"/>
      <w:bookmarkStart w:id="111" w:name="_Toc516991622"/>
      <w:r w:rsidRPr="00237A2C">
        <w:t>4.1 Inledning</w:t>
      </w:r>
      <w:bookmarkEnd w:id="109"/>
      <w:bookmarkEnd w:id="110"/>
      <w:bookmarkEnd w:id="111"/>
    </w:p>
    <w:p w:rsidR="00AE50BA" w:rsidRPr="00237A2C" w:rsidRDefault="00AE50BA">
      <w:r w:rsidRPr="00237A2C">
        <w:t>En kartläggning och analys har genomförts av hur de utvalda anslagen har behandlats av riksdagen i anslutning till budgetprocessen. Genomgången omfattar huvuddelen av den bidragsgivning i form av projektstöd som reg</w:t>
      </w:r>
      <w:r w:rsidRPr="00237A2C">
        <w:t>e</w:t>
      </w:r>
      <w:r w:rsidRPr="00237A2C">
        <w:t xml:space="preserve">ringen själv ansvarat för sedan mitten av 1990-talet. </w:t>
      </w:r>
    </w:p>
    <w:p w:rsidR="00AE50BA" w:rsidRPr="00237A2C" w:rsidRDefault="00AE50BA">
      <w:pPr>
        <w:pStyle w:val="Normaltindrag"/>
      </w:pPr>
      <w:r w:rsidRPr="00237A2C">
        <w:t>Tio olika anslag har således studerats och tyngdpunkten i granskningen omfattar de av riksdagen för de aktuella verksamheterna beslutade anslagen för budgetåren 1997</w:t>
      </w:r>
      <w:r w:rsidRPr="00237A2C">
        <w:sym w:font="Symbol" w:char="F02D"/>
      </w:r>
      <w:r w:rsidRPr="00237A2C">
        <w:t>2000. För några av projekten har även budgetåren 1994/95 och 1995/96 studerats. Det är då värt att notera att fr.o.m. år 1997 sammanfaller kalenderår och budgetår. Samtidigt ändrades budgetprocessen i staten och den nya budgetlagen infördes. Vid samma tidpunkt slogs depart</w:t>
      </w:r>
      <w:r w:rsidRPr="00237A2C">
        <w:t>e</w:t>
      </w:r>
      <w:r w:rsidRPr="00237A2C">
        <w:t>menten (exklusive UD) samman till myndigheten Regeringskansliet. När det gäller återrapporteringen till riksdagen av resultat har även skrivningar i budge</w:t>
      </w:r>
      <w:r w:rsidRPr="00237A2C">
        <w:t>t</w:t>
      </w:r>
      <w:r w:rsidRPr="00237A2C">
        <w:t xml:space="preserve">propositionen för år 2001 beaktats. </w:t>
      </w:r>
    </w:p>
    <w:p w:rsidR="00AE50BA" w:rsidRPr="00237A2C" w:rsidRDefault="00AE50BA">
      <w:pPr>
        <w:pStyle w:val="Normaltindrag"/>
      </w:pPr>
      <w:r w:rsidRPr="00237A2C">
        <w:t>Genomgången, som i sin helhet presenteras i b</w:t>
      </w:r>
      <w:r w:rsidRPr="00237A2C">
        <w:t>ilaga 1, inleds för varje a</w:t>
      </w:r>
      <w:r w:rsidRPr="00237A2C">
        <w:t>n</w:t>
      </w:r>
      <w:r w:rsidRPr="00237A2C">
        <w:t>slag med en beskrivning av bakgrund, motiv och mål såsom de anges av regeringen i främst budgetpropositionerna. Därefter behandlas resursfrågor, olika genomförandefrågor, frågor om hur kontrollen av de anslagna medlen har redovisats samt vilken återrapportering av uppnådda resultat som gjorts till riksdagen. I föreliggande avsnitt görs en sammanfattning av några av de viktigare generella iak</w:t>
      </w:r>
      <w:r w:rsidRPr="00237A2C">
        <w:t>t</w:t>
      </w:r>
      <w:r w:rsidRPr="00237A2C">
        <w:t xml:space="preserve">tagelserna. </w:t>
      </w:r>
    </w:p>
    <w:p w:rsidR="00AE50BA" w:rsidRPr="00237A2C" w:rsidRDefault="00AE50BA">
      <w:pPr>
        <w:pStyle w:val="Rubrik3"/>
      </w:pPr>
      <w:bookmarkStart w:id="112" w:name="_Toc509125571"/>
      <w:bookmarkStart w:id="113" w:name="_Toc509738003"/>
      <w:bookmarkStart w:id="114" w:name="_Toc516991623"/>
      <w:r w:rsidRPr="00237A2C">
        <w:t>4.2 Bakgrund, motiv och mål</w:t>
      </w:r>
      <w:bookmarkEnd w:id="112"/>
      <w:bookmarkEnd w:id="113"/>
      <w:bookmarkEnd w:id="114"/>
    </w:p>
    <w:p w:rsidR="00AE50BA" w:rsidRPr="00237A2C" w:rsidRDefault="00AE50BA">
      <w:r w:rsidRPr="00237A2C">
        <w:t>Det kan konstateras att flera av de aktuella projekten initierades i samband med regeringens sysselsättningsproposition sommaren 1996 (prop. 1995/96:222). I detta sammanhang beslutades om tre paket om vartdera 1 miljard kronor, nämligen Småförtagsmiljarden, den första Östersjömiljarden och Kretsloppsmiljarden. I samma proposition aviserades också Kunskap</w:t>
      </w:r>
      <w:r w:rsidRPr="00237A2C">
        <w:t>s</w:t>
      </w:r>
      <w:r w:rsidRPr="00237A2C">
        <w:t>lyftet, där beslut fattades hösten 1996 i anslutning till behandlingen av bu</w:t>
      </w:r>
      <w:r w:rsidRPr="00237A2C">
        <w:t>d</w:t>
      </w:r>
      <w:r w:rsidRPr="00237A2C">
        <w:t>getförslaget för år 1997. Ett år senare, hösten 1997,  beslutade riksdagen om de lokala investeringsprogrammen och år 1998 om satsningen på IT i sk</w:t>
      </w:r>
      <w:r w:rsidRPr="00237A2C">
        <w:t>o</w:t>
      </w:r>
      <w:r w:rsidRPr="00237A2C">
        <w:t>lan.</w:t>
      </w:r>
    </w:p>
    <w:p w:rsidR="00AE50BA" w:rsidRPr="00237A2C" w:rsidRDefault="00AE50BA">
      <w:pPr>
        <w:pStyle w:val="Normaltindrag"/>
      </w:pPr>
      <w:r w:rsidRPr="00237A2C">
        <w:t>Några av programmen har från början varit tidsbegränsade, t.ex. Ku</w:t>
      </w:r>
      <w:r w:rsidRPr="00237A2C">
        <w:t>n</w:t>
      </w:r>
      <w:r w:rsidRPr="00237A2C">
        <w:t xml:space="preserve">skapslyftet, IT i skolan och de lokala investeringsprogrammen. Andra har blivit mer eller mindre permanenta inslag i regeringens arbete. Det gäller t.ex. Storstadssatsningen och bidragen till särskilda insatser i kommuner och landsting, vilka båda introducerades år 1996. De tre miljardprojekten från sommaren 1996 blev automatiskt tidsbegränsade genom att anslagen gavs formen av reservationsanslag. En effekt av detta kan å andra sidan ha blivit att dessa anslag inte blivit föremål för kontinuerlig prövning </w:t>
      </w:r>
      <w:r w:rsidRPr="00237A2C">
        <w:t>av riksdagen och att återrapporteringen av resultat därmed också tenderat att bli sä</w:t>
      </w:r>
      <w:r w:rsidRPr="00237A2C">
        <w:t>m</w:t>
      </w:r>
      <w:r w:rsidRPr="00237A2C">
        <w:t>re.</w:t>
      </w:r>
    </w:p>
    <w:p w:rsidR="00AE50BA" w:rsidRPr="00237A2C" w:rsidRDefault="00AE50BA">
      <w:pPr>
        <w:pStyle w:val="Normaltindrag"/>
      </w:pPr>
      <w:r w:rsidRPr="00237A2C">
        <w:t>Som framgår av genomgången hanteras betydande belopp under de stud</w:t>
      </w:r>
      <w:r w:rsidRPr="00237A2C">
        <w:t>e</w:t>
      </w:r>
      <w:r w:rsidRPr="00237A2C">
        <w:t>rade anslagen. Det rör sig i flertalet fall om miljardbelopp. Särklassigt störst är Kunskapslyftet som under den här aktuella perioden totalt omfattar nära 24 miljarder kronor. Därnäst kommer de lokala investeringsprogrammen och de särskilda medlen för kommunsektorn som vardera uppgår till cirka 6,6 miljarder kronor. Totalt handlar det under perioden 1996</w:t>
      </w:r>
      <w:r w:rsidRPr="00237A2C">
        <w:sym w:font="Symbol" w:char="F02D"/>
      </w:r>
      <w:r w:rsidRPr="00237A2C">
        <w:t>2002 om drygt 44 miljarder kronor eller drygt 6 miljarder kronor i genomsnitt per år.</w:t>
      </w:r>
    </w:p>
    <w:p w:rsidR="00AE50BA" w:rsidRPr="00237A2C" w:rsidRDefault="00AE50BA">
      <w:pPr>
        <w:pStyle w:val="Normaltindrag"/>
      </w:pPr>
      <w:r w:rsidRPr="00237A2C">
        <w:t>Det bör då noteras att besluten om bidrag inom ramen för Kunskapsly</w:t>
      </w:r>
      <w:r w:rsidRPr="00237A2C">
        <w:t>ftet fr.o.m. år 1999 överförts från regeringen till Skolverket. Anslagen till Ku</w:t>
      </w:r>
      <w:r w:rsidRPr="00237A2C">
        <w:t>n</w:t>
      </w:r>
      <w:r w:rsidRPr="00237A2C">
        <w:t>skapslyftet under perioden 1999</w:t>
      </w:r>
      <w:r w:rsidRPr="00237A2C">
        <w:sym w:font="Symbol" w:char="F02D"/>
      </w:r>
      <w:r w:rsidRPr="00237A2C">
        <w:t>2002 kan beräknas uppgå till drygt 17 miljarder kronor. Om man undantar denna senare summa från beräkningarna uppgår bidragen som regeringen fördelar från de studerade anslagen under den aktuella perioden till i genomsnitt nära 4 miljarder kronor årligen. Som jämförelse kan nämnas att utgifterna inom utgiftsområde 1 Rikets styrelse budgetåret 2000 uppgick till ca 4,5 miljarder kronor.</w:t>
      </w:r>
    </w:p>
    <w:p w:rsidR="00AE50BA" w:rsidRPr="00237A2C" w:rsidRDefault="00AE50BA">
      <w:pPr>
        <w:pStyle w:val="Normaltindrag"/>
      </w:pPr>
      <w:r w:rsidRPr="00237A2C">
        <w:t>Vilka är då</w:t>
      </w:r>
      <w:r w:rsidRPr="00237A2C">
        <w:t xml:space="preserve"> motiven till att regeringen själv skall fördela vissa bidrag? Det kan konstateras att regeringen till riksdagen i regel inte angivit några sådana särskilda motiv. Motiven har snarast varit underförstådda eller redovisats i annat sammanhang. Det kan då t.ex. handla om att sektorsövergripande lösningar behövs till följd av att målen för insatserna är mångfasetterade eller splittrade, att lämplig sektorsmyndighet inte funnits eller på kravet på snab</w:t>
      </w:r>
      <w:r w:rsidRPr="00237A2C">
        <w:t>b</w:t>
      </w:r>
      <w:r w:rsidRPr="00237A2C">
        <w:t xml:space="preserve">het och flexibilitet i hanteringen. </w:t>
      </w:r>
    </w:p>
    <w:p w:rsidR="00AE50BA" w:rsidRPr="00237A2C" w:rsidRDefault="00AE50BA">
      <w:pPr>
        <w:pStyle w:val="Rubrik3"/>
      </w:pPr>
      <w:bookmarkStart w:id="115" w:name="_Toc509125572"/>
      <w:bookmarkStart w:id="116" w:name="_Toc509738004"/>
      <w:bookmarkStart w:id="117" w:name="_Toc516991624"/>
      <w:r w:rsidRPr="00237A2C">
        <w:t>4.3 Regeringens hanteri</w:t>
      </w:r>
      <w:r w:rsidRPr="00237A2C">
        <w:t>ng av de studerade anslagen</w:t>
      </w:r>
      <w:bookmarkEnd w:id="115"/>
      <w:bookmarkEnd w:id="116"/>
      <w:bookmarkEnd w:id="117"/>
    </w:p>
    <w:p w:rsidR="00AE50BA" w:rsidRPr="00237A2C" w:rsidRDefault="00AE50BA">
      <w:r w:rsidRPr="00237A2C">
        <w:t>En viktig del i granskningen är att studera det sätt på vilket regeringen hant</w:t>
      </w:r>
      <w:r w:rsidRPr="00237A2C">
        <w:t>e</w:t>
      </w:r>
      <w:r w:rsidRPr="00237A2C">
        <w:t xml:space="preserve">rat genomförandet av riksdagens beslut för de aktuella anslagen. Några av de centrala frågeställningarna har varit: </w:t>
      </w:r>
    </w:p>
    <w:p w:rsidR="00AE50BA" w:rsidRPr="00237A2C" w:rsidRDefault="00AE50BA">
      <w:pPr>
        <w:numPr>
          <w:ilvl w:val="0"/>
          <w:numId w:val="8"/>
        </w:numPr>
      </w:pPr>
      <w:r w:rsidRPr="00237A2C">
        <w:t>Har kriterierna för bidragsfördelningen dokumenterats i någon förfat</w:t>
      </w:r>
      <w:r w:rsidRPr="00237A2C">
        <w:t>t</w:t>
      </w:r>
      <w:r w:rsidRPr="00237A2C">
        <w:t xml:space="preserve">ning ? </w:t>
      </w:r>
    </w:p>
    <w:p w:rsidR="00AE50BA" w:rsidRPr="00237A2C" w:rsidRDefault="00AE50BA">
      <w:pPr>
        <w:numPr>
          <w:ilvl w:val="0"/>
          <w:numId w:val="8"/>
        </w:numPr>
      </w:pPr>
      <w:r w:rsidRPr="00237A2C">
        <w:t xml:space="preserve">Har regeringens beslut varit föremål för beredning av något fristående organ eller har beredningen skett inom den reguljära organisationen? </w:t>
      </w:r>
    </w:p>
    <w:p w:rsidR="00AE50BA" w:rsidRPr="00237A2C" w:rsidRDefault="00AE50BA">
      <w:pPr>
        <w:numPr>
          <w:ilvl w:val="0"/>
          <w:numId w:val="8"/>
        </w:numPr>
      </w:pPr>
      <w:r w:rsidRPr="00237A2C">
        <w:t xml:space="preserve">Har beslutanderätten delegerats till något annat organ? </w:t>
      </w:r>
    </w:p>
    <w:p w:rsidR="00AE50BA" w:rsidRPr="00237A2C" w:rsidRDefault="00AE50BA">
      <w:r w:rsidRPr="00237A2C">
        <w:t>Nedanstående sammanställning visar resultatet för några av de viktigare faktorerna. För några av anslagen har förändringar gjorts efterhand. Dessa förändringar redov</w:t>
      </w:r>
      <w:r w:rsidRPr="00237A2C">
        <w:t>i</w:t>
      </w:r>
      <w:r w:rsidRPr="00237A2C">
        <w:t>sas i kronologisk ordning.</w:t>
      </w:r>
    </w:p>
    <w:p w:rsidR="00AE50BA" w:rsidRPr="00237A2C" w:rsidRDefault="00AE50BA">
      <w:pPr>
        <w:tabs>
          <w:tab w:val="left" w:pos="426"/>
          <w:tab w:val="left" w:pos="1985"/>
          <w:tab w:val="left" w:pos="4111"/>
        </w:tabs>
        <w:ind w:right="-200"/>
        <w:rPr>
          <w:b/>
        </w:rPr>
      </w:pPr>
      <w:r w:rsidRPr="00237A2C">
        <w:br w:type="page"/>
      </w:r>
      <w:r w:rsidRPr="00237A2C">
        <w:rPr>
          <w:b/>
        </w:rPr>
        <w:t>Anslag</w:t>
      </w:r>
      <w:r w:rsidRPr="00237A2C">
        <w:rPr>
          <w:b/>
        </w:rPr>
        <w:tab/>
        <w:t>Författning, direktiv</w:t>
      </w:r>
      <w:r w:rsidRPr="00237A2C">
        <w:rPr>
          <w:b/>
        </w:rPr>
        <w:tab/>
        <w:t>Beredning, beslut</w:t>
      </w:r>
    </w:p>
    <w:p w:rsidR="00AE50BA" w:rsidRPr="00237A2C" w:rsidRDefault="00AE50BA">
      <w:pPr>
        <w:pStyle w:val="Brdtext2"/>
        <w:tabs>
          <w:tab w:val="left" w:pos="426"/>
          <w:tab w:val="left" w:pos="1985"/>
          <w:tab w:val="left" w:pos="4111"/>
        </w:tabs>
        <w:spacing w:before="62"/>
        <w:ind w:right="-200"/>
        <w:rPr>
          <w:sz w:val="18"/>
        </w:rPr>
      </w:pPr>
      <w:r w:rsidRPr="00237A2C">
        <w:rPr>
          <w:sz w:val="18"/>
        </w:rPr>
        <w:t>1. Kommunakut m.m.</w:t>
      </w:r>
    </w:p>
    <w:p w:rsidR="00AE50BA" w:rsidRPr="00237A2C" w:rsidRDefault="00AE50BA">
      <w:pPr>
        <w:pStyle w:val="Brdtext2"/>
        <w:tabs>
          <w:tab w:val="left" w:pos="1985"/>
          <w:tab w:val="left" w:pos="4111"/>
        </w:tabs>
        <w:spacing w:before="120"/>
        <w:ind w:left="426" w:right="-198" w:hanging="284"/>
        <w:rPr>
          <w:sz w:val="18"/>
        </w:rPr>
      </w:pPr>
      <w:r w:rsidRPr="00237A2C">
        <w:rPr>
          <w:sz w:val="18"/>
        </w:rPr>
        <w:t>a)</w:t>
      </w:r>
      <w:r w:rsidRPr="00237A2C">
        <w:rPr>
          <w:sz w:val="18"/>
        </w:rPr>
        <w:tab/>
        <w:t>Bidrag till om-</w:t>
      </w:r>
    </w:p>
    <w:p w:rsidR="00AE50BA" w:rsidRPr="00237A2C" w:rsidRDefault="00AE50BA">
      <w:pPr>
        <w:pStyle w:val="Brdtext2"/>
        <w:tabs>
          <w:tab w:val="left" w:pos="1985"/>
          <w:tab w:val="left" w:pos="4111"/>
        </w:tabs>
        <w:spacing w:before="0"/>
        <w:ind w:left="426" w:right="-198" w:hanging="284"/>
        <w:rPr>
          <w:sz w:val="18"/>
        </w:rPr>
      </w:pPr>
      <w:r w:rsidRPr="00237A2C">
        <w:rPr>
          <w:sz w:val="18"/>
        </w:rPr>
        <w:tab/>
        <w:t>strukturering</w:t>
      </w:r>
      <w:r w:rsidRPr="00237A2C">
        <w:rPr>
          <w:sz w:val="18"/>
        </w:rPr>
        <w:tab/>
        <w:t>- Dir. 1996:67</w:t>
      </w:r>
      <w:r w:rsidRPr="00237A2C">
        <w:rPr>
          <w:sz w:val="18"/>
        </w:rPr>
        <w:tab/>
        <w:t>- Kommitté föreslår.</w:t>
      </w:r>
    </w:p>
    <w:p w:rsidR="00AE50BA" w:rsidRPr="00237A2C" w:rsidRDefault="00AE50BA">
      <w:pPr>
        <w:pStyle w:val="Brdtext2"/>
        <w:tabs>
          <w:tab w:val="left" w:pos="1985"/>
          <w:tab w:val="left" w:pos="4111"/>
        </w:tabs>
        <w:spacing w:before="80"/>
        <w:ind w:left="426" w:right="-198" w:hanging="284"/>
        <w:rPr>
          <w:sz w:val="18"/>
        </w:rPr>
      </w:pPr>
      <w:r w:rsidRPr="00237A2C">
        <w:rPr>
          <w:sz w:val="18"/>
        </w:rPr>
        <w:tab/>
      </w:r>
      <w:r w:rsidRPr="00237A2C">
        <w:rPr>
          <w:sz w:val="18"/>
        </w:rPr>
        <w:tab/>
      </w:r>
      <w:r w:rsidRPr="00237A2C">
        <w:rPr>
          <w:sz w:val="18"/>
        </w:rPr>
        <w:tab/>
        <w:t xml:space="preserve">Regeringen beslutar om </w:t>
      </w:r>
      <w:r w:rsidRPr="00237A2C">
        <w:rPr>
          <w:sz w:val="18"/>
        </w:rPr>
        <w:tab/>
      </w:r>
      <w:r w:rsidRPr="00237A2C">
        <w:rPr>
          <w:sz w:val="18"/>
        </w:rPr>
        <w:tab/>
        <w:t>bidrag till omstrukture</w:t>
      </w:r>
      <w:r w:rsidRPr="00237A2C">
        <w:rPr>
          <w:sz w:val="18"/>
        </w:rPr>
        <w:tab/>
      </w:r>
      <w:r w:rsidRPr="00237A2C">
        <w:rPr>
          <w:sz w:val="18"/>
        </w:rPr>
        <w:tab/>
        <w:t>ring</w:t>
      </w:r>
    </w:p>
    <w:p w:rsidR="00AE50BA" w:rsidRPr="00237A2C" w:rsidRDefault="00AE50BA">
      <w:pPr>
        <w:tabs>
          <w:tab w:val="left" w:pos="1985"/>
          <w:tab w:val="left" w:pos="4111"/>
        </w:tabs>
        <w:spacing w:before="120"/>
        <w:ind w:left="426" w:right="-198" w:hanging="284"/>
        <w:jc w:val="left"/>
        <w:rPr>
          <w:sz w:val="18"/>
        </w:rPr>
      </w:pPr>
      <w:r w:rsidRPr="00237A2C">
        <w:rPr>
          <w:sz w:val="18"/>
        </w:rPr>
        <w:t>b)</w:t>
      </w:r>
      <w:r w:rsidRPr="00237A2C">
        <w:rPr>
          <w:sz w:val="18"/>
        </w:rPr>
        <w:tab/>
        <w:t>Bostadsakut</w:t>
      </w:r>
      <w:r w:rsidRPr="00237A2C">
        <w:rPr>
          <w:sz w:val="18"/>
        </w:rPr>
        <w:tab/>
        <w:t>- 1998:666</w:t>
      </w:r>
      <w:r w:rsidRPr="00237A2C">
        <w:rPr>
          <w:sz w:val="18"/>
        </w:rPr>
        <w:tab/>
        <w:t xml:space="preserve">- Bostadsdelegationen </w:t>
      </w:r>
      <w:r w:rsidRPr="00237A2C">
        <w:rPr>
          <w:sz w:val="18"/>
        </w:rPr>
        <w:tab/>
      </w:r>
      <w:r w:rsidRPr="00237A2C">
        <w:rPr>
          <w:sz w:val="18"/>
        </w:rPr>
        <w:tab/>
        <w:t>beslutar</w:t>
      </w:r>
    </w:p>
    <w:p w:rsidR="00AE50BA" w:rsidRPr="00237A2C" w:rsidRDefault="00AE50BA">
      <w:pPr>
        <w:pStyle w:val="Normaltindrag"/>
        <w:tabs>
          <w:tab w:val="left" w:pos="1985"/>
          <w:tab w:val="left" w:pos="4111"/>
        </w:tabs>
        <w:spacing w:before="120"/>
        <w:ind w:left="426" w:right="-198" w:hanging="284"/>
        <w:jc w:val="left"/>
        <w:rPr>
          <w:sz w:val="18"/>
        </w:rPr>
      </w:pPr>
      <w:r w:rsidRPr="00237A2C">
        <w:rPr>
          <w:sz w:val="18"/>
        </w:rPr>
        <w:t>c)</w:t>
      </w:r>
      <w:r w:rsidRPr="00237A2C">
        <w:rPr>
          <w:sz w:val="18"/>
        </w:rPr>
        <w:tab/>
        <w:t>Kommunakut</w:t>
      </w:r>
      <w:r w:rsidRPr="00237A2C">
        <w:rPr>
          <w:sz w:val="18"/>
        </w:rPr>
        <w:tab/>
        <w:t>- Dir. 1999:65</w:t>
      </w:r>
      <w:r w:rsidRPr="00237A2C">
        <w:rPr>
          <w:sz w:val="18"/>
        </w:rPr>
        <w:tab/>
        <w:t xml:space="preserve">- Kommundelegtionen </w:t>
      </w:r>
      <w:r w:rsidRPr="00237A2C">
        <w:rPr>
          <w:sz w:val="18"/>
        </w:rPr>
        <w:tab/>
      </w:r>
      <w:r w:rsidRPr="00237A2C">
        <w:rPr>
          <w:sz w:val="18"/>
        </w:rPr>
        <w:tab/>
        <w:t>bereder. Regeringen</w:t>
      </w:r>
      <w:r w:rsidRPr="00237A2C">
        <w:rPr>
          <w:sz w:val="18"/>
        </w:rPr>
        <w:tab/>
      </w:r>
      <w:r w:rsidRPr="00237A2C">
        <w:rPr>
          <w:sz w:val="18"/>
        </w:rPr>
        <w:tab/>
        <w:t>beslutar</w:t>
      </w:r>
    </w:p>
    <w:p w:rsidR="00AE50BA" w:rsidRPr="00237A2C" w:rsidRDefault="00AE50BA">
      <w:pPr>
        <w:tabs>
          <w:tab w:val="left" w:pos="1985"/>
          <w:tab w:val="left" w:pos="4111"/>
        </w:tabs>
        <w:spacing w:before="120"/>
        <w:ind w:left="426" w:right="-198" w:hanging="284"/>
        <w:jc w:val="left"/>
        <w:rPr>
          <w:sz w:val="18"/>
        </w:rPr>
      </w:pPr>
      <w:r w:rsidRPr="00237A2C">
        <w:rPr>
          <w:sz w:val="18"/>
        </w:rPr>
        <w:t>d)</w:t>
      </w:r>
      <w:r w:rsidRPr="00237A2C">
        <w:rPr>
          <w:sz w:val="18"/>
        </w:rPr>
        <w:tab/>
        <w:t>Övriga ändamål</w:t>
      </w:r>
      <w:r w:rsidRPr="00237A2C">
        <w:rPr>
          <w:sz w:val="18"/>
        </w:rPr>
        <w:tab/>
      </w:r>
      <w:r w:rsidRPr="00237A2C">
        <w:rPr>
          <w:sz w:val="18"/>
        </w:rPr>
        <w:tab/>
        <w:t xml:space="preserve">- Regeringen har dessutom </w:t>
      </w:r>
      <w:r w:rsidRPr="00237A2C">
        <w:rPr>
          <w:sz w:val="18"/>
        </w:rPr>
        <w:tab/>
      </w:r>
      <w:r w:rsidRPr="00237A2C">
        <w:rPr>
          <w:sz w:val="18"/>
        </w:rPr>
        <w:tab/>
        <w:t xml:space="preserve">beslutat om medel för flera </w:t>
      </w:r>
      <w:r w:rsidRPr="00237A2C">
        <w:rPr>
          <w:sz w:val="18"/>
        </w:rPr>
        <w:tab/>
      </w:r>
      <w:r w:rsidRPr="00237A2C">
        <w:rPr>
          <w:sz w:val="18"/>
        </w:rPr>
        <w:tab/>
        <w:t xml:space="preserve">andra ändamål utan att </w:t>
      </w:r>
      <w:r w:rsidRPr="00237A2C">
        <w:rPr>
          <w:sz w:val="18"/>
        </w:rPr>
        <w:tab/>
      </w:r>
      <w:r w:rsidRPr="00237A2C">
        <w:rPr>
          <w:sz w:val="18"/>
        </w:rPr>
        <w:tab/>
        <w:t>ange några kriterier</w:t>
      </w:r>
    </w:p>
    <w:p w:rsidR="00AE50BA" w:rsidRPr="00237A2C" w:rsidRDefault="00AE50BA">
      <w:pPr>
        <w:tabs>
          <w:tab w:val="left" w:pos="426"/>
          <w:tab w:val="left" w:pos="1985"/>
          <w:tab w:val="left" w:pos="4111"/>
        </w:tabs>
        <w:spacing w:before="120"/>
        <w:ind w:right="-198"/>
        <w:jc w:val="left"/>
        <w:rPr>
          <w:sz w:val="18"/>
        </w:rPr>
      </w:pPr>
      <w:r w:rsidRPr="00237A2C">
        <w:rPr>
          <w:sz w:val="18"/>
        </w:rPr>
        <w:t>2. Storstadssatsningen</w:t>
      </w:r>
      <w:r w:rsidRPr="00237A2C">
        <w:rPr>
          <w:sz w:val="18"/>
        </w:rPr>
        <w:tab/>
        <w:t>-Riktlinjer i prop.</w:t>
      </w:r>
      <w:r w:rsidRPr="00237A2C">
        <w:rPr>
          <w:sz w:val="18"/>
        </w:rPr>
        <w:tab/>
        <w:t>-Regeringen beslutar,</w:t>
      </w:r>
      <w:r w:rsidRPr="00237A2C">
        <w:rPr>
          <w:sz w:val="18"/>
        </w:rPr>
        <w:tab/>
      </w:r>
      <w:r w:rsidRPr="00237A2C">
        <w:rPr>
          <w:sz w:val="18"/>
        </w:rPr>
        <w:tab/>
      </w:r>
      <w:r w:rsidRPr="00237A2C">
        <w:rPr>
          <w:sz w:val="18"/>
        </w:rPr>
        <w:tab/>
        <w:t xml:space="preserve">fr.o.m. 1999 efter förslag </w:t>
      </w:r>
      <w:r w:rsidRPr="00237A2C">
        <w:rPr>
          <w:sz w:val="18"/>
        </w:rPr>
        <w:tab/>
      </w:r>
      <w:r w:rsidRPr="00237A2C">
        <w:rPr>
          <w:sz w:val="18"/>
        </w:rPr>
        <w:tab/>
      </w:r>
      <w:r w:rsidRPr="00237A2C">
        <w:rPr>
          <w:sz w:val="18"/>
        </w:rPr>
        <w:tab/>
        <w:t>av Storstadsdelegationen</w:t>
      </w:r>
    </w:p>
    <w:p w:rsidR="00AE50BA" w:rsidRPr="00237A2C" w:rsidRDefault="00AE50BA">
      <w:pPr>
        <w:tabs>
          <w:tab w:val="left" w:pos="284"/>
          <w:tab w:val="left" w:pos="1985"/>
          <w:tab w:val="left" w:pos="4111"/>
        </w:tabs>
        <w:spacing w:before="120"/>
        <w:ind w:right="-198"/>
        <w:jc w:val="left"/>
        <w:rPr>
          <w:sz w:val="18"/>
        </w:rPr>
      </w:pPr>
      <w:r w:rsidRPr="00237A2C">
        <w:rPr>
          <w:sz w:val="18"/>
        </w:rPr>
        <w:t>3. Östersjömiljarderna</w:t>
      </w:r>
      <w:r w:rsidRPr="00237A2C">
        <w:rPr>
          <w:sz w:val="18"/>
        </w:rPr>
        <w:tab/>
        <w:t>- Riktlinjer i prop.</w:t>
      </w:r>
      <w:r w:rsidRPr="00237A2C">
        <w:rPr>
          <w:sz w:val="18"/>
        </w:rPr>
        <w:tab/>
        <w:t xml:space="preserve">- Regeringen beslutar om </w:t>
      </w:r>
      <w:r w:rsidRPr="00237A2C">
        <w:rPr>
          <w:sz w:val="18"/>
        </w:rPr>
        <w:tab/>
      </w:r>
      <w:r w:rsidRPr="00237A2C">
        <w:rPr>
          <w:sz w:val="18"/>
        </w:rPr>
        <w:tab/>
      </w:r>
      <w:r w:rsidRPr="00237A2C">
        <w:rPr>
          <w:sz w:val="18"/>
        </w:rPr>
        <w:tab/>
        <w:t>ÖM 1</w:t>
      </w:r>
    </w:p>
    <w:p w:rsidR="00AE50BA" w:rsidRPr="00237A2C" w:rsidRDefault="00AE50BA">
      <w:pPr>
        <w:tabs>
          <w:tab w:val="left" w:pos="284"/>
          <w:tab w:val="left" w:pos="426"/>
          <w:tab w:val="left" w:pos="1985"/>
          <w:tab w:val="left" w:pos="4111"/>
        </w:tabs>
        <w:spacing w:before="80"/>
        <w:ind w:right="-198"/>
        <w:jc w:val="left"/>
        <w:rPr>
          <w:sz w:val="18"/>
        </w:rPr>
      </w:pPr>
      <w:r w:rsidRPr="00237A2C">
        <w:rPr>
          <w:sz w:val="18"/>
        </w:rPr>
        <w:tab/>
      </w:r>
      <w:r w:rsidRPr="00237A2C">
        <w:rPr>
          <w:sz w:val="18"/>
        </w:rPr>
        <w:tab/>
      </w:r>
      <w:r w:rsidRPr="00237A2C">
        <w:rPr>
          <w:sz w:val="18"/>
        </w:rPr>
        <w:tab/>
      </w:r>
      <w:r w:rsidRPr="00237A2C">
        <w:rPr>
          <w:sz w:val="18"/>
        </w:rPr>
        <w:tab/>
        <w:t xml:space="preserve">- Regeringen beslutar om </w:t>
      </w:r>
      <w:r w:rsidRPr="00237A2C">
        <w:rPr>
          <w:sz w:val="18"/>
        </w:rPr>
        <w:tab/>
      </w:r>
      <w:r w:rsidRPr="00237A2C">
        <w:rPr>
          <w:sz w:val="18"/>
        </w:rPr>
        <w:tab/>
      </w:r>
      <w:r w:rsidRPr="00237A2C">
        <w:rPr>
          <w:sz w:val="18"/>
        </w:rPr>
        <w:tab/>
      </w:r>
      <w:r w:rsidRPr="00237A2C">
        <w:rPr>
          <w:sz w:val="18"/>
        </w:rPr>
        <w:tab/>
        <w:t xml:space="preserve">ÖM 2 efter förslag av </w:t>
      </w:r>
      <w:r w:rsidRPr="00237A2C">
        <w:rPr>
          <w:sz w:val="18"/>
        </w:rPr>
        <w:tab/>
      </w:r>
      <w:r w:rsidRPr="00237A2C">
        <w:rPr>
          <w:sz w:val="18"/>
        </w:rPr>
        <w:tab/>
      </w:r>
      <w:r w:rsidRPr="00237A2C">
        <w:rPr>
          <w:sz w:val="18"/>
        </w:rPr>
        <w:tab/>
      </w:r>
      <w:r w:rsidRPr="00237A2C">
        <w:rPr>
          <w:sz w:val="18"/>
        </w:rPr>
        <w:tab/>
        <w:t>Östersjödeleg</w:t>
      </w:r>
      <w:r w:rsidRPr="00237A2C">
        <w:rPr>
          <w:sz w:val="18"/>
        </w:rPr>
        <w:t>a</w:t>
      </w:r>
      <w:r w:rsidRPr="00237A2C">
        <w:rPr>
          <w:sz w:val="18"/>
        </w:rPr>
        <w:t>tionen</w:t>
      </w:r>
    </w:p>
    <w:p w:rsidR="00AE50BA" w:rsidRPr="00237A2C" w:rsidRDefault="00AE50BA">
      <w:pPr>
        <w:tabs>
          <w:tab w:val="left" w:pos="284"/>
          <w:tab w:val="left" w:pos="1985"/>
          <w:tab w:val="left" w:pos="4111"/>
        </w:tabs>
        <w:spacing w:before="120"/>
        <w:ind w:right="-198"/>
        <w:jc w:val="left"/>
        <w:rPr>
          <w:sz w:val="18"/>
        </w:rPr>
      </w:pPr>
      <w:r w:rsidRPr="00237A2C">
        <w:rPr>
          <w:sz w:val="18"/>
        </w:rPr>
        <w:t>4. Kretsloppsmiljarden</w:t>
      </w:r>
      <w:r w:rsidRPr="00237A2C">
        <w:rPr>
          <w:sz w:val="18"/>
        </w:rPr>
        <w:tab/>
        <w:t>-1996:1378</w:t>
      </w:r>
      <w:r w:rsidRPr="00237A2C">
        <w:rPr>
          <w:sz w:val="18"/>
        </w:rPr>
        <w:tab/>
        <w:t>- Regeringen beslutar&gt;8</w:t>
      </w:r>
      <w:r w:rsidRPr="00237A2C">
        <w:rPr>
          <w:sz w:val="18"/>
        </w:rPr>
        <w:tab/>
      </w:r>
      <w:r w:rsidRPr="00237A2C">
        <w:rPr>
          <w:sz w:val="18"/>
        </w:rPr>
        <w:tab/>
      </w:r>
      <w:r w:rsidRPr="00237A2C">
        <w:rPr>
          <w:sz w:val="18"/>
        </w:rPr>
        <w:tab/>
        <w:t>miljoner kronor</w:t>
      </w:r>
    </w:p>
    <w:p w:rsidR="00AE50BA" w:rsidRPr="00237A2C" w:rsidRDefault="00AE50BA">
      <w:pPr>
        <w:tabs>
          <w:tab w:val="left" w:pos="284"/>
          <w:tab w:val="left" w:pos="1985"/>
          <w:tab w:val="left" w:pos="4111"/>
        </w:tabs>
        <w:spacing w:before="120"/>
        <w:ind w:right="-198"/>
        <w:jc w:val="left"/>
        <w:rPr>
          <w:sz w:val="18"/>
        </w:rPr>
      </w:pPr>
      <w:r w:rsidRPr="00237A2C">
        <w:rPr>
          <w:sz w:val="18"/>
        </w:rPr>
        <w:t>5. Småföretagsmiljarden</w:t>
      </w:r>
      <w:r w:rsidRPr="00237A2C">
        <w:rPr>
          <w:sz w:val="18"/>
        </w:rPr>
        <w:tab/>
        <w:t>- Riktlinjer i prop.</w:t>
      </w:r>
      <w:r w:rsidRPr="00237A2C">
        <w:rPr>
          <w:sz w:val="18"/>
        </w:rPr>
        <w:tab/>
        <w:t>-Regeringen beslutar</w:t>
      </w:r>
    </w:p>
    <w:p w:rsidR="00AE50BA" w:rsidRPr="00237A2C" w:rsidRDefault="00AE50BA">
      <w:pPr>
        <w:pStyle w:val="Brdtextmedindrag2"/>
        <w:tabs>
          <w:tab w:val="left" w:pos="284"/>
          <w:tab w:val="left" w:pos="1985"/>
          <w:tab w:val="left" w:pos="4111"/>
        </w:tabs>
        <w:spacing w:before="120"/>
        <w:ind w:left="0" w:right="-198" w:firstLine="0"/>
        <w:rPr>
          <w:sz w:val="18"/>
        </w:rPr>
      </w:pPr>
      <w:r w:rsidRPr="00237A2C">
        <w:rPr>
          <w:sz w:val="18"/>
        </w:rPr>
        <w:t>6.Kunskapslyftet</w:t>
      </w:r>
      <w:r w:rsidRPr="00237A2C">
        <w:rPr>
          <w:sz w:val="18"/>
        </w:rPr>
        <w:tab/>
        <w:t>- 1996:276</w:t>
      </w:r>
      <w:r w:rsidRPr="00237A2C">
        <w:rPr>
          <w:sz w:val="18"/>
        </w:rPr>
        <w:tab/>
        <w:t>- Delegation föreslår.</w:t>
      </w:r>
    </w:p>
    <w:p w:rsidR="00AE50BA" w:rsidRPr="00237A2C" w:rsidRDefault="00AE50BA">
      <w:pPr>
        <w:tabs>
          <w:tab w:val="left" w:pos="284"/>
          <w:tab w:val="left" w:pos="1985"/>
          <w:tab w:val="left" w:pos="4111"/>
        </w:tabs>
        <w:spacing w:before="80"/>
        <w:ind w:right="-198"/>
        <w:jc w:val="left"/>
        <w:rPr>
          <w:sz w:val="18"/>
        </w:rPr>
      </w:pPr>
      <w:r w:rsidRPr="00237A2C">
        <w:rPr>
          <w:sz w:val="18"/>
        </w:rPr>
        <w:tab/>
      </w:r>
      <w:r w:rsidRPr="00237A2C">
        <w:rPr>
          <w:sz w:val="18"/>
        </w:rPr>
        <w:tab/>
      </w:r>
      <w:r w:rsidRPr="00237A2C">
        <w:rPr>
          <w:sz w:val="18"/>
        </w:rPr>
        <w:tab/>
        <w:t>Regeringen beslutar</w:t>
      </w:r>
    </w:p>
    <w:p w:rsidR="00AE50BA" w:rsidRPr="00237A2C" w:rsidRDefault="00AE50BA">
      <w:pPr>
        <w:tabs>
          <w:tab w:val="left" w:pos="284"/>
          <w:tab w:val="left" w:pos="426"/>
          <w:tab w:val="left" w:pos="1985"/>
          <w:tab w:val="left" w:pos="4111"/>
        </w:tabs>
        <w:spacing w:before="80"/>
        <w:ind w:right="-198"/>
        <w:jc w:val="left"/>
        <w:rPr>
          <w:sz w:val="18"/>
        </w:rPr>
      </w:pPr>
      <w:r w:rsidRPr="00237A2C">
        <w:rPr>
          <w:sz w:val="18"/>
        </w:rPr>
        <w:tab/>
      </w:r>
      <w:r w:rsidRPr="00237A2C">
        <w:rPr>
          <w:sz w:val="18"/>
        </w:rPr>
        <w:tab/>
      </w:r>
      <w:r w:rsidRPr="00237A2C">
        <w:rPr>
          <w:sz w:val="18"/>
        </w:rPr>
        <w:tab/>
        <w:t>- 1998:1502</w:t>
      </w:r>
      <w:r w:rsidRPr="00237A2C">
        <w:rPr>
          <w:sz w:val="18"/>
        </w:rPr>
        <w:tab/>
        <w:t xml:space="preserve">- Skolverket beslutar </w:t>
      </w:r>
      <w:r w:rsidRPr="00237A2C">
        <w:rPr>
          <w:sz w:val="18"/>
        </w:rPr>
        <w:tab/>
      </w:r>
      <w:r w:rsidRPr="00237A2C">
        <w:rPr>
          <w:sz w:val="18"/>
        </w:rPr>
        <w:tab/>
      </w:r>
      <w:r w:rsidRPr="00237A2C">
        <w:rPr>
          <w:sz w:val="18"/>
        </w:rPr>
        <w:tab/>
      </w:r>
      <w:r w:rsidRPr="00237A2C">
        <w:rPr>
          <w:sz w:val="18"/>
        </w:rPr>
        <w:tab/>
        <w:t>fr.o.m. 1999</w:t>
      </w:r>
    </w:p>
    <w:p w:rsidR="00AE50BA" w:rsidRPr="00237A2C" w:rsidRDefault="00AE50BA">
      <w:pPr>
        <w:pStyle w:val="Brdtextmedindrag2"/>
        <w:tabs>
          <w:tab w:val="left" w:pos="284"/>
          <w:tab w:val="left" w:pos="1985"/>
          <w:tab w:val="left" w:pos="4111"/>
        </w:tabs>
        <w:spacing w:before="120"/>
        <w:ind w:left="0" w:right="-198" w:firstLine="0"/>
        <w:rPr>
          <w:sz w:val="18"/>
        </w:rPr>
      </w:pPr>
      <w:r w:rsidRPr="00237A2C">
        <w:rPr>
          <w:sz w:val="18"/>
        </w:rPr>
        <w:t>7. L. inv.program</w:t>
      </w:r>
      <w:r w:rsidRPr="00237A2C">
        <w:rPr>
          <w:sz w:val="18"/>
        </w:rPr>
        <w:tab/>
        <w:t>-1998:23</w:t>
      </w:r>
      <w:r w:rsidRPr="00237A2C">
        <w:rPr>
          <w:sz w:val="18"/>
        </w:rPr>
        <w:tab/>
        <w:t>- Delegation föreslår.</w:t>
      </w:r>
    </w:p>
    <w:p w:rsidR="00AE50BA" w:rsidRPr="00237A2C" w:rsidRDefault="00AE50BA">
      <w:pPr>
        <w:pStyle w:val="Brdtextmedindrag2"/>
        <w:tabs>
          <w:tab w:val="left" w:pos="284"/>
          <w:tab w:val="left" w:pos="1985"/>
          <w:tab w:val="left" w:pos="4111"/>
        </w:tabs>
        <w:spacing w:before="62"/>
        <w:ind w:left="0" w:right="-198" w:firstLine="0"/>
        <w:rPr>
          <w:sz w:val="18"/>
        </w:rPr>
      </w:pPr>
      <w:r w:rsidRPr="00237A2C">
        <w:rPr>
          <w:sz w:val="18"/>
        </w:rPr>
        <w:tab/>
      </w:r>
      <w:r w:rsidRPr="00237A2C">
        <w:rPr>
          <w:sz w:val="18"/>
        </w:rPr>
        <w:tab/>
      </w:r>
      <w:r w:rsidRPr="00237A2C">
        <w:rPr>
          <w:sz w:val="18"/>
        </w:rPr>
        <w:tab/>
        <w:t>Reg</w:t>
      </w:r>
      <w:r w:rsidRPr="00237A2C">
        <w:rPr>
          <w:sz w:val="18"/>
        </w:rPr>
        <w:t>e</w:t>
      </w:r>
      <w:r w:rsidRPr="00237A2C">
        <w:rPr>
          <w:sz w:val="18"/>
        </w:rPr>
        <w:t>ringen beslutar</w:t>
      </w:r>
    </w:p>
    <w:p w:rsidR="00AE50BA" w:rsidRPr="00237A2C" w:rsidRDefault="00AE50BA">
      <w:pPr>
        <w:tabs>
          <w:tab w:val="left" w:pos="284"/>
          <w:tab w:val="left" w:pos="1985"/>
          <w:tab w:val="left" w:pos="4111"/>
        </w:tabs>
        <w:spacing w:before="120"/>
        <w:ind w:right="-198"/>
        <w:jc w:val="left"/>
        <w:rPr>
          <w:sz w:val="18"/>
        </w:rPr>
      </w:pPr>
      <w:r w:rsidRPr="00237A2C">
        <w:rPr>
          <w:sz w:val="18"/>
        </w:rPr>
        <w:t>8. IT i skolan</w:t>
      </w:r>
      <w:r w:rsidRPr="00237A2C">
        <w:rPr>
          <w:sz w:val="18"/>
        </w:rPr>
        <w:tab/>
        <w:t>- Riktlinjer i regeringens</w:t>
      </w:r>
      <w:r w:rsidRPr="00237A2C">
        <w:rPr>
          <w:sz w:val="18"/>
        </w:rPr>
        <w:tab/>
        <w:t xml:space="preserve">- Delegationen för IT i </w:t>
      </w:r>
      <w:r w:rsidRPr="00237A2C">
        <w:rPr>
          <w:sz w:val="18"/>
        </w:rPr>
        <w:tab/>
      </w:r>
      <w:r w:rsidRPr="00237A2C">
        <w:rPr>
          <w:sz w:val="18"/>
        </w:rPr>
        <w:tab/>
        <w:t>skrivelse 1997/98:176</w:t>
      </w:r>
      <w:r w:rsidRPr="00237A2C">
        <w:rPr>
          <w:sz w:val="18"/>
        </w:rPr>
        <w:tab/>
        <w:t>skolan b</w:t>
      </w:r>
      <w:r w:rsidRPr="00237A2C">
        <w:rPr>
          <w:sz w:val="18"/>
        </w:rPr>
        <w:t>e</w:t>
      </w:r>
      <w:r w:rsidRPr="00237A2C">
        <w:rPr>
          <w:sz w:val="18"/>
        </w:rPr>
        <w:t>slutar</w:t>
      </w:r>
    </w:p>
    <w:p w:rsidR="00AE50BA" w:rsidRPr="00237A2C" w:rsidRDefault="00AE50BA">
      <w:pPr>
        <w:tabs>
          <w:tab w:val="left" w:pos="426"/>
          <w:tab w:val="left" w:pos="1985"/>
          <w:tab w:val="left" w:pos="4111"/>
        </w:tabs>
        <w:spacing w:before="80"/>
        <w:ind w:right="-198"/>
        <w:jc w:val="left"/>
        <w:rPr>
          <w:sz w:val="18"/>
        </w:rPr>
      </w:pPr>
      <w:r w:rsidRPr="00237A2C">
        <w:rPr>
          <w:sz w:val="18"/>
        </w:rPr>
        <w:tab/>
      </w:r>
      <w:r w:rsidRPr="00237A2C">
        <w:rPr>
          <w:sz w:val="18"/>
        </w:rPr>
        <w:tab/>
        <w:t>-1999:751 fr.o.m. år 2000</w:t>
      </w:r>
    </w:p>
    <w:p w:rsidR="00AE50BA" w:rsidRPr="00237A2C" w:rsidRDefault="00AE50BA">
      <w:pPr>
        <w:tabs>
          <w:tab w:val="left" w:pos="426"/>
          <w:tab w:val="left" w:pos="1985"/>
          <w:tab w:val="left" w:pos="4111"/>
        </w:tabs>
        <w:spacing w:before="120"/>
        <w:ind w:right="-198"/>
        <w:jc w:val="left"/>
        <w:rPr>
          <w:sz w:val="18"/>
        </w:rPr>
      </w:pPr>
      <w:r w:rsidRPr="00237A2C">
        <w:rPr>
          <w:sz w:val="18"/>
        </w:rPr>
        <w:t>9. Utvecklingsanslage</w:t>
      </w:r>
      <w:r w:rsidRPr="00237A2C">
        <w:rPr>
          <w:sz w:val="18"/>
        </w:rPr>
        <w:tab/>
        <w:t>- Riktlinjer i regl.brev</w:t>
      </w:r>
      <w:r w:rsidRPr="00237A2C">
        <w:rPr>
          <w:sz w:val="18"/>
        </w:rPr>
        <w:tab/>
        <w:t>- Depart</w:t>
      </w:r>
      <w:r w:rsidRPr="00237A2C">
        <w:rPr>
          <w:sz w:val="18"/>
        </w:rPr>
        <w:t>e</w:t>
      </w:r>
      <w:r w:rsidRPr="00237A2C">
        <w:rPr>
          <w:sz w:val="18"/>
        </w:rPr>
        <w:t>mentsbeslut</w:t>
      </w:r>
    </w:p>
    <w:p w:rsidR="00AE50BA" w:rsidRPr="00237A2C" w:rsidRDefault="00AE50BA">
      <w:pPr>
        <w:pStyle w:val="Brdtextmedindrag2"/>
        <w:tabs>
          <w:tab w:val="left" w:pos="426"/>
          <w:tab w:val="left" w:pos="1985"/>
          <w:tab w:val="left" w:pos="4111"/>
        </w:tabs>
        <w:spacing w:before="120"/>
        <w:ind w:left="0" w:right="-198" w:firstLine="0"/>
        <w:rPr>
          <w:sz w:val="18"/>
        </w:rPr>
      </w:pPr>
      <w:r w:rsidRPr="00237A2C">
        <w:rPr>
          <w:sz w:val="18"/>
        </w:rPr>
        <w:t>10. Kontrollprojektet</w:t>
      </w:r>
      <w:r w:rsidRPr="00237A2C">
        <w:rPr>
          <w:sz w:val="18"/>
        </w:rPr>
        <w:tab/>
        <w:t>- Riktlinjer i regl.brev</w:t>
      </w:r>
      <w:r w:rsidRPr="00237A2C">
        <w:rPr>
          <w:sz w:val="18"/>
        </w:rPr>
        <w:tab/>
        <w:t>- Interdep. referensgrupp.</w:t>
      </w:r>
    </w:p>
    <w:p w:rsidR="00AE50BA" w:rsidRPr="00237A2C" w:rsidRDefault="00AE50BA">
      <w:pPr>
        <w:tabs>
          <w:tab w:val="left" w:pos="426"/>
          <w:tab w:val="left" w:pos="1985"/>
          <w:tab w:val="left" w:pos="4111"/>
        </w:tabs>
        <w:spacing w:before="62"/>
        <w:ind w:right="-200"/>
        <w:jc w:val="left"/>
      </w:pPr>
      <w:r w:rsidRPr="00237A2C">
        <w:rPr>
          <w:sz w:val="18"/>
        </w:rPr>
        <w:tab/>
      </w:r>
      <w:r w:rsidRPr="00237A2C">
        <w:rPr>
          <w:sz w:val="18"/>
        </w:rPr>
        <w:tab/>
      </w:r>
      <w:r w:rsidRPr="00237A2C">
        <w:rPr>
          <w:sz w:val="18"/>
        </w:rPr>
        <w:tab/>
        <w:t>Regerin</w:t>
      </w:r>
      <w:r w:rsidRPr="00237A2C">
        <w:rPr>
          <w:sz w:val="18"/>
        </w:rPr>
        <w:t>g</w:t>
      </w:r>
      <w:r w:rsidRPr="00237A2C">
        <w:rPr>
          <w:sz w:val="18"/>
        </w:rPr>
        <w:t>en beslutar</w:t>
      </w:r>
      <w:r w:rsidRPr="00237A2C">
        <w:rPr>
          <w:sz w:val="18"/>
        </w:rPr>
        <w:br w:type="page"/>
      </w:r>
      <w:r w:rsidRPr="00237A2C">
        <w:t>Under den tid som här studerats har en successiv uppstramning skett i bere</w:t>
      </w:r>
      <w:r w:rsidRPr="00237A2C">
        <w:t>d</w:t>
      </w:r>
      <w:r w:rsidRPr="00237A2C">
        <w:t>nings- och beslutsförfarandet i samband med fördelningen av projektmedel. Särskilda beredningsorgan har efterhand tillskapats för flertalet av anslagen. För anslagen inom Finansdepartementets ansvarssområde har beredningen dock helt skett inom departementsorganisationen. Så gäller också för Småföretag</w:t>
      </w:r>
      <w:r w:rsidRPr="00237A2C">
        <w:t>s</w:t>
      </w:r>
      <w:r w:rsidRPr="00237A2C">
        <w:t xml:space="preserve">miljarden. </w:t>
      </w:r>
    </w:p>
    <w:p w:rsidR="00AE50BA" w:rsidRPr="00237A2C" w:rsidRDefault="00AE50BA">
      <w:pPr>
        <w:pStyle w:val="Normaltindrag"/>
      </w:pPr>
      <w:r w:rsidRPr="00237A2C">
        <w:t>En motsvarande utveckling kan noteras även när det gäller förekomsten av författningar inom området.</w:t>
      </w:r>
      <w:r w:rsidRPr="00237A2C">
        <w:t xml:space="preserve"> Det bör dock understrykas att författningar sa</w:t>
      </w:r>
      <w:r w:rsidRPr="00237A2C">
        <w:t>k</w:t>
      </w:r>
      <w:r w:rsidRPr="00237A2C">
        <w:t>nas för fördelningen av medel för såväl Storstadssatsningen, medlen för särskilda insatser i kommuner och landsting (exklusive Bostadsdelegationen) som för Östersjömiljarderna. I de fall som förordningar har utfärdats av regeringen är de som regel mycket allmänt hållna och ger stort utrymme för tolkningar.</w:t>
      </w:r>
    </w:p>
    <w:p w:rsidR="00AE50BA" w:rsidRPr="00237A2C" w:rsidRDefault="00AE50BA">
      <w:pPr>
        <w:pStyle w:val="Normaltindrag"/>
      </w:pPr>
      <w:r w:rsidRPr="00237A2C">
        <w:t>En genomgång av regleringsbreven för de här studerade anslagen visar att icke oväsentliga belopp disponeras av Regeringskansliet för administration av stöde</w:t>
      </w:r>
      <w:r w:rsidRPr="00237A2C">
        <w:t>n. På några departement har särskilda sakenheter inrättats för änd</w:t>
      </w:r>
      <w:r w:rsidRPr="00237A2C">
        <w:t>a</w:t>
      </w:r>
      <w:r w:rsidRPr="00237A2C">
        <w:t>målet. Det gäller Kulturdepartementet och Miljödepartementet. I regel fra</w:t>
      </w:r>
      <w:r w:rsidRPr="00237A2C">
        <w:t>m</w:t>
      </w:r>
      <w:r w:rsidRPr="00237A2C">
        <w:t>går det av regleringsbrevet hur stora bidragen till administration är, men det finns också exempel på att Regeringskansliet har dragningsrätt på pengarna utan att någon beloppsbegränsning anges. Totalt sett handlar det om flera tiotals miljoner kronor per år.  En effekt av förfarandet är att det ordinarie förvaltningsanslaget till Regeringskansliet fått ett visst tills</w:t>
      </w:r>
      <w:r w:rsidRPr="00237A2C">
        <w:t>kott. Det bör  också noteras att detta tillskott inte har prövats mot andra förvaltningsutgifter i den ordinarie budge</w:t>
      </w:r>
      <w:r w:rsidRPr="00237A2C">
        <w:t>t</w:t>
      </w:r>
      <w:r w:rsidRPr="00237A2C">
        <w:t>processen.</w:t>
      </w:r>
    </w:p>
    <w:p w:rsidR="00AE50BA" w:rsidRPr="00237A2C" w:rsidRDefault="00AE50BA">
      <w:pPr>
        <w:pStyle w:val="Rubrik3"/>
      </w:pPr>
      <w:bookmarkStart w:id="118" w:name="_Toc509125573"/>
      <w:bookmarkStart w:id="119" w:name="_Toc509738005"/>
      <w:bookmarkStart w:id="120" w:name="_Toc516991625"/>
      <w:r w:rsidRPr="00237A2C">
        <w:t>4. 4 Hur fungerar återrapporteringen till riksdagen?</w:t>
      </w:r>
      <w:bookmarkEnd w:id="118"/>
      <w:bookmarkEnd w:id="119"/>
      <w:bookmarkEnd w:id="120"/>
    </w:p>
    <w:p w:rsidR="00AE50BA" w:rsidRPr="00237A2C" w:rsidRDefault="00AE50BA">
      <w:r w:rsidRPr="00237A2C">
        <w:t>Det kan konstateras att regeringens redovisning till riksdagen av olika åtgä</w:t>
      </w:r>
      <w:r w:rsidRPr="00237A2C">
        <w:t>r</w:t>
      </w:r>
      <w:r w:rsidRPr="00237A2C">
        <w:t xml:space="preserve">der som rör efterkontrollen av de anslagna medlen successivt har förbättrats under perioden. Beträffande de tre miljardpaketen från sommaren 1996 kan det inte hävdas att frågor som rör uppföljning och utvärdering har stått i fokus för regeringens intresse. Som tidigare sagts kan en orsak till detta vara att paketen gavs formen av reservationsanslag. I samband med att riksdagen hösten 1998 tog ställning till en andra Östersjömiljard aviserades dock att genomförda projekt kommer att utvärderas och redovisas </w:t>
      </w:r>
      <w:r w:rsidRPr="00237A2C">
        <w:t>för riksdagen. För Kretsloppsmiljarden har såväl bostads- som jordbruksutskotten ställt krav på återrapportering till riksdagen. För Småförtagsmiljarden har frågan om olika kontrollinsatser inte särskilt uppmärksammats av regeringen.</w:t>
      </w:r>
    </w:p>
    <w:p w:rsidR="00AE50BA" w:rsidRPr="00237A2C" w:rsidRDefault="00AE50BA">
      <w:pPr>
        <w:pStyle w:val="Normaltindrag"/>
      </w:pPr>
      <w:r w:rsidRPr="00237A2C">
        <w:t>Även när det gäller anslagen för särskilda insatser i kommuner och land</w:t>
      </w:r>
      <w:r w:rsidRPr="00237A2C">
        <w:t>s</w:t>
      </w:r>
      <w:r w:rsidRPr="00237A2C">
        <w:t>ting har uppföljnings- och utvärderingsfrågorna spelat en underordnad roll i regeringens rapportering till riksdagen. Från riksdagens sida har, efter förslag från finansutskottets sida, emellertid hösten 1999 ställts krav på att regerin</w:t>
      </w:r>
      <w:r w:rsidRPr="00237A2C">
        <w:t>g</w:t>
      </w:r>
      <w:r w:rsidRPr="00237A2C">
        <w:t>en skall återkomma med en utförlig rapportering om hur de anvisade medlen har använts. Såväl beträffande de lokala investeringsprogrammen som beträ</w:t>
      </w:r>
      <w:r w:rsidRPr="00237A2C">
        <w:t>f</w:t>
      </w:r>
      <w:r w:rsidRPr="00237A2C">
        <w:t xml:space="preserve">fande Kunskapslyftet har däremot frågor om uppföljning och utvärdering redan inledningsvis varit centrala. Således aviserades </w:t>
      </w:r>
      <w:r w:rsidRPr="00237A2C">
        <w:t xml:space="preserve">tidigt att de lokala investeringsprogrammen skulle bli föremål för såväl löpande uppföljning som fristående utvärdering. Kunskapslyftet har vidare utvärderats av en särskild parlamentarisk kommitté och Statskontoret har även bidraget med en rapport om projektet. </w:t>
      </w:r>
    </w:p>
    <w:p w:rsidR="00AE50BA" w:rsidRPr="00237A2C" w:rsidRDefault="00AE50BA">
      <w:pPr>
        <w:pStyle w:val="Normaltindrag"/>
      </w:pPr>
      <w:r w:rsidRPr="00237A2C">
        <w:t>För Storstadssatsningen har regeringen efterhand kommit att alltmer bet</w:t>
      </w:r>
      <w:r w:rsidRPr="00237A2C">
        <w:t>o</w:t>
      </w:r>
      <w:r w:rsidRPr="00237A2C">
        <w:t>na betydelsen av uppföljning och utvärdering samtidigt som svårigheterna att mäta effekterna har understrukits. Insatserna måste ses i ett långsiktigt pe</w:t>
      </w:r>
      <w:r w:rsidRPr="00237A2C">
        <w:t>r</w:t>
      </w:r>
      <w:r w:rsidRPr="00237A2C">
        <w:t>spektiv, har det sagts. Även när det gäller de utvecklingspengar som reg</w:t>
      </w:r>
      <w:r w:rsidRPr="00237A2C">
        <w:t>e</w:t>
      </w:r>
      <w:r w:rsidRPr="00237A2C">
        <w:t>ringen förfogat över inom Finansdepartementets område har svårigheterna att värdera effekterna påtalats. För treårsprojektet Kontrollfunktionen i staten har regeringen anmält att den avser att i budgetsammanhang närmare redov</w:t>
      </w:r>
      <w:r w:rsidRPr="00237A2C">
        <w:t>i</w:t>
      </w:r>
      <w:r w:rsidRPr="00237A2C">
        <w:t>sa resultaten av de olika projektens arbete. Programmet fö</w:t>
      </w:r>
      <w:r w:rsidRPr="00237A2C">
        <w:t>r IT i skolan avv</w:t>
      </w:r>
      <w:r w:rsidRPr="00237A2C">
        <w:t>i</w:t>
      </w:r>
      <w:r w:rsidRPr="00237A2C">
        <w:t>ker från mönstret på så sätt att anslaget är relativt nytt samtidigt som frågor om uppföljning och annan efterhandskontroll inte behandlas i det underlag som regeringen försett riksdagen med i budgetsammanhang.</w:t>
      </w:r>
    </w:p>
    <w:p w:rsidR="00AE50BA" w:rsidRPr="00237A2C" w:rsidRDefault="00AE50BA">
      <w:pPr>
        <w:pStyle w:val="Normaltindrag"/>
      </w:pPr>
      <w:r w:rsidRPr="00237A2C">
        <w:t>Allmänt måste konstateras att regeringens redovisning till riksdagen i främst budgetpropositionen av vad som har åstadkommits i form av resultat av de här studerade anslagen är av ojämn kvalitet. För flera av anslagen saknas redovisning av resultat helt. I regel begränsas redovisnin</w:t>
      </w:r>
      <w:r w:rsidRPr="00237A2C">
        <w:t>gen till att ange hur många projekt som satts i gång, hur många kommuner som fått stöd och till olika aktiviteter som bedrivs inom ramen för de olika projekten. Eventuella effekter av de insatta medlen behandlas i regel endast på så sätt att svårigheterna att beräkna och belysa effekterna betonas. Regeringen u</w:t>
      </w:r>
      <w:r w:rsidRPr="00237A2C">
        <w:t>n</w:t>
      </w:r>
      <w:r w:rsidRPr="00237A2C">
        <w:t xml:space="preserve">derstryker också för flera av anslagen att effekterna måste ses i ett långsiktigt perspektiv. </w:t>
      </w:r>
    </w:p>
    <w:p w:rsidR="00AE50BA" w:rsidRPr="00237A2C" w:rsidRDefault="00AE50BA">
      <w:pPr>
        <w:pStyle w:val="Normaltindrag"/>
      </w:pPr>
      <w:r w:rsidRPr="00237A2C">
        <w:t>I några fall kan förklaringen till den bristfälliga resultatredovisningen vara att regeringen återrapport</w:t>
      </w:r>
      <w:r w:rsidRPr="00237A2C">
        <w:t>erar till riksdagen i annat sammanhang, t.ex. i den årliga miljöskrivelsen. Trots att en sådan redovisning förekommer bör eme</w:t>
      </w:r>
      <w:r w:rsidRPr="00237A2C">
        <w:t>l</w:t>
      </w:r>
      <w:r w:rsidRPr="00237A2C">
        <w:t>lertid en återrapportering även ske i budgetpropositionen. Detta är viktigt för att riksdagen skall få en samlad bild och för att kopplingen mellan uppnådda resultat och tilldelade medel skall bli tydlig, något som är grundläggande i den mål- och resultatstyrning som tillämpas inom den statliga sektorn. Åte</w:t>
      </w:r>
      <w:r w:rsidRPr="00237A2C">
        <w:t>r</w:t>
      </w:r>
      <w:r w:rsidRPr="00237A2C">
        <w:t>rapporteringsskyldigheten upphör inte i och med att projektet avslutas och an</w:t>
      </w:r>
      <w:r w:rsidRPr="00237A2C">
        <w:t>slaget inte längre är uppfört på statsbudgeten. Det är av vikt att notera att regeringen när det t.ex. gäller det s.k. Kontrollprojektet redovisat resultat till riksdagen även efter den treårsperiod då anslag anvisades för ändamålet.</w:t>
      </w:r>
    </w:p>
    <w:p w:rsidR="00AE50BA" w:rsidRPr="00237A2C" w:rsidRDefault="00AE50BA">
      <w:pPr>
        <w:pStyle w:val="Rubrik1"/>
      </w:pPr>
      <w:bookmarkStart w:id="121" w:name="_Toc509125574"/>
      <w:bookmarkStart w:id="122" w:name="_Toc509738006"/>
      <w:bookmarkStart w:id="123" w:name="_Toc516991626"/>
      <w:r w:rsidRPr="00237A2C">
        <w:t>5 Erfarenheter och resultat från några andra studier</w:t>
      </w:r>
      <w:bookmarkEnd w:id="121"/>
      <w:bookmarkEnd w:id="122"/>
      <w:bookmarkEnd w:id="123"/>
    </w:p>
    <w:p w:rsidR="00AE50BA" w:rsidRPr="00237A2C" w:rsidRDefault="00AE50BA">
      <w:r w:rsidRPr="00237A2C">
        <w:t>Under senare år har frågan om de anslag som regeringen själv förfogar över tagits upp till diskussion, analys och granskning i en rad sammanhang. I detta avsnitt redovisas kortfattat några av de rapporter, studier, betänkanden etc. där olika aspekter på dessa frågor behandlats. En koncentration görs därvid på främst styrning, organisering, kontroll och andra förvaltningspolitiska frågeställningar som aktualiserats. Inledningsvis redovisas några undersö</w:t>
      </w:r>
      <w:r w:rsidRPr="00237A2C">
        <w:t>k</w:t>
      </w:r>
      <w:r w:rsidRPr="00237A2C">
        <w:t>ningar där främst generella frågeställningar tagits upp, därefter berörs mat</w:t>
      </w:r>
      <w:r w:rsidRPr="00237A2C">
        <w:t>e</w:t>
      </w:r>
      <w:r w:rsidRPr="00237A2C">
        <w:t>rial där specifika verksamheter eller anslag behan</w:t>
      </w:r>
      <w:r w:rsidRPr="00237A2C">
        <w:t>d</w:t>
      </w:r>
      <w:r w:rsidRPr="00237A2C">
        <w:t>lats.</w:t>
      </w:r>
    </w:p>
    <w:p w:rsidR="00AE50BA" w:rsidRPr="00237A2C" w:rsidRDefault="00AE50BA">
      <w:pPr>
        <w:pStyle w:val="Rubrik3"/>
      </w:pPr>
      <w:bookmarkStart w:id="124" w:name="_Toc509125575"/>
      <w:bookmarkStart w:id="125" w:name="_Toc509738007"/>
      <w:bookmarkStart w:id="126" w:name="_Toc516991627"/>
      <w:r w:rsidRPr="00237A2C">
        <w:t>5.1 Konstitutionsutskottets granskningar våren 1997 och hösten 2000</w:t>
      </w:r>
      <w:bookmarkEnd w:id="124"/>
      <w:bookmarkEnd w:id="125"/>
      <w:bookmarkEnd w:id="126"/>
    </w:p>
    <w:p w:rsidR="00AE50BA" w:rsidRPr="00237A2C" w:rsidRDefault="00AE50BA">
      <w:r w:rsidRPr="00237A2C">
        <w:t>Konstitutionsutskottet gjorde i sitt granskningsbetänkande våren 1997 (bet. 1996/97:KU25) en omfattande genomgång av de anslag och de anslagsposter som  regeringen genom regleringsbrev eller andra särskilda beslut ställt till sin egen eller visst departements disposition budgetåren 1993/94 och 1994/95. Utskottet konstaterade i betänkandet att det inte varit möjligt att få en fullständig bild av användningen av dessa medel. Genomgången visade också att Statsrådsberedningens anvisningar i den s.k. Gula boken</w:t>
      </w:r>
      <w:r w:rsidRPr="00237A2C">
        <w:t xml:space="preserve"> inte till fullo följts. Således hade flera anslagsposter disponerats av departement för ändamål som ligger utanför den interna verksamheten, berednings- och up</w:t>
      </w:r>
      <w:r w:rsidRPr="00237A2C">
        <w:t>p</w:t>
      </w:r>
      <w:r w:rsidRPr="00237A2C">
        <w:t>följningsarbete eller reguljära  informationsinsatser.</w:t>
      </w:r>
    </w:p>
    <w:p w:rsidR="00AE50BA" w:rsidRPr="00237A2C" w:rsidRDefault="00AE50BA">
      <w:pPr>
        <w:pStyle w:val="Normaltindrag"/>
      </w:pPr>
      <w:r w:rsidRPr="00237A2C">
        <w:t>Utskottets undersökning visade därutöver att det fanns andra brister när det gällde användningen av de anslag som stod till regeringens disposition. Ibland hade t.ex. anslagen använts för ändamål som kunde ifrågasättas mot bakgrund av det ändamål som anslaget eller anslagsposten har enligt sin b</w:t>
      </w:r>
      <w:r w:rsidRPr="00237A2C">
        <w:t>eteckning. Det fanns också exempel på att regeringen medgivit förhålland</w:t>
      </w:r>
      <w:r w:rsidRPr="00237A2C">
        <w:t>e</w:t>
      </w:r>
      <w:r w:rsidRPr="00237A2C">
        <w:t>vis stort överskridande av ett förslagsanslag utan att ange skäl.</w:t>
      </w:r>
    </w:p>
    <w:p w:rsidR="00AE50BA" w:rsidRPr="00237A2C" w:rsidRDefault="00AE50BA">
      <w:pPr>
        <w:pStyle w:val="Normaltindrag"/>
      </w:pPr>
      <w:r w:rsidRPr="00237A2C">
        <w:t>I sin administrativa granskning hösten 2000 (bet. 2000/01:KU10) up</w:t>
      </w:r>
      <w:r w:rsidRPr="00237A2C">
        <w:t>p</w:t>
      </w:r>
      <w:r w:rsidRPr="00237A2C">
        <w:t>märksammade utskottet olika frågor om Regeringskansliets organisering av särskilda projekt och anslag till regeringens och Regeringskansliets dispos</w:t>
      </w:r>
      <w:r w:rsidRPr="00237A2C">
        <w:t>i</w:t>
      </w:r>
      <w:r w:rsidRPr="00237A2C">
        <w:t>tion. I granskningen ingick ett antal särskilda projekt såsom Östersjömilja</w:t>
      </w:r>
      <w:r w:rsidRPr="00237A2C">
        <w:t>r</w:t>
      </w:r>
      <w:r w:rsidRPr="00237A2C">
        <w:t>derna, Kunskapslyftet och det statl</w:t>
      </w:r>
      <w:r w:rsidRPr="00237A2C">
        <w:t>i</w:t>
      </w:r>
      <w:r w:rsidRPr="00237A2C">
        <w:t>ga stödet till de lokala investeringspro-grammen.</w:t>
      </w:r>
    </w:p>
    <w:p w:rsidR="00AE50BA" w:rsidRPr="00237A2C" w:rsidRDefault="00AE50BA">
      <w:pPr>
        <w:pStyle w:val="Normaltindrag"/>
      </w:pPr>
      <w:r w:rsidRPr="00237A2C">
        <w:t>Utskottet konstaterade att kritik i flera sammanhang riktats mot organis</w:t>
      </w:r>
      <w:r w:rsidRPr="00237A2C">
        <w:t>e</w:t>
      </w:r>
      <w:r w:rsidRPr="00237A2C">
        <w:t>ringen av denna typ av projekt. Utskottet noterade att regeringen enligt de uppgifter som lämnats från Regeringskansliet är noga med att på ett tidigt stadium lägga fast tydliga mål och en klar organisation och ansvarsförde</w:t>
      </w:r>
      <w:r w:rsidRPr="00237A2C">
        <w:t>l</w:t>
      </w:r>
      <w:r w:rsidRPr="00237A2C">
        <w:t>ning för projekt av detta slag. Enligt utskottet återstår det att se om de åtgä</w:t>
      </w:r>
      <w:r w:rsidRPr="00237A2C">
        <w:t>r</w:t>
      </w:r>
      <w:r w:rsidRPr="00237A2C">
        <w:t>der som regeringen vidtagit är tillräckliga för att projekt av detta slag skall fungera på ett tillfredsställande sätt.</w:t>
      </w:r>
    </w:p>
    <w:p w:rsidR="00AE50BA" w:rsidRPr="00237A2C" w:rsidRDefault="00AE50BA">
      <w:pPr>
        <w:pStyle w:val="Rubrik3"/>
      </w:pPr>
      <w:bookmarkStart w:id="127" w:name="_Toc508088538"/>
      <w:bookmarkStart w:id="128" w:name="_Toc509125576"/>
      <w:bookmarkStart w:id="129" w:name="_Toc509738008"/>
      <w:bookmarkStart w:id="130" w:name="_Toc516991628"/>
      <w:r w:rsidRPr="00237A2C">
        <w:t>5.2 Riksrevisionsverkets årliga rapport till regeringen 1999 och 2000</w:t>
      </w:r>
      <w:bookmarkEnd w:id="127"/>
      <w:bookmarkEnd w:id="128"/>
      <w:bookmarkEnd w:id="129"/>
      <w:bookmarkEnd w:id="130"/>
    </w:p>
    <w:p w:rsidR="00AE50BA" w:rsidRPr="00237A2C" w:rsidRDefault="00AE50BA">
      <w:r w:rsidRPr="00237A2C">
        <w:t>I Riksrevisionsverkets årliga rapport till regeringen 1999 (sid. 3) uttalar verket att en utveckling som försvårar den oberoende yrkesmässiga revisi</w:t>
      </w:r>
      <w:r w:rsidRPr="00237A2C">
        <w:t>o</w:t>
      </w:r>
      <w:r w:rsidRPr="00237A2C">
        <w:t>nen och kontrollen av statliga åtaganden är att regeringen i flera fall valt att själv överta eller axla normala myndighetsuppgifter och inte förlägga dem till myndighetsnivån enligt traditionell svensk förvaltningsgrund. Som e</w:t>
      </w:r>
      <w:r w:rsidRPr="00237A2C">
        <w:t>x</w:t>
      </w:r>
      <w:r w:rsidRPr="00237A2C">
        <w:t>empel nämner RRV de lokala investeringsprogrammen, Kretsloppsmiljarden och Östersjömiljarderna. Verket konstaterar att man inom ramen för sitt nuvarande mandat i dessa fall varken kan granska bidragsmottagarna eller den bidragsfördelande organisationen. Detta kan i och för sig lösas</w:t>
      </w:r>
      <w:r w:rsidRPr="00237A2C">
        <w:t xml:space="preserve"> genom att regeringen – som för de lokala investeringsprogrammen och kretsloppsmi</w:t>
      </w:r>
      <w:r w:rsidRPr="00237A2C">
        <w:t>l</w:t>
      </w:r>
      <w:r w:rsidRPr="00237A2C">
        <w:t xml:space="preserve">jarden </w:t>
      </w:r>
      <w:r w:rsidRPr="00237A2C">
        <w:sym w:font="Symbol" w:char="F02D"/>
      </w:r>
      <w:r w:rsidRPr="00237A2C">
        <w:t xml:space="preserve"> ger RRV ett särskilt granskningsuppdrag. Enligt verkets egen up</w:t>
      </w:r>
      <w:r w:rsidRPr="00237A2C">
        <w:t>p</w:t>
      </w:r>
      <w:r w:rsidRPr="00237A2C">
        <w:t>fattning vore det emellertid från öppenhetssynpukt mer tilltalande att RRV gavs ett generellt uppdrag att granska dessa program.</w:t>
      </w:r>
    </w:p>
    <w:p w:rsidR="00AE50BA" w:rsidRPr="00237A2C" w:rsidRDefault="00AE50BA">
      <w:pPr>
        <w:pStyle w:val="Normaltindrag"/>
      </w:pPr>
      <w:r w:rsidRPr="00237A2C">
        <w:t>I motsvarande rapport till regeringen år 2000 (sid. 5) framhåller RRV att en stor del av statsbudgeten inte revideras av verket. RRV skall enligt sin instruktion granska myndigheternas årsredovisningar och underliggande redovisn</w:t>
      </w:r>
      <w:r w:rsidRPr="00237A2C">
        <w:t>ing. Granskningen omfattar de myndigheter som ”lyder omedelbart under regeringen” och som skall upprätta årsredovisning enligt förordningen (2000:605) om myndigheters årsredovisning m.m. Därav följer att utgifter på statsbudgeten som uppstår på en sådan myndighet på ett eller annat sätt o</w:t>
      </w:r>
      <w:r w:rsidRPr="00237A2C">
        <w:t>m</w:t>
      </w:r>
      <w:r w:rsidRPr="00237A2C">
        <w:t xml:space="preserve">fattas av RRV:s revision. </w:t>
      </w:r>
    </w:p>
    <w:p w:rsidR="00AE50BA" w:rsidRPr="00237A2C" w:rsidRDefault="00AE50BA">
      <w:pPr>
        <w:pStyle w:val="Normaltindrag"/>
      </w:pPr>
      <w:r w:rsidRPr="00237A2C">
        <w:t>Vissa anslag på statsbudgeten disponeras av regeringen själv, Regering</w:t>
      </w:r>
      <w:r w:rsidRPr="00237A2C">
        <w:t>s</w:t>
      </w:r>
      <w:r w:rsidRPr="00237A2C">
        <w:t>kansliet, Utrikesdepartementet eller av riksdagsorgan. Medel från dessa anslag omfattas av RRV:s granskning endast i den mån medlen överförs till en myndighet som ”lyder omedelbart under regeringen”. RRV uppmär</w:t>
      </w:r>
      <w:r w:rsidRPr="00237A2C">
        <w:t>k</w:t>
      </w:r>
      <w:r w:rsidRPr="00237A2C">
        <w:t>sammade regeringen i sin årliga rapport på att övriga medel, uppgående till mellan 22 och 35 miljarder kronor eller 3</w:t>
      </w:r>
      <w:r w:rsidRPr="00237A2C">
        <w:sym w:font="Symbol" w:char="F02D"/>
      </w:r>
      <w:r w:rsidRPr="00237A2C">
        <w:t>4 % av de totalt disponibla me</w:t>
      </w:r>
      <w:r w:rsidRPr="00237A2C">
        <w:t>d</w:t>
      </w:r>
      <w:r w:rsidRPr="00237A2C">
        <w:t>len, inte omfattas av RRV:s granskning.</w:t>
      </w:r>
    </w:p>
    <w:p w:rsidR="00AE50BA" w:rsidRPr="00237A2C" w:rsidRDefault="00AE50BA">
      <w:pPr>
        <w:pStyle w:val="Rubrik3"/>
      </w:pPr>
      <w:bookmarkStart w:id="131" w:name="_Toc509125577"/>
      <w:bookmarkStart w:id="132" w:name="_Toc509738009"/>
      <w:bookmarkStart w:id="133" w:name="_Toc516991629"/>
      <w:r w:rsidRPr="00237A2C">
        <w:t>5.3 SNS ekonomiråds rapport för år 2000</w:t>
      </w:r>
      <w:bookmarkEnd w:id="131"/>
      <w:bookmarkEnd w:id="132"/>
      <w:bookmarkEnd w:id="133"/>
    </w:p>
    <w:p w:rsidR="00AE50BA" w:rsidRPr="00237A2C" w:rsidRDefault="00AE50BA">
      <w:r w:rsidRPr="00237A2C">
        <w:t xml:space="preserve">I ekonomirådets rapport </w:t>
      </w:r>
      <w:r w:rsidRPr="00237A2C">
        <w:rPr>
          <w:i/>
        </w:rPr>
        <w:t>Politisk makt med oklart ansvar</w:t>
      </w:r>
      <w:r w:rsidRPr="00237A2C">
        <w:t xml:space="preserve"> analyseras det svenska politiska systemets funktionssätt. Rådets slutsats är att det finns icke oväsentliga problem och brister när det gäller maktfördelning, granskning och ansvarsutkrävande. Rapporten utmynnar i en rad konkreta förslag till reformer.</w:t>
      </w:r>
    </w:p>
    <w:p w:rsidR="00AE50BA" w:rsidRPr="00237A2C" w:rsidRDefault="00AE50BA">
      <w:pPr>
        <w:pStyle w:val="Normaltindrag"/>
      </w:pPr>
      <w:r w:rsidRPr="00237A2C">
        <w:t>Analysen och förslagen inom den statliga sfären gäller bl.a. valsystemets utformning, formerna för misstroendeförklaring i riksdagen, ökat inslag av förhandsgranskning av propositioner och motioner, skärpt prövning av lagars gr</w:t>
      </w:r>
      <w:r w:rsidRPr="00237A2C">
        <w:t xml:space="preserve">undlagsenlighet samt inrättandet av ett oberoende revisionsorgan som enligt rapporten skall granska den offentliga verksamheten i medborgarnas intresse. </w:t>
      </w:r>
    </w:p>
    <w:p w:rsidR="00AE50BA" w:rsidRPr="00237A2C" w:rsidRDefault="00AE50BA">
      <w:pPr>
        <w:pStyle w:val="Normaltindrag"/>
      </w:pPr>
      <w:r w:rsidRPr="00237A2C">
        <w:t>I ett särskilt avsnitt behandlas frågor som har nära anslutning till den här aktuella granskningen. Det konstateras att många av de cirka 10 000 beslut som regeringen årligen fattar gäller partsärenden och bidrag. Författarna pekar på att regeringen inom vissa politiskt uppmärksammade områden valt att själv ta hand om verkställigheten. Det blir därvid lätt</w:t>
      </w:r>
      <w:r w:rsidRPr="00237A2C">
        <w:t>are, hävdas det, att fördela bidrag med utgångspunkt i rent politiska hänsyn, vilket i princip inte är tillåtet för en förvaltningsmyndighet. Som exempel på områden där reg</w:t>
      </w:r>
      <w:r w:rsidRPr="00237A2C">
        <w:t>e</w:t>
      </w:r>
      <w:r w:rsidRPr="00237A2C">
        <w:t>ringen tagit på sig en sådan roll nämns i rapporten medlen för särskilda insa</w:t>
      </w:r>
      <w:r w:rsidRPr="00237A2C">
        <w:t>t</w:t>
      </w:r>
      <w:r w:rsidRPr="00237A2C">
        <w:t>ser i kommuner och landsting, de s.k. Kretslopps- respektive Östersjömilja</w:t>
      </w:r>
      <w:r w:rsidRPr="00237A2C">
        <w:t>r</w:t>
      </w:r>
      <w:r w:rsidRPr="00237A2C">
        <w:t>derna samt bidragen till lokala investeringsprogram. Alla dessa fall är enligt rapporten avsteg från grundprincipen i svensk statsförvaltning och leder till oklarheter när det gäller för</w:t>
      </w:r>
      <w:r w:rsidRPr="00237A2C">
        <w:t>delningen av makt mellan regering och myndi</w:t>
      </w:r>
      <w:r w:rsidRPr="00237A2C">
        <w:t>g</w:t>
      </w:r>
      <w:r w:rsidRPr="00237A2C">
        <w:t>heter. SNS:s ekonomiråd föreslår därför att maktfördelningen mellan Reg</w:t>
      </w:r>
      <w:r w:rsidRPr="00237A2C">
        <w:t>e</w:t>
      </w:r>
      <w:r w:rsidRPr="00237A2C">
        <w:t>ringskansliet och myndigheterna skall renodlas. Regeringskansliet skall, menar man, vara en strategisk ledning för statsförvaltningen och inte dela ut bidragsmiljarder.</w:t>
      </w:r>
    </w:p>
    <w:p w:rsidR="00AE50BA" w:rsidRPr="00237A2C" w:rsidRDefault="00AE50BA">
      <w:pPr>
        <w:pStyle w:val="Rubrik3"/>
      </w:pPr>
      <w:bookmarkStart w:id="134" w:name="_Toc509125578"/>
      <w:bookmarkStart w:id="135" w:name="_Toc509738010"/>
      <w:bookmarkStart w:id="136" w:name="_Toc516991630"/>
      <w:r w:rsidRPr="00237A2C">
        <w:t>5.4 Statskontorets rapport om Kunskapslyftet som modell och metod</w:t>
      </w:r>
      <w:bookmarkEnd w:id="134"/>
      <w:bookmarkEnd w:id="135"/>
      <w:bookmarkEnd w:id="136"/>
    </w:p>
    <w:p w:rsidR="00AE50BA" w:rsidRPr="00237A2C" w:rsidRDefault="00AE50BA">
      <w:r w:rsidRPr="00237A2C">
        <w:t xml:space="preserve">På uppdrag av Kunskapslyftskommittén genomförde Statskontoret år 1998 en studie av Kunskapslyftet. Studien presenterades i rapporten </w:t>
      </w:r>
      <w:r w:rsidRPr="00237A2C">
        <w:rPr>
          <w:i/>
        </w:rPr>
        <w:t>Kunskapsly</w:t>
      </w:r>
      <w:r w:rsidRPr="00237A2C">
        <w:rPr>
          <w:i/>
        </w:rPr>
        <w:t>f</w:t>
      </w:r>
      <w:r w:rsidRPr="00237A2C">
        <w:rPr>
          <w:i/>
        </w:rPr>
        <w:t>tet som modell och metod</w:t>
      </w:r>
      <w:r w:rsidRPr="00237A2C">
        <w:rPr>
          <w:i/>
        </w:rPr>
        <w:sym w:font="Symbol" w:char="F02D"/>
      </w:r>
      <w:r w:rsidRPr="00237A2C">
        <w:rPr>
          <w:i/>
        </w:rPr>
        <w:t>adhocrati och byråkrati</w:t>
      </w:r>
      <w:r w:rsidRPr="00237A2C">
        <w:t xml:space="preserve"> (1998:20). Statskontoret konstaterade att Delegationen för kunskapslyftet med placering i Regering</w:t>
      </w:r>
      <w:r w:rsidRPr="00237A2C">
        <w:t>s</w:t>
      </w:r>
      <w:r w:rsidRPr="00237A2C">
        <w:t>kansliet inrättades av flera orsaker. Bland annat hade Kunskapslyftet flerfa</w:t>
      </w:r>
      <w:r w:rsidRPr="00237A2C">
        <w:t>l</w:t>
      </w:r>
      <w:r w:rsidRPr="00237A2C">
        <w:t>diga och sektorsövergripande mål. Det saknades dock en sektorsmyndighet som kunde ta på sig uppgiften. Vidare fanns krav på en obyråkratisk och flexibel beslutsprocess och ärendehantering. Regeringen var i behov av att sätta i gång projektet innan grundläggande beslut fattats</w:t>
      </w:r>
      <w:r w:rsidRPr="00237A2C">
        <w:t xml:space="preserve"> och ville göra sna</w:t>
      </w:r>
      <w:r w:rsidRPr="00237A2C">
        <w:t>b</w:t>
      </w:r>
      <w:r w:rsidRPr="00237A2C">
        <w:t>ba korrig</w:t>
      </w:r>
      <w:r w:rsidRPr="00237A2C">
        <w:t>e</w:t>
      </w:r>
      <w:r w:rsidRPr="00237A2C">
        <w:t>ringar om så behövdes.</w:t>
      </w:r>
    </w:p>
    <w:p w:rsidR="00AE50BA" w:rsidRPr="00237A2C" w:rsidRDefault="00AE50BA">
      <w:pPr>
        <w:pStyle w:val="Normaltindrag"/>
      </w:pPr>
      <w:r w:rsidRPr="00237A2C">
        <w:t>Statskontoret pekar på att myndighetsutövning har ett särskilt rättsligt skydd i regeringsformen med innebörden att den inte får påverkas av reg</w:t>
      </w:r>
      <w:r w:rsidRPr="00237A2C">
        <w:t>e</w:t>
      </w:r>
      <w:r w:rsidRPr="00237A2C">
        <w:t>ringen eller av ett enskilt statsråd. Något formellt problem uppstår visserligen inte när regeringen själv genom sina beslut är den utövande myndigheten. Det kan dock enligt Statskontoret ändå finnas skäl att undvika ”gråzoner” med myndigheter eller myndighetsliknande organ inom Regeringskansliet. Mål- och resultatstyrningen förutsätter en tydlighet i rollfördelningen mellan riksdagen, regeringen, myndigheterna och kommunerna. De tillfälliga org</w:t>
      </w:r>
      <w:r w:rsidRPr="00237A2C">
        <w:t>a</w:t>
      </w:r>
      <w:r w:rsidRPr="00237A2C">
        <w:t>nisationslösningarna – adhocratin – bryter mönstret och inneb</w:t>
      </w:r>
      <w:r w:rsidRPr="00237A2C">
        <w:t xml:space="preserve">är att dubbla eller flerdubbla och konkurrerande system etableras. En konsekvens är att det kan bli svårt att utkräva ansvar. Statskontoret anser att en särskilt tillskapad organisation – delegation eller motsvarande </w:t>
      </w:r>
      <w:r w:rsidRPr="00237A2C">
        <w:sym w:font="Symbol" w:char="F02D"/>
      </w:r>
      <w:r w:rsidRPr="00237A2C">
        <w:t xml:space="preserve"> kan vara lämplig t.ex.</w:t>
      </w:r>
    </w:p>
    <w:p w:rsidR="00AE50BA" w:rsidRPr="00237A2C" w:rsidRDefault="00AE50BA">
      <w:pPr>
        <w:numPr>
          <w:ilvl w:val="0"/>
          <w:numId w:val="14"/>
        </w:numPr>
      </w:pPr>
      <w:r w:rsidRPr="00237A2C">
        <w:t>när det är oklart vilka problem som skall lösas,</w:t>
      </w:r>
    </w:p>
    <w:p w:rsidR="00AE50BA" w:rsidRPr="00237A2C" w:rsidRDefault="00AE50BA">
      <w:pPr>
        <w:numPr>
          <w:ilvl w:val="0"/>
          <w:numId w:val="14"/>
        </w:numPr>
      </w:pPr>
      <w:r w:rsidRPr="00237A2C">
        <w:t>om inslaget av experiment, förhandlingar och skönsmässighet i besluten är stort och förutsättningarna för och behovet av regelstyrning och lik</w:t>
      </w:r>
      <w:r w:rsidRPr="00237A2C">
        <w:t>a</w:t>
      </w:r>
      <w:r w:rsidRPr="00237A2C">
        <w:t>behandling är litet,</w:t>
      </w:r>
    </w:p>
    <w:p w:rsidR="00AE50BA" w:rsidRPr="00237A2C" w:rsidRDefault="00AE50BA">
      <w:pPr>
        <w:numPr>
          <w:ilvl w:val="0"/>
          <w:numId w:val="14"/>
        </w:numPr>
      </w:pPr>
      <w:r w:rsidRPr="00237A2C">
        <w:t>när intressemedverkan är önskvärd och legitim, t.ex. när avgränsade program samfinansieras av flera parter, eller</w:t>
      </w:r>
    </w:p>
    <w:p w:rsidR="00AE50BA" w:rsidRPr="00237A2C" w:rsidRDefault="00AE50BA">
      <w:pPr>
        <w:numPr>
          <w:ilvl w:val="0"/>
          <w:numId w:val="14"/>
        </w:numPr>
      </w:pPr>
      <w:r w:rsidRPr="00237A2C">
        <w:t>när andra alternativ saknas.</w:t>
      </w:r>
    </w:p>
    <w:p w:rsidR="00AE50BA" w:rsidRPr="00237A2C" w:rsidRDefault="00AE50BA">
      <w:pPr>
        <w:pStyle w:val="Rubrik3"/>
      </w:pPr>
      <w:bookmarkStart w:id="137" w:name="_Toc509125579"/>
      <w:bookmarkStart w:id="138" w:name="_Toc509738011"/>
      <w:bookmarkStart w:id="139" w:name="_Toc516991631"/>
      <w:r w:rsidRPr="00237A2C">
        <w:t>5.5 De lokala investeringsprogrammen</w:t>
      </w:r>
      <w:bookmarkEnd w:id="137"/>
      <w:bookmarkEnd w:id="138"/>
      <w:bookmarkEnd w:id="139"/>
    </w:p>
    <w:p w:rsidR="00AE50BA" w:rsidRPr="00237A2C" w:rsidRDefault="00AE50BA">
      <w:r w:rsidRPr="00237A2C">
        <w:t>Riksdagens revisorer har tidigare granskat det statliga stödet till de lokala investeringsprogrammen (rapport 1998/99:8). I rapporten konstaterades att åtgärder inom områdena byggande, boende och energi hade varit dominera</w:t>
      </w:r>
      <w:r w:rsidRPr="00237A2C">
        <w:t>n</w:t>
      </w:r>
      <w:r w:rsidRPr="00237A2C">
        <w:t>de under 1998. Revisorerna ansåg därvid att målen för arbetet mot en ekol</w:t>
      </w:r>
      <w:r w:rsidRPr="00237A2C">
        <w:t>o</w:t>
      </w:r>
      <w:r w:rsidRPr="00237A2C">
        <w:t>giskt hållbar utveckling bara varit definierade på övergripande nivå, något som försvårat möjligheterna till uppföljning. I rapporten framhölls också att det varit svårt att identifiera entydiga kriterier för hur stödet hade bestämts. Kommunala förvaltningar och kommunala bolag hade beviljats stöd i större utsträckning än företag och föreningar. Revisorerna ansåg även att det fö</w:t>
      </w:r>
      <w:r w:rsidRPr="00237A2C">
        <w:t>r</w:t>
      </w:r>
      <w:r w:rsidRPr="00237A2C">
        <w:t>hållande att kommunerna hade konkurrerat om stöd inte h</w:t>
      </w:r>
      <w:r w:rsidRPr="00237A2C">
        <w:t>ade gynnat geme</w:t>
      </w:r>
      <w:r w:rsidRPr="00237A2C">
        <w:t>n</w:t>
      </w:r>
      <w:r w:rsidRPr="00237A2C">
        <w:t>samma satsningar.</w:t>
      </w:r>
    </w:p>
    <w:p w:rsidR="00AE50BA" w:rsidRPr="00237A2C" w:rsidRDefault="00AE50BA">
      <w:pPr>
        <w:pStyle w:val="Normaltindrag"/>
      </w:pPr>
      <w:r w:rsidRPr="00237A2C">
        <w:t>I rapporten påpekades att Regeringskansliet tagit på sig ärendehantering av förvaltningskaraktär. Konsekvensen hade blivit att den ordinarie förvaltnin</w:t>
      </w:r>
      <w:r w:rsidRPr="00237A2C">
        <w:t>g</w:t>
      </w:r>
      <w:r w:rsidRPr="00237A2C">
        <w:t>en till viss mån ställts vid sidan om fördelningsprocessen. Revisorerna m</w:t>
      </w:r>
      <w:r w:rsidRPr="00237A2C">
        <w:t>e</w:t>
      </w:r>
      <w:r w:rsidRPr="00237A2C">
        <w:t>nade att utvecklingen stod i strid mot den renodling av rollerna mellan my</w:t>
      </w:r>
      <w:r w:rsidRPr="00237A2C">
        <w:t>n</w:t>
      </w:r>
      <w:r w:rsidRPr="00237A2C">
        <w:t>digheterna och Regeringskansliet som eftersträvats under 1990-talet. I ra</w:t>
      </w:r>
      <w:r w:rsidRPr="00237A2C">
        <w:t>p</w:t>
      </w:r>
      <w:r w:rsidRPr="00237A2C">
        <w:t>porten framhölls också att sökande inte har fått veta skälen till att ansöknin</w:t>
      </w:r>
      <w:r w:rsidRPr="00237A2C">
        <w:t>g</w:t>
      </w:r>
      <w:r w:rsidRPr="00237A2C">
        <w:t>arna hade fått avslag.</w:t>
      </w:r>
    </w:p>
    <w:p w:rsidR="00AE50BA" w:rsidRPr="00237A2C" w:rsidRDefault="00AE50BA">
      <w:pPr>
        <w:pStyle w:val="Normaltindrag"/>
      </w:pPr>
      <w:r w:rsidRPr="00237A2C">
        <w:t>Även Svenska Naturskyddsföreningen har granskat de lokala investering</w:t>
      </w:r>
      <w:r w:rsidRPr="00237A2C">
        <w:t>s</w:t>
      </w:r>
      <w:r w:rsidRPr="00237A2C">
        <w:t>programmen. I rapporten Konsten att använda 5,4 miljarder – En kritisk granskning av stödet till de lokala investeringsprogrammen för hållbar u</w:t>
      </w:r>
      <w:r w:rsidRPr="00237A2C">
        <w:t>t</w:t>
      </w:r>
      <w:r w:rsidRPr="00237A2C">
        <w:t>veckling (rapport 9423/98) kritiseras användningen av medlen på ett flertal punkter. Svenska Naturskyddsföreningen anser att mycket talar för att o</w:t>
      </w:r>
      <w:r w:rsidRPr="00237A2C">
        <w:t>m</w:t>
      </w:r>
      <w:r w:rsidRPr="00237A2C">
        <w:t>kring hälften av projekten skulle ha genomförts även utan stöd. Dock kan stödet ha medverkat till en tidigareläggning av redan planerade åtgärder. Svenska Naturskyddsföreningen framhåller också att om stöd används som k</w:t>
      </w:r>
      <w:r w:rsidRPr="00237A2C">
        <w:t>omplement till lagstiftning och skatter bör bidragen vara generella och i första hand hanteras av fackmyndigheter.</w:t>
      </w:r>
    </w:p>
    <w:p w:rsidR="00AE50BA" w:rsidRPr="00237A2C" w:rsidRDefault="00AE50BA">
      <w:pPr>
        <w:pStyle w:val="Normaltindrag"/>
      </w:pPr>
      <w:r w:rsidRPr="00237A2C">
        <w:t>I Riksrevisionsverkets rapport De lokala investeringsprogrammen i prakt</w:t>
      </w:r>
      <w:r w:rsidRPr="00237A2C">
        <w:t>i</w:t>
      </w:r>
      <w:r w:rsidRPr="00237A2C">
        <w:t>ken – en uppföljning av kommunernas arbete (1999:37) kritiseras också hanteringen av bidragen. RRV anger att departementets organisation för beredning av bidragsärenden är mycket liten i förhållande till de stora b</w:t>
      </w:r>
      <w:r w:rsidRPr="00237A2C">
        <w:t>i</w:t>
      </w:r>
      <w:r w:rsidRPr="00237A2C">
        <w:t>dragssummorna och den stora mängden projekt. Den särskilda kompetens som krävs för att bedöma projekten i ansökningarna finns enligt RRV främst hos sektorsmyndigheterna. RRV är också kritiskt till att man från depart</w:t>
      </w:r>
      <w:r w:rsidRPr="00237A2C">
        <w:t>e</w:t>
      </w:r>
      <w:r w:rsidRPr="00237A2C">
        <w:t>mentets sida inte inhämtat behövliga upplysningar från sektorsmyndighete</w:t>
      </w:r>
      <w:r w:rsidRPr="00237A2C">
        <w:t>r</w:t>
      </w:r>
      <w:r w:rsidRPr="00237A2C">
        <w:t xml:space="preserve">na. </w:t>
      </w:r>
    </w:p>
    <w:p w:rsidR="00AE50BA" w:rsidRPr="00237A2C" w:rsidRDefault="00AE50BA">
      <w:pPr>
        <w:pStyle w:val="Normaltindrag"/>
      </w:pPr>
      <w:r w:rsidRPr="00237A2C">
        <w:t>F</w:t>
      </w:r>
      <w:r w:rsidRPr="00237A2C">
        <w:t>örordningen (1998:23) om statliga bidrag till lokala investeringsprogram lämnar vidare enligt RRV ett stort utrymme för tolkning. Centrala begrepp i förordningen har getts oprecisa definitioner. RRV anger också att uppföl</w:t>
      </w:r>
      <w:r w:rsidRPr="00237A2C">
        <w:t>j</w:t>
      </w:r>
      <w:r w:rsidRPr="00237A2C">
        <w:t>ningen och kontrollen är otillräcklig. Regeringen förlitar sig enligt rapporten på att kommunerna skall kontrollera de enskilda projekten, detta trots att kommunerna saknar oberoende revision. RRV har slutligen funnit ett inslag av spekulativa program eller projekt utan tillräcklig substan</w:t>
      </w:r>
      <w:r w:rsidRPr="00237A2C">
        <w:t>s. Syftet med dessa program tycks enligt verket i första hand ha varit att tillägna sig statliga bidrag och inte att lösa de lokala miljöproblemen. Det bör understrykas att RRV:s granskning endast omfattar det inledande året av projektet.</w:t>
      </w:r>
    </w:p>
    <w:p w:rsidR="00AE50BA" w:rsidRPr="00237A2C" w:rsidRDefault="00AE50BA">
      <w:pPr>
        <w:pStyle w:val="Normaltindrag"/>
      </w:pPr>
      <w:r w:rsidRPr="00237A2C">
        <w:t>För att undersöka huruvida taktik har spelat roll i fördelningen av det sta</w:t>
      </w:r>
      <w:r w:rsidRPr="00237A2C">
        <w:t>t</w:t>
      </w:r>
      <w:r w:rsidRPr="00237A2C">
        <w:t>liga stödet till de lokala investeringsprogrammen har fil.dr Matz Dahlberg och fil.dr Eva Johansson studerat vilka kommuner som har fått sina projekt beviljade i den första omgången av ansökningar. Beslut om dessa togs i mars</w:t>
      </w:r>
      <w:r w:rsidRPr="00237A2C">
        <w:sym w:font="Symbol" w:char="F02D"/>
      </w:r>
      <w:r w:rsidRPr="00237A2C">
        <w:t>april 1998, dvs. några månader före valet. I denna omgång ansökte 115 kommuner om bidrag och av de inkomna ansökningarna beviljades 42. Dessa kommuner fick dela på knappt 2,3 miljarder kronor. Resultaten av undersö</w:t>
      </w:r>
      <w:r w:rsidRPr="00237A2C">
        <w:t>k</w:t>
      </w:r>
      <w:r w:rsidRPr="00237A2C">
        <w:t xml:space="preserve">ningen har publicerats i uppsatsen </w:t>
      </w:r>
      <w:r w:rsidRPr="00237A2C">
        <w:rPr>
          <w:i/>
        </w:rPr>
        <w:t xml:space="preserve">On the Vote Purchasing Behavior of </w:t>
      </w:r>
      <w:r w:rsidRPr="00237A2C">
        <w:rPr>
          <w:i/>
        </w:rPr>
        <w:t>I</w:t>
      </w:r>
      <w:r w:rsidRPr="00237A2C">
        <w:rPr>
          <w:i/>
        </w:rPr>
        <w:t>n</w:t>
      </w:r>
      <w:r w:rsidRPr="00237A2C">
        <w:rPr>
          <w:i/>
        </w:rPr>
        <w:t>cumbent Governments</w:t>
      </w:r>
      <w:r w:rsidRPr="00237A2C">
        <w:t>, Working Paper 1999:24, Nationalekonomiska inst</w:t>
      </w:r>
      <w:r w:rsidRPr="00237A2C">
        <w:t>i</w:t>
      </w:r>
      <w:r w:rsidRPr="00237A2C">
        <w:t xml:space="preserve">tutionen vid Uppsala universitetet samt i en artikel i tidskriften Ekonomisk Debatt (nr 4 år 2000). </w:t>
      </w:r>
    </w:p>
    <w:p w:rsidR="00AE50BA" w:rsidRPr="00237A2C" w:rsidRDefault="00AE50BA">
      <w:pPr>
        <w:pStyle w:val="Normaltindrag"/>
      </w:pPr>
      <w:r w:rsidRPr="00237A2C">
        <w:t>Bakgrunden till att studien genomförts är enligt upphovsmännen att b</w:t>
      </w:r>
      <w:r w:rsidRPr="00237A2C">
        <w:t>i</w:t>
      </w:r>
      <w:r w:rsidRPr="00237A2C">
        <w:t>dragssystemet för att stödja investeringar för en ekologiskt hållbar utveckling är ekonomiskt betydande. Regeringen har vidare mycket stor makt över hur pengarna fördelas samtidigt som fördelningsprinciperna är diffust utformade. Enligt författarna tyder resultaten på att regeringen har utnyttjat sin suver</w:t>
      </w:r>
      <w:r w:rsidRPr="00237A2C">
        <w:t>ä</w:t>
      </w:r>
      <w:r w:rsidRPr="00237A2C">
        <w:t>nitet över de aktuella bidragen på ett taktiskt sätt. Man finner starkt stöd för att regeringen ”köper” röster genom att investera i de kommuner där det finns många lättrörliga väljare. Slutsatsen är enl</w:t>
      </w:r>
      <w:r w:rsidRPr="00237A2C">
        <w:t xml:space="preserve">igt de två ekonomerna att bidragssystem av det aktuella slaget bör undvikas för att undvika misstankar om att pengarna utnyttjas för ”röstköp”.  </w:t>
      </w:r>
    </w:p>
    <w:p w:rsidR="00AE50BA" w:rsidRPr="00237A2C" w:rsidRDefault="00AE50BA">
      <w:pPr>
        <w:pStyle w:val="Rubrik3"/>
      </w:pPr>
      <w:bookmarkStart w:id="140" w:name="_Toc509125580"/>
      <w:bookmarkStart w:id="141" w:name="_Toc509738012"/>
      <w:bookmarkStart w:id="142" w:name="_Toc516991632"/>
      <w:r w:rsidRPr="00237A2C">
        <w:t>5.6 Kretsloppsmiljarden</w:t>
      </w:r>
      <w:bookmarkEnd w:id="140"/>
      <w:bookmarkEnd w:id="141"/>
      <w:bookmarkEnd w:id="142"/>
    </w:p>
    <w:p w:rsidR="00AE50BA" w:rsidRPr="00237A2C" w:rsidRDefault="00AE50BA">
      <w:r w:rsidRPr="00237A2C">
        <w:t xml:space="preserve">Riksrevisionsverket har på regeringens uppdrag granskat det s.k. kretslopps- programmet. Uppdraget redovisades i rapporten </w:t>
      </w:r>
      <w:r w:rsidRPr="00237A2C">
        <w:rPr>
          <w:i/>
        </w:rPr>
        <w:t>Miljarden som försvann</w:t>
      </w:r>
      <w:r w:rsidRPr="00237A2C">
        <w:t xml:space="preserve"> (RRV 1999:28). RRV konstaterar att riksdagen år 1996 avsatte en miljard kronor för programmet och att drygt 200 miljoner kronor till och med april 1999 beviljats i bidrag till sammanlagt 274 olika projekt. Regeringen besl</w:t>
      </w:r>
      <w:r w:rsidRPr="00237A2C">
        <w:t>u</w:t>
      </w:r>
      <w:r w:rsidRPr="00237A2C">
        <w:t>tade i april 1999 att dra in återstående medel. Eftersom programmet lagts ner inriktade sig RRV i sin granskning på att dra generella lärdomar av stödet inför liknande satsningar i framtiden.</w:t>
      </w:r>
    </w:p>
    <w:p w:rsidR="00AE50BA" w:rsidRPr="00237A2C" w:rsidRDefault="00AE50BA">
      <w:pPr>
        <w:pStyle w:val="Normaltindrag"/>
      </w:pPr>
      <w:r w:rsidRPr="00237A2C">
        <w:t>RRV:s övergripande slutsats var att kretsloppsprogrammet var dåligt g</w:t>
      </w:r>
      <w:r w:rsidRPr="00237A2C">
        <w:t>e</w:t>
      </w:r>
      <w:r w:rsidRPr="00237A2C">
        <w:t>nomtänkt – för många mål skulle uppnås med ett enda medel. Förhållandet mellan de olika målen var oklart och ett av målen (miljöeffekter) fick stort genomslag på bekostnad av andra mål (sysselsättning respektive ny teknik). Dessutom fanns det konflikter mellan vissa mål; exempelvis leder ny teknik ofta till minskad sysselsättning till följd av rationaliseringar. Målen var inte heller preciserade, vilket gav stort tolkningsutrymme i fråga om vilka krav som skulle ställas för att ett projekt skall få bidrag.</w:t>
      </w:r>
    </w:p>
    <w:p w:rsidR="00AE50BA" w:rsidRPr="00237A2C" w:rsidRDefault="00AE50BA">
      <w:pPr>
        <w:pStyle w:val="Normaltindrag"/>
      </w:pPr>
      <w:r w:rsidRPr="00237A2C">
        <w:t>Målproblemen har överförts till den förordning som reglerar bidragsgi</w:t>
      </w:r>
      <w:r w:rsidRPr="00237A2C">
        <w:t>v</w:t>
      </w:r>
      <w:r w:rsidRPr="00237A2C">
        <w:t>ningen. Denna har enligt RRV många brister, vilket försvårar tillämpningen. Til exempel har centrala begrepp som ny teknik, påtaglig miljöeffekt och sysselsättning inte närmare definierats. Följden har blivit att de beslutande myndigheterna, länsstyrelserna och regeringen, har fått ett stort tolkningsu</w:t>
      </w:r>
      <w:r w:rsidRPr="00237A2C">
        <w:t>t</w:t>
      </w:r>
      <w:r w:rsidRPr="00237A2C">
        <w:t>rymme. Tillämpningen av förordningen har därmed skiftat mellan olika län samt mellan länen och regeringen.</w:t>
      </w:r>
    </w:p>
    <w:p w:rsidR="00AE50BA" w:rsidRPr="00237A2C" w:rsidRDefault="00AE50BA">
      <w:pPr>
        <w:pStyle w:val="Normaltindrag"/>
      </w:pPr>
      <w:r w:rsidRPr="00237A2C">
        <w:t>När det gäller berednings- och beslutsprocessen konstateras i studien att regeringen prövat större p</w:t>
      </w:r>
      <w:r w:rsidRPr="00237A2C">
        <w:t>rojektansökningar medan länsstyrelserna beslutat om bidrag till mindre projekt. Regeringsärendena har beretts inom Miljöd</w:t>
      </w:r>
      <w:r w:rsidRPr="00237A2C">
        <w:t>e</w:t>
      </w:r>
      <w:r w:rsidRPr="00237A2C">
        <w:t>partementet, med bistånd av en beredningsgrupp inom Regeringskansliet och en expertgrupp. Denna beslutsmodell skiljer sig från den traditionella fö</w:t>
      </w:r>
      <w:r w:rsidRPr="00237A2C">
        <w:t>r</w:t>
      </w:r>
      <w:r w:rsidRPr="00237A2C">
        <w:t>valtningsmodellen, där centrala förvaltningsmyndigheter står för expertb</w:t>
      </w:r>
      <w:r w:rsidRPr="00237A2C">
        <w:t>e</w:t>
      </w:r>
      <w:r w:rsidRPr="00237A2C">
        <w:t>dömningar och administration av bidragsärenden. RRV framhåller att i detta fall har expertmyndigheter använts i mycket liten omfattning av såväl Milj</w:t>
      </w:r>
      <w:r w:rsidRPr="00237A2C">
        <w:t>ö</w:t>
      </w:r>
      <w:r w:rsidRPr="00237A2C">
        <w:t>departementet som l</w:t>
      </w:r>
      <w:r w:rsidRPr="00237A2C">
        <w:t xml:space="preserve">änsstyrelserna. </w:t>
      </w:r>
    </w:p>
    <w:p w:rsidR="00AE50BA" w:rsidRPr="00237A2C" w:rsidRDefault="00AE50BA">
      <w:pPr>
        <w:pStyle w:val="Normaltindrag"/>
      </w:pPr>
      <w:r w:rsidRPr="00237A2C">
        <w:t>Granskningen visar, framhåller man, att den valda modellen har klara nackdelar jämfört med den vanliga förvaltningsmodellen; exempelvis har det inte gått att utfärda några tillämpningsföreskrifter till förordningen. Reg</w:t>
      </w:r>
      <w:r w:rsidRPr="00237A2C">
        <w:t>e</w:t>
      </w:r>
      <w:r w:rsidRPr="00237A2C">
        <w:t>ringskansliet är inte heller särskilt väl lämpat för denna typ av myndighet</w:t>
      </w:r>
      <w:r w:rsidRPr="00237A2C">
        <w:t>s</w:t>
      </w:r>
      <w:r w:rsidRPr="00237A2C">
        <w:t>uppgifter, då det är organiserat och bemannat utifrån helt andra utgång</w:t>
      </w:r>
      <w:r w:rsidRPr="00237A2C">
        <w:t>s</w:t>
      </w:r>
      <w:r w:rsidRPr="00237A2C">
        <w:t>punkter. RRV menar att regeringen således har lagt ansvaret för programmet på organisationer som inte varit lämpade för uppgifterna, vilket har fått en negativ inverkan på utfallet på programmet. Varken länsstyrelserna eller Miljödepartementet har ägnat sig åt att systematiskt följa upp beviljade b</w:t>
      </w:r>
      <w:r w:rsidRPr="00237A2C">
        <w:t>i</w:t>
      </w:r>
      <w:r w:rsidRPr="00237A2C">
        <w:t>drag. Detta är inte heller någon sedvanlig uppgift inom Regerin</w:t>
      </w:r>
      <w:r w:rsidRPr="00237A2C">
        <w:t>gskansl</w:t>
      </w:r>
      <w:r w:rsidRPr="00237A2C">
        <w:t>i</w:t>
      </w:r>
      <w:r w:rsidRPr="00237A2C">
        <w:t>et.</w:t>
      </w:r>
    </w:p>
    <w:p w:rsidR="00AE50BA" w:rsidRPr="00237A2C" w:rsidRDefault="00AE50BA">
      <w:pPr>
        <w:pStyle w:val="Normaltindrag"/>
      </w:pPr>
      <w:r w:rsidRPr="00237A2C">
        <w:t>RRV understryker att det finns särskilda problem förknippade med prö</w:t>
      </w:r>
      <w:r w:rsidRPr="00237A2C">
        <w:t>v</w:t>
      </w:r>
      <w:r w:rsidRPr="00237A2C">
        <w:t>ning av bidragsansökningar inom Regeringskansliet, som inte lyder under samma regelverk och kontrollsystem som vanliga förvaltningsmyndigheter. När regeringen fattar beslut som första instans kan inte besluten överklagas. Regeringskansliet är enligt RRV:s uppfattning inte heller föremål för ober</w:t>
      </w:r>
      <w:r w:rsidRPr="00237A2C">
        <w:t>o</w:t>
      </w:r>
      <w:r w:rsidRPr="00237A2C">
        <w:t xml:space="preserve">ende extern revision av det slag som gäller för förvaltningsmyndigheterna. </w:t>
      </w:r>
    </w:p>
    <w:p w:rsidR="00AE50BA" w:rsidRPr="00237A2C" w:rsidRDefault="00AE50BA">
      <w:pPr>
        <w:pStyle w:val="Rubrik3"/>
      </w:pPr>
      <w:bookmarkStart w:id="143" w:name="_Toc509125581"/>
      <w:bookmarkStart w:id="144" w:name="_Toc509738013"/>
      <w:bookmarkStart w:id="145" w:name="_Toc516991633"/>
      <w:r w:rsidRPr="00237A2C">
        <w:t>5.7 Östersjömiljarderna</w:t>
      </w:r>
      <w:bookmarkEnd w:id="143"/>
      <w:bookmarkEnd w:id="144"/>
      <w:bookmarkEnd w:id="145"/>
    </w:p>
    <w:p w:rsidR="00AE50BA" w:rsidRPr="00237A2C" w:rsidRDefault="00AE50BA">
      <w:r w:rsidRPr="00237A2C">
        <w:t>En granskning som genomfördes av Riksdagens revisorer våren 1999 av bl.a. den första Östersjömiljarden redovisades i granskningspromemorian (1998/99:1) Svenska miljöinsatserna i Baltikum. Övriga miljöinsatser som behandlades i den aktuella granskningen gällde utvecklingssamarbete genom Östersjöprogrammet och samarbete genom klimatpolitiskt motiverade ene</w:t>
      </w:r>
      <w:r w:rsidRPr="00237A2C">
        <w:t>r</w:t>
      </w:r>
      <w:r w:rsidRPr="00237A2C">
        <w:t>giinsatser. Revisorerna beslutade den 22 april 1999 att överlämna promem</w:t>
      </w:r>
      <w:r w:rsidRPr="00237A2C">
        <w:t>o</w:t>
      </w:r>
      <w:r w:rsidRPr="00237A2C">
        <w:t>rian till berörda utskott, departement och my</w:t>
      </w:r>
      <w:r w:rsidRPr="00237A2C">
        <w:t>n</w:t>
      </w:r>
      <w:r w:rsidRPr="00237A2C">
        <w:t>digheter.</w:t>
      </w:r>
    </w:p>
    <w:p w:rsidR="00AE50BA" w:rsidRPr="00237A2C" w:rsidRDefault="00AE50BA">
      <w:pPr>
        <w:pStyle w:val="Normaltindrag"/>
      </w:pPr>
      <w:r w:rsidRPr="00237A2C">
        <w:t>Revisorerna konstaterade att insatserna inom ramen för den första Öste</w:t>
      </w:r>
      <w:r w:rsidRPr="00237A2C">
        <w:t>r</w:t>
      </w:r>
      <w:r w:rsidRPr="00237A2C">
        <w:t>sjömiljarden  hade beretts inom Regeringskansliet, varefter regeringen b</w:t>
      </w:r>
      <w:r w:rsidRPr="00237A2C">
        <w:t>e</w:t>
      </w:r>
      <w:r w:rsidRPr="00237A2C">
        <w:t>slutat om varje projekt för sig. Någon strategi med kriterier för hur olika projektidéer skulle bedömas eller vilka avtalsvillkor som skulle ställas hade inte utarbetats. Bland de erfarenheter från arbetet med Östersjömiljarden som togs upp i promemorian kan nämnas att tjänstemän i Regeringskansliet up</w:t>
      </w:r>
      <w:r w:rsidRPr="00237A2C">
        <w:t>p</w:t>
      </w:r>
      <w:r w:rsidRPr="00237A2C">
        <w:t>givit att de stora projekten inom programmet varit tungrodda och att b</w:t>
      </w:r>
      <w:r w:rsidRPr="00237A2C">
        <w:t>e</w:t>
      </w:r>
      <w:r w:rsidRPr="00237A2C">
        <w:t>slutsprocessen varit svårhanterlig.</w:t>
      </w:r>
    </w:p>
    <w:p w:rsidR="00AE50BA" w:rsidRPr="00237A2C" w:rsidRDefault="00AE50BA">
      <w:pPr>
        <w:pStyle w:val="Normaltindrag"/>
      </w:pPr>
      <w:r w:rsidRPr="00237A2C">
        <w:t>Ansvaret för uppföljning oc</w:t>
      </w:r>
      <w:r w:rsidRPr="00237A2C">
        <w:t>h utvärdering av projekten hade i allmänhet legat på en myndighet eller någon annan organisation. Ansvaret för olika led i hanteringen av insatser genom Östersjömiljarden var såldes uppdelat mellan olika departement och mellan myndigheter och andra organ. Det fanns inte heller någon självklar instans att vända sig till för information. Verksamheten hade enligt revisorerna varit tämligen anonym och svåråtkomlig. Möjligh</w:t>
      </w:r>
      <w:r w:rsidRPr="00237A2C">
        <w:t>e</w:t>
      </w:r>
      <w:r w:rsidRPr="00237A2C">
        <w:t>terna till insyn, kontroll och överblick var därmed begränsade. I promemor</w:t>
      </w:r>
      <w:r w:rsidRPr="00237A2C">
        <w:t>i</w:t>
      </w:r>
      <w:r w:rsidRPr="00237A2C">
        <w:t>an redovisas ä</w:t>
      </w:r>
      <w:r w:rsidRPr="00237A2C">
        <w:t>ven den berednings- och beslutsprocess samt administration som gäller för den andra Östersjömiljarden som inrättades fr.o.m. år 1999.  Revisorerna har därefter beslutat om fortsatt granskning av Östersjömilja</w:t>
      </w:r>
      <w:r w:rsidRPr="00237A2C">
        <w:t>r</w:t>
      </w:r>
      <w:r w:rsidRPr="00237A2C">
        <w:t xml:space="preserve">derna (förstudie 2000/01:14). </w:t>
      </w:r>
    </w:p>
    <w:p w:rsidR="00AE50BA" w:rsidRPr="00237A2C" w:rsidRDefault="00AE50BA">
      <w:pPr>
        <w:pStyle w:val="Rubrik3"/>
      </w:pPr>
      <w:bookmarkStart w:id="146" w:name="_Toc509125582"/>
      <w:bookmarkStart w:id="147" w:name="_Toc509738014"/>
      <w:bookmarkStart w:id="148" w:name="_Toc516991634"/>
      <w:r w:rsidRPr="00237A2C">
        <w:t>5.8 Kunskapslyftet</w:t>
      </w:r>
      <w:bookmarkEnd w:id="146"/>
      <w:bookmarkEnd w:id="147"/>
      <w:bookmarkEnd w:id="148"/>
    </w:p>
    <w:p w:rsidR="00AE50BA" w:rsidRPr="00237A2C" w:rsidRDefault="00AE50BA">
      <w:r w:rsidRPr="00237A2C">
        <w:t>Kunskapslyftskommittén (U1995:09) har haft regeringens uppdrag att sa</w:t>
      </w:r>
      <w:r w:rsidRPr="00237A2C">
        <w:t>m</w:t>
      </w:r>
      <w:r w:rsidRPr="00237A2C">
        <w:t>ordna utvärderingen av Kunskapslyftet och ansvara för att fristående nati</w:t>
      </w:r>
      <w:r w:rsidRPr="00237A2C">
        <w:t>o</w:t>
      </w:r>
      <w:r w:rsidRPr="00237A2C">
        <w:t>nella utvärderingar av denna satsning kommit till stånd. Därutöver anko</w:t>
      </w:r>
      <w:r w:rsidRPr="00237A2C">
        <w:t>m</w:t>
      </w:r>
      <w:r w:rsidRPr="00237A2C">
        <w:t>mer det på respektive myndighet att på normalt sätt följa och utvärdera u</w:t>
      </w:r>
      <w:r w:rsidRPr="00237A2C">
        <w:t>t</w:t>
      </w:r>
      <w:r w:rsidRPr="00237A2C">
        <w:t>vecklingen inom sitt ansvarsområde. Kommittén har också haft till uppgift att årligen till regeringen bl.a. rapportera om resultaten av de fristående n</w:t>
      </w:r>
      <w:r w:rsidRPr="00237A2C">
        <w:t>a</w:t>
      </w:r>
      <w:r w:rsidRPr="00237A2C">
        <w:t xml:space="preserve">tionella utvärderingarna av Kunskapslyftet som kommittén ansvarat för. Så skedde dels år 1998, dels år 1999 i betänkandena SOU 1998:51 och </w:t>
      </w:r>
      <w:r w:rsidRPr="00237A2C">
        <w:t>SOU 1999:39. I sitt slutbetänkande Kunskapsbygget 2000 – det livslånga lärandet (SOU 2000:28) redovisade kommittén sina slutsatser och förslag om den framtida vuxenutbildningen. Dessa grundar sig bl.a. på erfarenheterna av Kunskapslyftsprojektet.</w:t>
      </w:r>
    </w:p>
    <w:p w:rsidR="00AE50BA" w:rsidRPr="00237A2C" w:rsidRDefault="00AE50BA">
      <w:pPr>
        <w:pStyle w:val="Normaltindrag"/>
      </w:pPr>
      <w:r w:rsidRPr="00237A2C">
        <w:t>I slutbetänkandet föreslår utredningen olika organisatoriska förändringar för att genomföra de reformer på vuxenutbildningsområdet som man utarb</w:t>
      </w:r>
      <w:r w:rsidRPr="00237A2C">
        <w:t>e</w:t>
      </w:r>
      <w:r w:rsidRPr="00237A2C">
        <w:t>tat. Kommittén pekar på tre delvis sammanflätade problem som behöver lösas när det gäller den statliga myndighetsorganisationen för kunskapslyft och livslångt lärande. För det första måste ett helhetsperspektiv på något sätt avspeglas i myndighetsorganisationen. För det andra bör relationerna mellan myndigheternas tillsynsuppdrag och deras främjandeuppdrag vara klara. För det tredje anser kommittén att goda förhållanden mellan staten och komm</w:t>
      </w:r>
      <w:r w:rsidRPr="00237A2C">
        <w:t>u</w:t>
      </w:r>
      <w:r w:rsidRPr="00237A2C">
        <w:t>nerna är av största vikt för att få en bra utveckling på utbildn</w:t>
      </w:r>
      <w:r w:rsidRPr="00237A2C">
        <w:t>ingsområdet och de måste också, anser man, få ta sig organisatoriska uttryck.</w:t>
      </w:r>
    </w:p>
    <w:p w:rsidR="00AE50BA" w:rsidRPr="00237A2C" w:rsidRDefault="00AE50BA">
      <w:pPr>
        <w:pStyle w:val="Normaltindrag"/>
      </w:pPr>
      <w:r w:rsidRPr="00237A2C">
        <w:t>Kommittén framhåller att trots att kunskapslyftsprojektet bara utgör en l</w:t>
      </w:r>
      <w:r w:rsidRPr="00237A2C">
        <w:t>i</w:t>
      </w:r>
      <w:r w:rsidRPr="00237A2C">
        <w:t xml:space="preserve">ten del av det livslånga lärandet visar erfarenheterna från Kunskapslyftet att dess aktiviteter berör flera departementsområden </w:t>
      </w:r>
      <w:r w:rsidRPr="00237A2C">
        <w:sym w:font="Symbol" w:char="F02D"/>
      </w:r>
      <w:r w:rsidRPr="00237A2C">
        <w:t xml:space="preserve"> Utbildnings-, Närings-, Finans-, Kultur- och Socialdepartementen. Utredningen pekar på att geno</w:t>
      </w:r>
      <w:r w:rsidRPr="00237A2C">
        <w:t>m</w:t>
      </w:r>
      <w:r w:rsidRPr="00237A2C">
        <w:t>förandet av Kunskapslyftets första år leddes av en delegation med företrädare för de berörda departementen. Statskontoret framhöll i sin utvärdering från år 1998 att projektets sektorsövergripande mål gjorde denna breda represent</w:t>
      </w:r>
      <w:r w:rsidRPr="00237A2C">
        <w:t>a</w:t>
      </w:r>
      <w:r w:rsidRPr="00237A2C">
        <w:t>tion i ledningsorganisationen välmotiverad och nödvändi</w:t>
      </w:r>
      <w:r w:rsidRPr="00237A2C">
        <w:t>g. Utredningen konstaterar att Kunskapslyftet efter Skolverkets övertagande av genomföra</w:t>
      </w:r>
      <w:r w:rsidRPr="00237A2C">
        <w:t>n</w:t>
      </w:r>
      <w:r w:rsidRPr="00237A2C">
        <w:t xml:space="preserve">det år 1998 enbart har blivit en skolsatsning. </w:t>
      </w:r>
    </w:p>
    <w:p w:rsidR="00AE50BA" w:rsidRPr="00237A2C" w:rsidRDefault="00AE50BA">
      <w:pPr>
        <w:pStyle w:val="Normaltindrag"/>
      </w:pPr>
      <w:r w:rsidRPr="00237A2C">
        <w:t>Kommittén föreslår att det inom Regeringskansliet inrättas en sektorsöve</w:t>
      </w:r>
      <w:r w:rsidRPr="00237A2C">
        <w:t>r</w:t>
      </w:r>
      <w:r w:rsidRPr="00237A2C">
        <w:t>gripande rådgivande beredning för livslångt lärande. Syftet är att berednin</w:t>
      </w:r>
      <w:r w:rsidRPr="00237A2C">
        <w:t>g</w:t>
      </w:r>
      <w:r w:rsidRPr="00237A2C">
        <w:t>en skall fungera bl.a. som ett centrum för att utveckla en strategi för livslångt lärande för vuxna, utgöra en arena för erfarenhetsutbyte samt verka för en bättre samverkan mellan olika politikområden och departement. Utredningen anser att denna typ av beredning, liksom ett motsvarande förslag att inrätta ett forskningsforum, representerar nya behov av sektorsövergripande inslag i politiken som uppstått med anledning av förändrade</w:t>
      </w:r>
      <w:r w:rsidRPr="00237A2C">
        <w:t xml:space="preserve"> politiska, ekonomiska och tekniska villkor. De skulle enligt kommittén kunna ses som temporära och övergångsvisa organisatoriska lösningar tills de nya utvecklingstende</w:t>
      </w:r>
      <w:r w:rsidRPr="00237A2C">
        <w:t>n</w:t>
      </w:r>
      <w:r w:rsidRPr="00237A2C">
        <w:t>serna stabiliserat sig och kan få permanenta organisatoriska uttryck i den ordinarie myndighetsstrukturen.</w:t>
      </w:r>
    </w:p>
    <w:p w:rsidR="00AE50BA" w:rsidRPr="00237A2C" w:rsidRDefault="00AE50BA">
      <w:pPr>
        <w:pStyle w:val="Rubrik1"/>
      </w:pPr>
      <w:bookmarkStart w:id="149" w:name="_Toc509125584"/>
      <w:bookmarkStart w:id="150" w:name="_Toc509738016"/>
      <w:bookmarkStart w:id="151" w:name="_Toc516991635"/>
      <w:r w:rsidRPr="00237A2C">
        <w:t>6 Den svenska förvaltningsmodellen</w:t>
      </w:r>
      <w:bookmarkEnd w:id="151"/>
    </w:p>
    <w:p w:rsidR="00AE50BA" w:rsidRPr="00237A2C" w:rsidRDefault="00AE50BA">
      <w:pPr>
        <w:pStyle w:val="Rubrik3"/>
        <w:tabs>
          <w:tab w:val="left" w:pos="357"/>
        </w:tabs>
      </w:pPr>
      <w:bookmarkStart w:id="152" w:name="_Toc516991636"/>
      <w:r w:rsidRPr="00237A2C">
        <w:t>6.1 Inledning</w:t>
      </w:r>
      <w:bookmarkEnd w:id="149"/>
      <w:bookmarkEnd w:id="150"/>
      <w:bookmarkEnd w:id="152"/>
    </w:p>
    <w:p w:rsidR="00AE50BA" w:rsidRPr="00237A2C" w:rsidRDefault="00AE50BA">
      <w:r w:rsidRPr="00237A2C">
        <w:t xml:space="preserve">Inom ramen för denna granskning studeras och analyseras ett antal fall där regeringen valt att själv ta på sig rollen som fördelare av anslagsmedel till olika ändamål, arbetsuppgifter som normalt fullgörs av myndigheter </w:t>
      </w:r>
      <w:r w:rsidRPr="00237A2C">
        <w:rPr>
          <w:i/>
        </w:rPr>
        <w:t xml:space="preserve">under </w:t>
      </w:r>
      <w:r w:rsidRPr="00237A2C">
        <w:t>regeringen. I flera av de studier som refereras i föregående avsnitt, liksom i den allmänna debatten, har frågan om arbets- och rollfördelningen mellan departement och myndigheter tagits upp. Så sägs t.ex. i rapporten från SNS ekonomiråd att det i de aktuella fallen handlar om ett avsteg från viktiga grundprinciper i svenska statsförvaltning som innebär oklarheter i förde</w:t>
      </w:r>
      <w:r w:rsidRPr="00237A2C">
        <w:t>l</w:t>
      </w:r>
      <w:r w:rsidRPr="00237A2C">
        <w:t>ningen av makt mellan reg</w:t>
      </w:r>
      <w:r w:rsidRPr="00237A2C">
        <w:t>e</w:t>
      </w:r>
      <w:r w:rsidRPr="00237A2C">
        <w:t>ring och myndigheter.</w:t>
      </w:r>
    </w:p>
    <w:p w:rsidR="00AE50BA" w:rsidRPr="00237A2C" w:rsidRDefault="00AE50BA">
      <w:pPr>
        <w:pStyle w:val="Normaltindrag"/>
      </w:pPr>
      <w:r w:rsidRPr="00237A2C">
        <w:t xml:space="preserve">Som tidigare framgått anser RRV att den här tillämpade beslutsmodellen skiljer sig </w:t>
      </w:r>
      <w:r w:rsidRPr="00237A2C">
        <w:t>från den traditionella förvaltningsmodellen, där centrala förval</w:t>
      </w:r>
      <w:r w:rsidRPr="00237A2C">
        <w:t>t</w:t>
      </w:r>
      <w:r w:rsidRPr="00237A2C">
        <w:t>ningsmyndigheter står för expertbedömningar och administration av b</w:t>
      </w:r>
      <w:r w:rsidRPr="00237A2C">
        <w:t>i</w:t>
      </w:r>
      <w:r w:rsidRPr="00237A2C">
        <w:t>dragsärenden. RRV pekar också på att Regeringskansliet inte lyder under samma regelverk och kontrollsystem som vanliga förvaltningsmyndigheter. Statskontoret understryker för sin del att mål- och resultatstyrningen föru</w:t>
      </w:r>
      <w:r w:rsidRPr="00237A2C">
        <w:t>t</w:t>
      </w:r>
      <w:r w:rsidRPr="00237A2C">
        <w:t>sätter en tydlighet i rollfördelningen mellan riksdag, regering och myndi</w:t>
      </w:r>
      <w:r w:rsidRPr="00237A2C">
        <w:t>g</w:t>
      </w:r>
      <w:r w:rsidRPr="00237A2C">
        <w:t>heter. Det finns också enligt Statskontoret skäl att undvika att skapa myndi</w:t>
      </w:r>
      <w:r w:rsidRPr="00237A2C">
        <w:t>g</w:t>
      </w:r>
      <w:r w:rsidRPr="00237A2C">
        <w:t>heter el</w:t>
      </w:r>
      <w:r w:rsidRPr="00237A2C">
        <w:t>ler myndighetsliknande organ inom Regeringskan</w:t>
      </w:r>
      <w:r w:rsidRPr="00237A2C">
        <w:t>s</w:t>
      </w:r>
      <w:r w:rsidRPr="00237A2C">
        <w:t xml:space="preserve">liet. </w:t>
      </w:r>
    </w:p>
    <w:p w:rsidR="00AE50BA" w:rsidRPr="00237A2C" w:rsidRDefault="00AE50BA">
      <w:pPr>
        <w:pStyle w:val="Normaltindrag"/>
      </w:pPr>
      <w:r w:rsidRPr="00237A2C">
        <w:t>I sin granskning av de lokala investeringsprogrammen konstaterade Rik</w:t>
      </w:r>
      <w:r w:rsidRPr="00237A2C">
        <w:t>s</w:t>
      </w:r>
      <w:r w:rsidRPr="00237A2C">
        <w:t>dagens revisorer å sin sida att Regeringskansliet tagit på sig ärendehantering av förvaltningskaraktär. Enligt revisorernas mening stod denna utveckling i strid mot den renodling av rollerna mellan myndigheterna och Regering</w:t>
      </w:r>
      <w:r w:rsidRPr="00237A2C">
        <w:t>s</w:t>
      </w:r>
      <w:r w:rsidRPr="00237A2C">
        <w:t xml:space="preserve">kansliet som eftersträvats under 1990-talet. </w:t>
      </w:r>
    </w:p>
    <w:p w:rsidR="00AE50BA" w:rsidRPr="00237A2C" w:rsidRDefault="00AE50BA">
      <w:pPr>
        <w:pStyle w:val="Normaltindrag"/>
      </w:pPr>
      <w:r w:rsidRPr="00237A2C">
        <w:t>Mot bakgrund av den diskussion som förts under senare år om rollförde</w:t>
      </w:r>
      <w:r w:rsidRPr="00237A2C">
        <w:t>l</w:t>
      </w:r>
      <w:r w:rsidRPr="00237A2C">
        <w:t>ningen mellan regering och myndigheter har revisorerna uppdragit åt fil.dr Anders Lindbom att tillsammans med doktoranden Helena Wockelberg och fil.kand. Liv Hammargren, samtliga vid statsvetenskapliga institutionen vid Uppsala universitet, belysa den närmare innebörden av begreppet ”den svenska förvaltningsmodellen”. Uppdraget har redovisats i en forskarrapport (</w:t>
      </w:r>
      <w:r w:rsidRPr="00237A2C">
        <w:rPr>
          <w:i/>
        </w:rPr>
        <w:t>se bilaga</w:t>
      </w:r>
      <w:r w:rsidRPr="00237A2C">
        <w:rPr>
          <w:u w:val="single"/>
        </w:rPr>
        <w:t xml:space="preserve"> </w:t>
      </w:r>
      <w:r w:rsidRPr="00237A2C">
        <w:rPr>
          <w:i/>
        </w:rPr>
        <w:t>2</w:t>
      </w:r>
      <w:r w:rsidRPr="00237A2C">
        <w:t xml:space="preserve">). </w:t>
      </w:r>
    </w:p>
    <w:p w:rsidR="00AE50BA" w:rsidRPr="00237A2C" w:rsidRDefault="00AE50BA">
      <w:pPr>
        <w:pStyle w:val="Normaltindrag"/>
      </w:pPr>
      <w:r w:rsidRPr="00237A2C">
        <w:t>Rapporten består av tre delundersökningar samt en sammanfattande di</w:t>
      </w:r>
      <w:r w:rsidRPr="00237A2C">
        <w:t>s</w:t>
      </w:r>
      <w:r w:rsidRPr="00237A2C">
        <w:t xml:space="preserve">kussion av resultaten av dessa tre delundersökningar. Rapporten har närmast karaktären av en </w:t>
      </w:r>
      <w:r w:rsidRPr="00237A2C">
        <w:rPr>
          <w:i/>
        </w:rPr>
        <w:t>kunskapsöversikt</w:t>
      </w:r>
      <w:r w:rsidRPr="00237A2C">
        <w:t xml:space="preserve">. Den första delundersökningen handlar om </w:t>
      </w:r>
      <w:r w:rsidRPr="00237A2C">
        <w:rPr>
          <w:i/>
        </w:rPr>
        <w:t>debatten</w:t>
      </w:r>
      <w:r w:rsidRPr="00237A2C">
        <w:t xml:space="preserve"> om den svenska förvaltningsmodellen medan den andra tar sikte på hur modellen enligt forskningen fungerar </w:t>
      </w:r>
      <w:r w:rsidRPr="00237A2C">
        <w:rPr>
          <w:i/>
        </w:rPr>
        <w:t>i praktiken</w:t>
      </w:r>
      <w:r w:rsidRPr="00237A2C">
        <w:t xml:space="preserve">. I den tredje delen ställs frågan hur </w:t>
      </w:r>
      <w:r w:rsidRPr="00237A2C">
        <w:rPr>
          <w:i/>
        </w:rPr>
        <w:t>svensk</w:t>
      </w:r>
      <w:r w:rsidRPr="00237A2C">
        <w:t xml:space="preserve"> den svenska förvaltningsmodellen är, främst i jämförelse med förhållandena i Danmark och Norge. Författarna understryker att ra</w:t>
      </w:r>
      <w:r w:rsidRPr="00237A2C">
        <w:t>p</w:t>
      </w:r>
      <w:r w:rsidRPr="00237A2C">
        <w:t xml:space="preserve">porten </w:t>
      </w:r>
      <w:r w:rsidRPr="00237A2C">
        <w:rPr>
          <w:i/>
        </w:rPr>
        <w:t>inte</w:t>
      </w:r>
      <w:r w:rsidRPr="00237A2C">
        <w:t xml:space="preserve"> är en undersökning av den svenska förvaltningsmo</w:t>
      </w:r>
      <w:r w:rsidRPr="00237A2C">
        <w:t>dellens rättsl</w:t>
      </w:r>
      <w:r w:rsidRPr="00237A2C">
        <w:t>i</w:t>
      </w:r>
      <w:r w:rsidRPr="00237A2C">
        <w:t>ga sida, utan en studie av dess politiska inn</w:t>
      </w:r>
      <w:r w:rsidRPr="00237A2C">
        <w:t>e</w:t>
      </w:r>
      <w:r w:rsidRPr="00237A2C">
        <w:t>börd.</w:t>
      </w:r>
    </w:p>
    <w:p w:rsidR="00AE50BA" w:rsidRPr="00237A2C" w:rsidRDefault="00AE50BA">
      <w:pPr>
        <w:pStyle w:val="Normaltindrag"/>
      </w:pPr>
      <w:r w:rsidRPr="00237A2C">
        <w:t>Begreppet ”den svenska förvaltningsmodellen” definieras i forskarrappo</w:t>
      </w:r>
      <w:r w:rsidRPr="00237A2C">
        <w:t>r</w:t>
      </w:r>
      <w:r w:rsidRPr="00237A2C">
        <w:t>ten som den dualistiska uppdelning som sägs råda mellan politiska och ver</w:t>
      </w:r>
      <w:r w:rsidRPr="00237A2C">
        <w:t>k</w:t>
      </w:r>
      <w:r w:rsidRPr="00237A2C">
        <w:t>ställande förvaltningsorgan, dvs. en arbetsfördelning där politiskt beslutsfa</w:t>
      </w:r>
      <w:r w:rsidRPr="00237A2C">
        <w:t>t</w:t>
      </w:r>
      <w:r w:rsidRPr="00237A2C">
        <w:t>tande och implementering är klart åtskilda. Ytterligare en del i denna modell utgörs av frånvaron av ministerst</w:t>
      </w:r>
      <w:r w:rsidRPr="00237A2C">
        <w:t>y</w:t>
      </w:r>
      <w:r w:rsidRPr="00237A2C">
        <w:t>re.</w:t>
      </w:r>
    </w:p>
    <w:p w:rsidR="00AE50BA" w:rsidRPr="00237A2C" w:rsidRDefault="00AE50BA">
      <w:pPr>
        <w:pStyle w:val="Rubrik3"/>
      </w:pPr>
      <w:bookmarkStart w:id="153" w:name="_Toc509125585"/>
      <w:bookmarkStart w:id="154" w:name="_Toc509738017"/>
      <w:bookmarkStart w:id="155" w:name="_Toc516991637"/>
      <w:r w:rsidRPr="00237A2C">
        <w:t>6.2 Debatten om den svenska förvaltningsmodellen</w:t>
      </w:r>
      <w:bookmarkEnd w:id="153"/>
      <w:bookmarkEnd w:id="154"/>
      <w:bookmarkEnd w:id="155"/>
      <w:r w:rsidRPr="00237A2C">
        <w:t xml:space="preserve">     </w:t>
      </w:r>
    </w:p>
    <w:p w:rsidR="00AE50BA" w:rsidRPr="00237A2C" w:rsidRDefault="00AE50BA">
      <w:r w:rsidRPr="00237A2C">
        <w:t>I den parlamentariska debatten om den svenska förvaltningsmodellen, som i rapporten studerats för perioderna 1900</w:t>
      </w:r>
      <w:r w:rsidRPr="00237A2C">
        <w:sym w:font="Symbol" w:char="F02D"/>
      </w:r>
      <w:r w:rsidRPr="00237A2C">
        <w:t>1930 och 1987</w:t>
      </w:r>
      <w:r w:rsidRPr="00237A2C">
        <w:sym w:font="Symbol" w:char="F02D"/>
      </w:r>
      <w:r w:rsidRPr="00237A2C">
        <w:t>1998, är det sällsynt att debattörerna öppet och tydligt definierar modellen. Studien visar att kä</w:t>
      </w:r>
      <w:r w:rsidRPr="00237A2C">
        <w:t>r</w:t>
      </w:r>
      <w:r w:rsidRPr="00237A2C">
        <w:t xml:space="preserve">nan i debatterna gäller </w:t>
      </w:r>
      <w:r w:rsidRPr="00237A2C">
        <w:rPr>
          <w:i/>
        </w:rPr>
        <w:t>styrningsfrågor</w:t>
      </w:r>
      <w:r w:rsidRPr="00237A2C">
        <w:t>, dvs. på vilket sätt och i vilken grad som den politiska sfären ska styra myndigheterna.</w:t>
      </w:r>
    </w:p>
    <w:p w:rsidR="00AE50BA" w:rsidRPr="00237A2C" w:rsidRDefault="00AE50BA">
      <w:pPr>
        <w:pStyle w:val="Normaltindrag"/>
      </w:pPr>
      <w:r w:rsidRPr="00237A2C">
        <w:t>Trots att just normativa aspekter på en lämplig kompetens- och arbetsfö</w:t>
      </w:r>
      <w:r w:rsidRPr="00237A2C">
        <w:t>r</w:t>
      </w:r>
      <w:r w:rsidRPr="00237A2C">
        <w:t xml:space="preserve">delning mellan politik och förvaltning stått i centrum för debatten framförs sällan uppfattningar om vilka </w:t>
      </w:r>
      <w:r w:rsidRPr="00237A2C">
        <w:rPr>
          <w:i/>
        </w:rPr>
        <w:t>arbetsuppgifter</w:t>
      </w:r>
      <w:r w:rsidRPr="00237A2C">
        <w:t xml:space="preserve"> som är ”politiska” och vilka som är verkställande.</w:t>
      </w:r>
    </w:p>
    <w:p w:rsidR="00AE50BA" w:rsidRPr="00237A2C" w:rsidRDefault="00AE50BA">
      <w:pPr>
        <w:pStyle w:val="Normaltindrag"/>
      </w:pPr>
      <w:r w:rsidRPr="00237A2C">
        <w:t>Enligt forskarnas rapport var i början av 1900-talet argumenten för en ty</w:t>
      </w:r>
      <w:r w:rsidRPr="00237A2C">
        <w:t>d</w:t>
      </w:r>
      <w:r w:rsidRPr="00237A2C">
        <w:t>lig uppdelning mellan regering och självständiga ämbetsverk baserade på idén om arbetsfördelning, om att politiskt beslutsfattande och implement</w:t>
      </w:r>
      <w:r w:rsidRPr="00237A2C">
        <w:t>e</w:t>
      </w:r>
      <w:r w:rsidRPr="00237A2C">
        <w:t>ring var distinkt åtskilda och att detta var något gott. Rättssäkerheten var ett centralt inslag i denna debatt.</w:t>
      </w:r>
    </w:p>
    <w:p w:rsidR="00AE50BA" w:rsidRPr="00237A2C" w:rsidRDefault="00AE50BA">
      <w:pPr>
        <w:pStyle w:val="Normaltindrag"/>
      </w:pPr>
      <w:r w:rsidRPr="00237A2C">
        <w:t xml:space="preserve">Förvaltningsutredningen beskrev år 1983 den förhärskande föreställningen om den svenska förvaltningsmodellen som en </w:t>
      </w:r>
      <w:r w:rsidRPr="00237A2C">
        <w:rPr>
          <w:i/>
        </w:rPr>
        <w:t>missuppfattning.</w:t>
      </w:r>
      <w:r w:rsidRPr="00237A2C">
        <w:t xml:space="preserve">  Praxis fö</w:t>
      </w:r>
      <w:r w:rsidRPr="00237A2C">
        <w:t>r</w:t>
      </w:r>
      <w:r w:rsidRPr="00237A2C">
        <w:t>växlades enligt utredningen med de konstitutionella förutsättningarna. U</w:t>
      </w:r>
      <w:r w:rsidRPr="00237A2C">
        <w:t>t</w:t>
      </w:r>
      <w:r w:rsidRPr="00237A2C">
        <w:t>redningen påpekade att området för myndigheternas självständighet enligt  grundlagsstadgandena är tämligen begränsat och inte omfattar organisatori</w:t>
      </w:r>
      <w:r w:rsidRPr="00237A2C">
        <w:t>s</w:t>
      </w:r>
      <w:r w:rsidRPr="00237A2C">
        <w:t>ka eller administrativa förhållanden. Reglerna i regeringsformen (RF 11:7) är inte ett generellt förbud för regeringen att styra i enskilda förvaltningsäre</w:t>
      </w:r>
      <w:r w:rsidRPr="00237A2C">
        <w:t>n</w:t>
      </w:r>
      <w:r w:rsidRPr="00237A2C">
        <w:t>den, utan endast i en viss typ av sådana. Förvaltningens självständighet  orsakas enligt forskarna främst a</w:t>
      </w:r>
      <w:r w:rsidRPr="00237A2C">
        <w:t>v ovilja och bristande förmåga att styra och inte på de ko</w:t>
      </w:r>
      <w:r w:rsidRPr="00237A2C">
        <w:t>n</w:t>
      </w:r>
      <w:r w:rsidRPr="00237A2C">
        <w:t>stitutionella förutsättningarna.</w:t>
      </w:r>
    </w:p>
    <w:p w:rsidR="00AE50BA" w:rsidRPr="00237A2C" w:rsidRDefault="00AE50BA">
      <w:pPr>
        <w:pStyle w:val="Normaltindrag"/>
      </w:pPr>
      <w:r w:rsidRPr="00237A2C">
        <w:t xml:space="preserve">I den moderna debatten formuleras den svenska förvaltningsmodellen som en konstruktion där ämbetsverken är </w:t>
      </w:r>
      <w:r w:rsidRPr="00237A2C">
        <w:rPr>
          <w:i/>
        </w:rPr>
        <w:t>både</w:t>
      </w:r>
      <w:r w:rsidRPr="00237A2C">
        <w:t xml:space="preserve"> självständiga och underkastade regeringsmakten.  Samtidigt betonas att en delegering av beslutskompetens är nödvändig och att förvaltningen därigenom kan komma att fatta beslut som är politiska till sin natur. Det finns enligt forskarna en tilltagande eni</w:t>
      </w:r>
      <w:r w:rsidRPr="00237A2C">
        <w:t>g</w:t>
      </w:r>
      <w:r w:rsidRPr="00237A2C">
        <w:t>het om att nya styrningsformer och förändr</w:t>
      </w:r>
      <w:r w:rsidRPr="00237A2C">
        <w:t>a</w:t>
      </w:r>
      <w:r w:rsidRPr="00237A2C">
        <w:t>de förutsättningar (t.ex. EU-medlemskapet) delvis ändrat arbetsfördelningen mellan regeringen och fö</w:t>
      </w:r>
      <w:r w:rsidRPr="00237A2C">
        <w:t>r</w:t>
      </w:r>
      <w:r w:rsidRPr="00237A2C">
        <w:t xml:space="preserve">valtningen. </w:t>
      </w:r>
    </w:p>
    <w:p w:rsidR="00AE50BA" w:rsidRPr="00237A2C" w:rsidRDefault="00AE50BA">
      <w:pPr>
        <w:pStyle w:val="Normaltindrag"/>
      </w:pPr>
      <w:r w:rsidRPr="00237A2C">
        <w:t>Det konstateras att Förvaltningsutredningens försök till omtolkning av den svenska förvaltning</w:t>
      </w:r>
      <w:r w:rsidRPr="00237A2C">
        <w:t xml:space="preserve">smodellens innehåll och betydelse mötte motstånd, först från </w:t>
      </w:r>
      <w:r w:rsidRPr="00237A2C">
        <w:rPr>
          <w:i/>
        </w:rPr>
        <w:t xml:space="preserve">moderaterna </w:t>
      </w:r>
      <w:r w:rsidRPr="00237A2C">
        <w:t xml:space="preserve">och </w:t>
      </w:r>
      <w:r w:rsidRPr="00237A2C">
        <w:rPr>
          <w:i/>
        </w:rPr>
        <w:t>centern</w:t>
      </w:r>
      <w:r w:rsidRPr="00237A2C">
        <w:t xml:space="preserve"> och sedan från </w:t>
      </w:r>
      <w:r w:rsidRPr="00237A2C">
        <w:rPr>
          <w:i/>
        </w:rPr>
        <w:t>socialdemokraterna</w:t>
      </w:r>
      <w:r w:rsidRPr="00237A2C">
        <w:t xml:space="preserve"> i oppos</w:t>
      </w:r>
      <w:r w:rsidRPr="00237A2C">
        <w:t>i</w:t>
      </w:r>
      <w:r w:rsidRPr="00237A2C">
        <w:t>tion. Detta motstånd lyfte i båda fallen fram ämbetsverkens självständighet som den mest centrala aspekten, protesterna riktades mot betoningen på regeringens styrningsbehov. Det är enligt forskarna rimligt att tolka motstå</w:t>
      </w:r>
      <w:r w:rsidRPr="00237A2C">
        <w:t>n</w:t>
      </w:r>
      <w:r w:rsidRPr="00237A2C">
        <w:t>det som intressebaserat snarare än ideologiskt eftersom partierna bytte pe</w:t>
      </w:r>
      <w:r w:rsidRPr="00237A2C">
        <w:t>r</w:t>
      </w:r>
      <w:r w:rsidRPr="00237A2C">
        <w:t>spektiv när de bytte parlamentarisk position.</w:t>
      </w:r>
    </w:p>
    <w:p w:rsidR="00AE50BA" w:rsidRPr="00237A2C" w:rsidRDefault="00AE50BA">
      <w:pPr>
        <w:pStyle w:val="Normaltindrag"/>
      </w:pPr>
      <w:r w:rsidRPr="00237A2C">
        <w:t>Den tydliga uppdelningen i regerings- re</w:t>
      </w:r>
      <w:r w:rsidRPr="00237A2C">
        <w:t>spektive oppositionslinjer i d</w:t>
      </w:r>
      <w:r w:rsidRPr="00237A2C">
        <w:t>e</w:t>
      </w:r>
      <w:r w:rsidRPr="00237A2C">
        <w:t>batten har emellertid förändrats under senare delen av 1990-talet. Vad gäller debatten med anledning av 1998 års förvaltningspolitiska proposition kan noteras att det rådde stor enighet om de förvaltningspolitiska frågorna. Det kan i sin tur förklaras av avsaknaden av problematisering och precision i den parlamentariska debatten om relationen mellan politik och förvaltning. Den offentliga maktutövningens former diskuteras, heter det, utan önskvärd ty</w:t>
      </w:r>
      <w:r w:rsidRPr="00237A2C">
        <w:t>d</w:t>
      </w:r>
      <w:r w:rsidRPr="00237A2C">
        <w:t>lighet och precision och s</w:t>
      </w:r>
      <w:r w:rsidRPr="00237A2C">
        <w:t>narare ur ett pragmatiskt än ett principiellt perspe</w:t>
      </w:r>
      <w:r w:rsidRPr="00237A2C">
        <w:t>k</w:t>
      </w:r>
      <w:r w:rsidRPr="00237A2C">
        <w:t>tiv.</w:t>
      </w:r>
    </w:p>
    <w:p w:rsidR="00AE50BA" w:rsidRPr="00237A2C" w:rsidRDefault="00AE50BA">
      <w:pPr>
        <w:pStyle w:val="Rubrik3"/>
      </w:pPr>
      <w:bookmarkStart w:id="156" w:name="_Toc509125586"/>
      <w:bookmarkStart w:id="157" w:name="_Toc509738018"/>
      <w:bookmarkStart w:id="158" w:name="_Toc516991638"/>
      <w:r w:rsidRPr="00237A2C">
        <w:t xml:space="preserve">6.3 Hur fungerar den svenska modellen – enligt forskningen </w:t>
      </w:r>
      <w:r w:rsidRPr="00237A2C">
        <w:sym w:font="Symbol" w:char="F02D"/>
      </w:r>
      <w:r w:rsidRPr="00237A2C">
        <w:t xml:space="preserve"> i praktiken?</w:t>
      </w:r>
      <w:bookmarkEnd w:id="156"/>
      <w:bookmarkEnd w:id="157"/>
      <w:bookmarkEnd w:id="158"/>
    </w:p>
    <w:p w:rsidR="00AE50BA" w:rsidRPr="00237A2C" w:rsidRDefault="00AE50BA">
      <w:r w:rsidRPr="00237A2C">
        <w:t>Den empiriska forskningen om den för den svenska förvaltningsmodellen centrala relationen mellan regeringen och myndigheterna behandlar huvu</w:t>
      </w:r>
      <w:r w:rsidRPr="00237A2C">
        <w:t>d</w:t>
      </w:r>
      <w:r w:rsidRPr="00237A2C">
        <w:t xml:space="preserve">sakligen regeringens </w:t>
      </w:r>
      <w:r w:rsidRPr="00237A2C">
        <w:rPr>
          <w:i/>
        </w:rPr>
        <w:t>styrning</w:t>
      </w:r>
      <w:r w:rsidRPr="00237A2C">
        <w:t xml:space="preserve"> av förvaltningen och mera sällan </w:t>
      </w:r>
      <w:r w:rsidRPr="00237A2C">
        <w:rPr>
          <w:i/>
        </w:rPr>
        <w:t>arbetsförde</w:t>
      </w:r>
      <w:r w:rsidRPr="00237A2C">
        <w:rPr>
          <w:i/>
        </w:rPr>
        <w:t>l</w:t>
      </w:r>
      <w:r w:rsidRPr="00237A2C">
        <w:rPr>
          <w:i/>
        </w:rPr>
        <w:t>ningen</w:t>
      </w:r>
      <w:r w:rsidRPr="00237A2C">
        <w:t xml:space="preserve"> dem emellan. Med styrinstrument avses här främst normgivning</w:t>
      </w:r>
      <w:r w:rsidRPr="00237A2C">
        <w:t>s</w:t>
      </w:r>
      <w:r w:rsidRPr="00237A2C">
        <w:t>makten, finansmakten och utnämningsmakten. De problem som i första hand behandlas i litteraturen gäller dels i vad mån regering och departement har möjlighet att styra förvaltningen, dels i vilken omfattning förvaltningen påve</w:t>
      </w:r>
      <w:r w:rsidRPr="00237A2C">
        <w:t>r</w:t>
      </w:r>
      <w:r w:rsidRPr="00237A2C">
        <w:t xml:space="preserve">kar politikens utformning och utfall. </w:t>
      </w:r>
    </w:p>
    <w:p w:rsidR="00AE50BA" w:rsidRPr="00237A2C" w:rsidRDefault="00AE50BA">
      <w:pPr>
        <w:pStyle w:val="Normaltindrag"/>
      </w:pPr>
      <w:r w:rsidRPr="00237A2C">
        <w:t>Man kan konstatera att den empiriska forskning som behandlar regeringens styrning av förvaltningen i h</w:t>
      </w:r>
      <w:r w:rsidRPr="00237A2C">
        <w:t xml:space="preserve">uvudsak </w:t>
      </w:r>
      <w:r w:rsidRPr="00237A2C">
        <w:rPr>
          <w:i/>
        </w:rPr>
        <w:t>inte</w:t>
      </w:r>
      <w:r w:rsidRPr="00237A2C">
        <w:t xml:space="preserve"> diskuterar hur normstyrningen fungerar i praktiken. I stället fokuseras intresset på </w:t>
      </w:r>
      <w:r w:rsidRPr="00237A2C">
        <w:rPr>
          <w:i/>
        </w:rPr>
        <w:t>de informella kontakte</w:t>
      </w:r>
      <w:r w:rsidRPr="00237A2C">
        <w:rPr>
          <w:i/>
        </w:rPr>
        <w:t>r</w:t>
      </w:r>
      <w:r w:rsidRPr="00237A2C">
        <w:rPr>
          <w:i/>
        </w:rPr>
        <w:t>na</w:t>
      </w:r>
      <w:r w:rsidRPr="00237A2C">
        <w:t>, som enligt vissa forskare fungerar som komplement till normstyrning och andra styrinstrument. Mot bakgrund av de studier som gjorts sedan 1970-talet och framåt kan man dra slutsatsen att den svenska doktrinen om själ</w:t>
      </w:r>
      <w:r w:rsidRPr="00237A2C">
        <w:t>v</w:t>
      </w:r>
      <w:r w:rsidRPr="00237A2C">
        <w:t>ständiga ämbetsverk i praktiken inte alls innebär att det råder vattentäta skott mellan departement och centrala myndigheter. Det informella samspelet dem emellan är tvär</w:t>
      </w:r>
      <w:r w:rsidRPr="00237A2C">
        <w:t xml:space="preserve">tom livaktigt och omfattande. Variationen är emellertid stor mellan olika verksamheter. </w:t>
      </w:r>
    </w:p>
    <w:p w:rsidR="00AE50BA" w:rsidRPr="00237A2C" w:rsidRDefault="00AE50BA">
      <w:pPr>
        <w:pStyle w:val="Normaltindrag"/>
      </w:pPr>
      <w:r w:rsidRPr="00237A2C">
        <w:t>De informella kontakterna fungerar endast delvis som ett sätt från depa</w:t>
      </w:r>
      <w:r w:rsidRPr="00237A2C">
        <w:t>r</w:t>
      </w:r>
      <w:r w:rsidRPr="00237A2C">
        <w:t>tementen att styra verken. Verken använder också i stor utsträckning info</w:t>
      </w:r>
      <w:r w:rsidRPr="00237A2C">
        <w:t>r</w:t>
      </w:r>
      <w:r w:rsidRPr="00237A2C">
        <w:t>mella kanaler för att söka vägledning i sitt arbete. De informella kontakterna används vidare för att förankra de egna ståndpunkterna på politisk nivå. Ett resultat av de empiriska studierna är att den minskade detaljstyrningen och det ökade inslaget av mål- och resultatstyrning även tycks ha ökat behovet av informella kontakter.</w:t>
      </w:r>
    </w:p>
    <w:p w:rsidR="00AE50BA" w:rsidRPr="00237A2C" w:rsidRDefault="00AE50BA">
      <w:pPr>
        <w:pStyle w:val="Normaltindrag"/>
      </w:pPr>
      <w:r w:rsidRPr="00237A2C">
        <w:t xml:space="preserve">Av de empiriska undersökningar som gjorts kan man även dra slutsatsen att </w:t>
      </w:r>
      <w:r w:rsidRPr="00237A2C">
        <w:rPr>
          <w:i/>
        </w:rPr>
        <w:t>budgetens och budgetprocessens</w:t>
      </w:r>
      <w:r w:rsidRPr="00237A2C">
        <w:t xml:space="preserve"> funktion som styrintrument till viss del är beroende av det allmänna ekonomiska läget. Medan budgetens roll som styrmedel tycks ha varit av mindre betydelse under 1970-talets expansiva ekonomi, hör nu finansmakten enligt många myndighetschefer till de vikt</w:t>
      </w:r>
      <w:r w:rsidRPr="00237A2C">
        <w:t>i</w:t>
      </w:r>
      <w:r w:rsidRPr="00237A2C">
        <w:t>gaste styrinstrumenten. Införandet av mål- och resultatstyrning verkar dock i viss mån ha försvagat effekterna av budgetstyrningen, inte minst därför att denna styrform tenderar att förstärka myndigheternas självständighet g</w:t>
      </w:r>
      <w:r w:rsidRPr="00237A2C">
        <w:t>ent</w:t>
      </w:r>
      <w:r w:rsidRPr="00237A2C">
        <w:t>e</w:t>
      </w:r>
      <w:r w:rsidRPr="00237A2C">
        <w:t>mot Regeringskansliet. Detta beror på att mål- och resultatstyrningen givit många myndigheter större utrymme att avgöra hur de politiska besluten ska implementeras, men också på att myndigheterna själva i betydande utsträc</w:t>
      </w:r>
      <w:r w:rsidRPr="00237A2C">
        <w:t>k</w:t>
      </w:r>
      <w:r w:rsidRPr="00237A2C">
        <w:t>ning fått formulera målen för sin verksamhet.</w:t>
      </w:r>
    </w:p>
    <w:p w:rsidR="00AE50BA" w:rsidRPr="00237A2C" w:rsidRDefault="00AE50BA">
      <w:pPr>
        <w:pStyle w:val="Normaltindrag"/>
      </w:pPr>
      <w:r w:rsidRPr="00237A2C">
        <w:t xml:space="preserve">Frågan om </w:t>
      </w:r>
      <w:r w:rsidRPr="00237A2C">
        <w:rPr>
          <w:i/>
        </w:rPr>
        <w:t>myndigheternas inflytande</w:t>
      </w:r>
      <w:r w:rsidRPr="00237A2C">
        <w:t xml:space="preserve"> över politikens utformning och u</w:t>
      </w:r>
      <w:r w:rsidRPr="00237A2C">
        <w:t>t</w:t>
      </w:r>
      <w:r w:rsidRPr="00237A2C">
        <w:t>fall har studerats  i endast ett fåtal fallstudier. En av de mest centrala av dessa är förvaltningsforskaren Bengt Jacobssons avhandling från 1984 där sex olika politikområden under 1970-talet har analyserats. Olika aspekter på relationerna mellan departement och verk har studerats när det gäller ors</w:t>
      </w:r>
      <w:r w:rsidRPr="00237A2C">
        <w:t>a</w:t>
      </w:r>
      <w:r w:rsidRPr="00237A2C">
        <w:t>kerna till att olika verk lyckats få olika stort inflytande på politiken. Exper</w:t>
      </w:r>
      <w:r w:rsidRPr="00237A2C">
        <w:t>t</w:t>
      </w:r>
      <w:r w:rsidRPr="00237A2C">
        <w:t xml:space="preserve">kunskaper visar sig i studien vara viktiga för att förklara skillnader </w:t>
      </w:r>
      <w:r w:rsidRPr="00237A2C">
        <w:t>mellan myndigheternas inflytande, liksom verkens agerande på internationell nivå och verksle</w:t>
      </w:r>
      <w:r w:rsidRPr="00237A2C">
        <w:t>d</w:t>
      </w:r>
      <w:r w:rsidRPr="00237A2C">
        <w:t xml:space="preserve">ningarnas anseende i departementen. </w:t>
      </w:r>
    </w:p>
    <w:p w:rsidR="00AE50BA" w:rsidRPr="00237A2C" w:rsidRDefault="00AE50BA">
      <w:pPr>
        <w:pStyle w:val="Normaltindrag"/>
      </w:pPr>
      <w:r w:rsidRPr="00237A2C">
        <w:t>Jacobsson konstaterade sammanfattningsvis att myndigheter inom politiskt perifera verksamhetsområden hade stort inflytande på policyutformningen, medan de mer centrala verkens möjligheter att påverka varierade i större omfattning. Departementens styrning av verken karakteriserades av att d</w:t>
      </w:r>
      <w:r w:rsidRPr="00237A2C">
        <w:t>e</w:t>
      </w:r>
      <w:r w:rsidRPr="00237A2C">
        <w:t>partementen i hög grad blandade flera olika styrmedel för att öka sitt infl</w:t>
      </w:r>
      <w:r w:rsidRPr="00237A2C">
        <w:t>y</w:t>
      </w:r>
      <w:r w:rsidRPr="00237A2C">
        <w:t>tande. En viktig slutsats man kan dra av Jacobssons undersökning är att relationen mellan departement och verk kan variera väldigt mycket beroende på vilket enskilt fall man studerar.</w:t>
      </w:r>
    </w:p>
    <w:p w:rsidR="00AE50BA" w:rsidRPr="00237A2C" w:rsidRDefault="00AE50BA">
      <w:pPr>
        <w:pStyle w:val="Normaltindrag"/>
      </w:pPr>
      <w:r w:rsidRPr="00237A2C">
        <w:t xml:space="preserve">Det svenska </w:t>
      </w:r>
      <w:r w:rsidRPr="00237A2C">
        <w:rPr>
          <w:i/>
        </w:rPr>
        <w:t>medlemskapet i EU</w:t>
      </w:r>
      <w:r w:rsidRPr="00237A2C">
        <w:t xml:space="preserve"> har visat sig skapa vissa praktiska pr</w:t>
      </w:r>
      <w:r w:rsidRPr="00237A2C">
        <w:t>o</w:t>
      </w:r>
      <w:r w:rsidRPr="00237A2C">
        <w:t>blem för idén om den svenska förvaltningsdualismen. I en undersökning utförd av Statskontoret har samtidigt konstaterats att den svenska förval</w:t>
      </w:r>
      <w:r w:rsidRPr="00237A2C">
        <w:t>t</w:t>
      </w:r>
      <w:r w:rsidRPr="00237A2C">
        <w:t>ningmodellen är ändamålsenlig och att inga konstitutionella förändringar krävs för att anpassa förvaltningen till EU-samarbetet. Bengt Jacobsson hävdar i en studie från 1997 att EU-samarbetet har minskat den svenska förvaltningsdualismens möjlighet för politikerna att hålla känsliga frågor ifrån sig och att de</w:t>
      </w:r>
      <w:r w:rsidRPr="00237A2C">
        <w:t xml:space="preserve"> även i ökad omfattning tvingas att ta ansvar för sådant som de har små möjligheter att påverka.</w:t>
      </w:r>
    </w:p>
    <w:p w:rsidR="00AE50BA" w:rsidRPr="00237A2C" w:rsidRDefault="00AE50BA">
      <w:pPr>
        <w:pStyle w:val="Normaltindrag"/>
      </w:pPr>
      <w:r w:rsidRPr="00237A2C">
        <w:t xml:space="preserve">Genomgången av den empiriska forskningen visar sammanfattningsvis att verkligheten </w:t>
      </w:r>
      <w:r w:rsidRPr="00237A2C">
        <w:rPr>
          <w:i/>
        </w:rPr>
        <w:t>inte</w:t>
      </w:r>
      <w:r w:rsidRPr="00237A2C">
        <w:t xml:space="preserve"> uppvisar den tydliga åtskillnad mellan den politiska nivån och förvaltningen som förknippas med idén om den svenska förvaltningsm</w:t>
      </w:r>
      <w:r w:rsidRPr="00237A2C">
        <w:t>o</w:t>
      </w:r>
      <w:r w:rsidRPr="00237A2C">
        <w:t>dellen. De politiska organens möjlighet att styra förvaltningen visar sig i flera avseenden vara beskuren. Kedjan från politiskt beslut till verkställelse är långt ifrån så rak och okomplicerad som modellen föru</w:t>
      </w:r>
      <w:r w:rsidRPr="00237A2C">
        <w:t>t</w:t>
      </w:r>
      <w:r w:rsidRPr="00237A2C">
        <w:t>sätter.</w:t>
      </w:r>
    </w:p>
    <w:p w:rsidR="00AE50BA" w:rsidRPr="00237A2C" w:rsidRDefault="00AE50BA">
      <w:pPr>
        <w:pStyle w:val="Rubrik3"/>
      </w:pPr>
      <w:bookmarkStart w:id="159" w:name="_Toc509125587"/>
      <w:bookmarkStart w:id="160" w:name="_Toc509738019"/>
      <w:bookmarkStart w:id="161" w:name="_Toc516991639"/>
      <w:r w:rsidRPr="00237A2C">
        <w:t>6.4 Den svenska förvaltningsmodellen i ett internationellt perspektiv</w:t>
      </w:r>
      <w:bookmarkEnd w:id="159"/>
      <w:bookmarkEnd w:id="160"/>
      <w:bookmarkEnd w:id="161"/>
    </w:p>
    <w:p w:rsidR="00AE50BA" w:rsidRPr="00237A2C" w:rsidRDefault="00AE50BA">
      <w:r w:rsidRPr="00237A2C">
        <w:t>Likheterna beträffande välfärdspolitiken och det faktiska styrelseskicket är stora mellan Sverige, Danmark och Norge. Men när det gäller förvaltningens styrning har Danmark och Norge – liksom de flesta andra länder – en mini</w:t>
      </w:r>
      <w:r w:rsidRPr="00237A2C">
        <w:t>s</w:t>
      </w:r>
      <w:r w:rsidRPr="00237A2C">
        <w:t>terstyrd förvaltning.</w:t>
      </w:r>
    </w:p>
    <w:p w:rsidR="00AE50BA" w:rsidRPr="00237A2C" w:rsidRDefault="00AE50BA">
      <w:pPr>
        <w:pStyle w:val="R4"/>
      </w:pPr>
      <w:r w:rsidRPr="00237A2C">
        <w:t>Ministerstyre i teorin</w:t>
      </w:r>
    </w:p>
    <w:p w:rsidR="00AE50BA" w:rsidRPr="00237A2C" w:rsidRDefault="00AE50BA">
      <w:r w:rsidRPr="00237A2C">
        <w:t>Den generella regeln i Danmark är att ministern kan träffa avgörandet i alla ärenden inom sitt ansvarsområde. Ministerns styrningsmöjligheter är dock inte obegränsade. Också ministern är givetvis bunden av lag och kan ställas till rättsligt ansvar för felaktig ämbetsutövning (vilket också skedde i det s.k. Tamilärendet). Och ämbetsmännens lydnadsplikt är inte total. Tjänstemän kan vägra lyda om den handling ministern ger direktiv om är uppenbart olaglig. Även när lagstiftningen ger utrymme för en betydande</w:t>
      </w:r>
      <w:r w:rsidRPr="00237A2C">
        <w:t xml:space="preserve"> skönsmässi</w:t>
      </w:r>
      <w:r w:rsidRPr="00237A2C">
        <w:t>g</w:t>
      </w:r>
      <w:r w:rsidRPr="00237A2C">
        <w:t>het gäller vissa allmänna rättsprinciper, som t.ex. att likadana fall ska b</w:t>
      </w:r>
      <w:r w:rsidRPr="00237A2C">
        <w:t>e</w:t>
      </w:r>
      <w:r w:rsidRPr="00237A2C">
        <w:t xml:space="preserve">handlas lika. </w:t>
      </w:r>
    </w:p>
    <w:p w:rsidR="00AE50BA" w:rsidRPr="00237A2C" w:rsidRDefault="00AE50BA">
      <w:pPr>
        <w:pStyle w:val="Normaltindrag"/>
      </w:pPr>
      <w:r w:rsidRPr="00237A2C">
        <w:t>En annan viktig formell begränsning av ministerstyrets räckvidd är de b</w:t>
      </w:r>
      <w:r w:rsidRPr="00237A2C">
        <w:t>e</w:t>
      </w:r>
      <w:r w:rsidRPr="00237A2C">
        <w:t xml:space="preserve">svärsnämnder som upprättats på central nivå med det uttalade syftet att befria ministern från hanteringen av enskilda ärenden. Ytterligare en betydelsefull faktor är att det sedan 1960-talet har inrättats direktorat (ämbetsverk) inom de flesta sektorer för att avgöra enskilda ärenden. Den avgörande skillnaden i förhållande till de svenska myndigheterna är att de inte är självständiga utan att ministerstyre är tillåtet. </w:t>
      </w:r>
    </w:p>
    <w:p w:rsidR="00AE50BA" w:rsidRPr="00237A2C" w:rsidRDefault="00AE50BA">
      <w:pPr>
        <w:pStyle w:val="Normaltindrag"/>
      </w:pPr>
      <w:r w:rsidRPr="00237A2C">
        <w:t>Denna organisationsmodell har haft en stor betydelse för centralförval</w:t>
      </w:r>
      <w:r w:rsidRPr="00237A2C">
        <w:t>t</w:t>
      </w:r>
      <w:r w:rsidRPr="00237A2C">
        <w:t>ningens organisering i såväl Danmark som Norge. Departementen ska främst hantera de politiska frågorna. Tanken är att en rationell arbetsdelning ska åstadkommas och ministern befrias från hantering av löpande ärenden. Till skillnad från i Sverige är dock ministern ansvarig för direktoratens beslut och agerande. Den kanske allra viktigaste begränsningen för ministerstyret är dock den grundlagsfästa kommunala självstä</w:t>
      </w:r>
      <w:r w:rsidRPr="00237A2C">
        <w:t>n</w:t>
      </w:r>
      <w:r w:rsidRPr="00237A2C">
        <w:t>digheten.</w:t>
      </w:r>
    </w:p>
    <w:p w:rsidR="00AE50BA" w:rsidRPr="00237A2C" w:rsidRDefault="00AE50BA">
      <w:pPr>
        <w:pStyle w:val="Normaltindrag"/>
      </w:pPr>
      <w:r w:rsidRPr="00237A2C">
        <w:t>Norge skiljer sig från Danmark i vissa avseenden. Men huvudsakligen är lagstiftni</w:t>
      </w:r>
      <w:r w:rsidRPr="00237A2C">
        <w:t>ng och praxis av historiska skäl mycket lika. Liksom i Danmark har ministern rätt att kontrollera och instruera underliggande förvaltningsorgan och ompröva beslut också i enskilda ärenden. Också i Norge har kommune</w:t>
      </w:r>
      <w:r w:rsidRPr="00237A2C">
        <w:t>r</w:t>
      </w:r>
      <w:r w:rsidRPr="00237A2C">
        <w:t>na en grundlagsfäst självständighet, varför principen om ministerstyre inte gäller dem. Vidare finns också här exempel på besvärsnämnder. Till skillnad från i Danmark träffar direktoraten i Norge beslut i eget namn. En annan skillnad mellan Danmark och Norge är att regeringen i Norge är det högst</w:t>
      </w:r>
      <w:r w:rsidRPr="00237A2C">
        <w:t>a förvaltningsorganet och som sådant fattar beslut som kollektiv. På detta sätt beslutas om förvaltningsärenden såsom utnämningar och benådningar.</w:t>
      </w:r>
    </w:p>
    <w:p w:rsidR="00AE50BA" w:rsidRPr="00237A2C" w:rsidRDefault="00AE50BA">
      <w:pPr>
        <w:pStyle w:val="R4"/>
      </w:pPr>
      <w:r w:rsidRPr="00237A2C">
        <w:t>Ministerstyre i praktiken</w:t>
      </w:r>
    </w:p>
    <w:p w:rsidR="00AE50BA" w:rsidRPr="00237A2C" w:rsidRDefault="00AE50BA">
      <w:r w:rsidRPr="00237A2C">
        <w:t xml:space="preserve">På </w:t>
      </w:r>
      <w:r w:rsidRPr="00237A2C">
        <w:rPr>
          <w:i/>
        </w:rPr>
        <w:t>normstyrningens</w:t>
      </w:r>
      <w:r w:rsidRPr="00237A2C">
        <w:t xml:space="preserve"> område konstateras i rapporten att det redan i grundlä</w:t>
      </w:r>
      <w:r w:rsidRPr="00237A2C">
        <w:t>g</w:t>
      </w:r>
      <w:r w:rsidRPr="00237A2C">
        <w:t>gande läroböcker om förvaltning i Danmark och Norge slås fast att mini</w:t>
      </w:r>
      <w:r w:rsidRPr="00237A2C">
        <w:t>s</w:t>
      </w:r>
      <w:r w:rsidRPr="00237A2C">
        <w:t>terns möjligheter att ha sin hand med i hela den myndighetsutövning som sker i hans namn i praktiken är begränsade. Ministrarna avgör kvantitativt sett en försvinnande liten del av de ärenden som i princip ankommer på dem.</w:t>
      </w:r>
    </w:p>
    <w:p w:rsidR="00AE50BA" w:rsidRPr="00237A2C" w:rsidRDefault="00AE50BA">
      <w:pPr>
        <w:pStyle w:val="Normaltindrag"/>
      </w:pPr>
      <w:r w:rsidRPr="00237A2C">
        <w:t>Detta resultat verifieras i en studie av Lindbom från år 1997 där tre olika förvaltningsområden i de två länderna studerats: Justitieministeriet, A</w:t>
      </w:r>
      <w:r w:rsidRPr="00237A2C">
        <w:t>rbet</w:t>
      </w:r>
      <w:r w:rsidRPr="00237A2C">
        <w:t>s</w:t>
      </w:r>
      <w:r w:rsidRPr="00237A2C">
        <w:t xml:space="preserve">marknadsministeriet och Utbildningsministeriet. Det finns tydliga skillnader mellan de olika sektorerna, främst att belastningen av förvaltningsärenden är så mycket större i Justitieministeriet än i de andra departementen. Samtidigt ser man stora likheter inom en sektor </w:t>
      </w:r>
      <w:r w:rsidRPr="00237A2C">
        <w:rPr>
          <w:i/>
        </w:rPr>
        <w:t>mellan</w:t>
      </w:r>
      <w:r w:rsidRPr="00237A2C">
        <w:t xml:space="preserve"> länderna, t.ex. när det gäller behandlingen av benådnings- och asylärenden. Skillnaden mellan länderna förefaller vara mindre än skillnaderna mellan respektive sektor inom ett land.</w:t>
      </w:r>
    </w:p>
    <w:p w:rsidR="00AE50BA" w:rsidRPr="00237A2C" w:rsidRDefault="00AE50BA">
      <w:pPr>
        <w:pStyle w:val="Normaltindrag"/>
      </w:pPr>
      <w:r w:rsidRPr="00237A2C">
        <w:t>Enligt en nordisk undersökning om myndigheterna</w:t>
      </w:r>
      <w:r w:rsidRPr="00237A2C">
        <w:t>s kontakter med reg</w:t>
      </w:r>
      <w:r w:rsidRPr="00237A2C">
        <w:t>e</w:t>
      </w:r>
      <w:r w:rsidRPr="00237A2C">
        <w:t>ringen i samband med EU-relaterade frågor finns däremot nationella mön</w:t>
      </w:r>
      <w:r w:rsidRPr="00237A2C">
        <w:t>s</w:t>
      </w:r>
      <w:r w:rsidRPr="00237A2C">
        <w:t>ter, men dock inte de förväntade. I Sverige, där förvaltningsmodellen  starkt betonar tudelningen mellan politik och förvaltning, finns de mest omfattande kontakterna. I Danmark däremot råder en betydligt högre grad av formalis</w:t>
      </w:r>
      <w:r w:rsidRPr="00237A2C">
        <w:t>e</w:t>
      </w:r>
      <w:r w:rsidRPr="00237A2C">
        <w:t xml:space="preserve">ring av kontakterna. </w:t>
      </w:r>
    </w:p>
    <w:p w:rsidR="00AE50BA" w:rsidRPr="00237A2C" w:rsidRDefault="00AE50BA">
      <w:pPr>
        <w:pStyle w:val="Normaltindrag"/>
      </w:pPr>
      <w:r w:rsidRPr="00237A2C">
        <w:t xml:space="preserve">Inte endast när det gäller normgivning och normtillämpning utan även på </w:t>
      </w:r>
      <w:r w:rsidRPr="00237A2C">
        <w:rPr>
          <w:i/>
        </w:rPr>
        <w:t>budgetområdet</w:t>
      </w:r>
      <w:r w:rsidRPr="00237A2C">
        <w:t xml:space="preserve"> finns begränsningar i en ministers möjligheter till styrning. För en relativt stor grupp av ärenden har i Danmark särskilda råd och näm</w:t>
      </w:r>
      <w:r w:rsidRPr="00237A2C">
        <w:t>n</w:t>
      </w:r>
      <w:r w:rsidRPr="00237A2C">
        <w:t>der tillskapats, s.k. ansökningsnämnder, som självständigt beslutar om utb</w:t>
      </w:r>
      <w:r w:rsidRPr="00237A2C">
        <w:t>e</w:t>
      </w:r>
      <w:r w:rsidRPr="00237A2C">
        <w:t>talningar av bidrag. Ansökningsnämnderna kan inte instrueras av ministern om vilka beslut de ska fatta, om det inte finns särskilt angivet i lag. Exempel på områden som hanteras av ansökningsnämnder är företagsstöd och expor</w:t>
      </w:r>
      <w:r w:rsidRPr="00237A2C">
        <w:t>t</w:t>
      </w:r>
      <w:r w:rsidRPr="00237A2C">
        <w:t xml:space="preserve">stöd. </w:t>
      </w:r>
    </w:p>
    <w:p w:rsidR="00AE50BA" w:rsidRPr="00237A2C" w:rsidRDefault="00AE50BA">
      <w:pPr>
        <w:pStyle w:val="Normaltindrag"/>
      </w:pPr>
      <w:r w:rsidRPr="00237A2C">
        <w:t>I en dansk undersökning från 1991 konstateras att det v</w:t>
      </w:r>
      <w:r w:rsidRPr="00237A2C">
        <w:t>id en jämförelse mellan dansk och svensk industripolitik under 1970- och 1980-talen fanns betydande skillnader. Den svenska politiken kännetecknades av att den var mer omfattande, i högre grad selektiv, att direkta kontakter mellan staten och enskilda företag var vanliga och att besluten i betydligt högre grad grundades på skönsmässiga grunder. Enligt rapportförfattarna visar detta att det svenska förbudet mot ministerstyre således inte på något sätt hindrade en betydligt mer ingående politisk inblandning i</w:t>
      </w:r>
      <w:r w:rsidRPr="00237A2C">
        <w:t xml:space="preserve"> det industrip</w:t>
      </w:r>
      <w:r w:rsidRPr="00237A2C">
        <w:t>o</w:t>
      </w:r>
      <w:r w:rsidRPr="00237A2C">
        <w:t>litiska stödet än i Danmark.</w:t>
      </w:r>
    </w:p>
    <w:p w:rsidR="00AE50BA" w:rsidRPr="00237A2C" w:rsidRDefault="00AE50BA">
      <w:pPr>
        <w:pStyle w:val="Normaltindrag"/>
      </w:pPr>
      <w:r w:rsidRPr="00237A2C">
        <w:t>Enligt rapporten har en dansk minister betydligt större möjligheter att p</w:t>
      </w:r>
      <w:r w:rsidRPr="00237A2C">
        <w:t>å</w:t>
      </w:r>
      <w:r w:rsidRPr="00237A2C">
        <w:t>verka fördelningen av s.k. puljemedel (statliga penningpotter). Med dessa medel stöds i huvudsak olika försöks- eller utvecklingsverksamheter. Till skillnad från ansökningsnämnderna är ministern ansvarig för fördelningen av penningpotterna. Jämfört med de anslag som den svenska regeringen disp</w:t>
      </w:r>
      <w:r w:rsidRPr="00237A2C">
        <w:t>o</w:t>
      </w:r>
      <w:r w:rsidRPr="00237A2C">
        <w:t>nerar och fördelar är det ganska begränsade summor som fördelas. Och pr</w:t>
      </w:r>
      <w:r w:rsidRPr="00237A2C">
        <w:t>o</w:t>
      </w:r>
      <w:r w:rsidRPr="00237A2C">
        <w:t>grammens antal är stort. Antalet mottagare är dessutom för vissa program stort samtidigt som de enskilda mottagarna får begränsade belopp, något</w:t>
      </w:r>
      <w:r w:rsidRPr="00237A2C">
        <w:t xml:space="preserve"> som i sin tur minskar risken för att penningfördelningen ifr</w:t>
      </w:r>
      <w:r w:rsidRPr="00237A2C">
        <w:t>å</w:t>
      </w:r>
      <w:r w:rsidRPr="00237A2C">
        <w:t>gasätts.</w:t>
      </w:r>
    </w:p>
    <w:p w:rsidR="00AE50BA" w:rsidRPr="00237A2C" w:rsidRDefault="00AE50BA">
      <w:pPr>
        <w:pStyle w:val="Normaltindrag"/>
      </w:pPr>
      <w:r w:rsidRPr="00237A2C">
        <w:t>Sammanfattningsvis sägs i rapporten att det är intressant att notera att i den formellt ministerstyrda danska förvaltningen finns exempel på hur man me</w:t>
      </w:r>
      <w:r w:rsidRPr="00237A2C">
        <w:t>d</w:t>
      </w:r>
      <w:r w:rsidRPr="00237A2C">
        <w:t>vetet har skapat former för fördelning av pengar som skärmar av ministerns instruktionsmöjligheter och ansvar, dvs. genom de s.k. ansökningsnämnde</w:t>
      </w:r>
      <w:r w:rsidRPr="00237A2C">
        <w:t>r</w:t>
      </w:r>
      <w:r w:rsidRPr="00237A2C">
        <w:t>na. I administrationen av dessa medel har man också involverat intresseorg</w:t>
      </w:r>
      <w:r w:rsidRPr="00237A2C">
        <w:t>a</w:t>
      </w:r>
      <w:r w:rsidRPr="00237A2C">
        <w:t>nisationer och andra som kan tillföra sakkunskap till beredningen. Därig</w:t>
      </w:r>
      <w:r w:rsidRPr="00237A2C">
        <w:t>e</w:t>
      </w:r>
      <w:r w:rsidRPr="00237A2C">
        <w:t>nom har man funnit en beslutsform som förefaller skapa en ganska hög leg</w:t>
      </w:r>
      <w:r w:rsidRPr="00237A2C">
        <w:t>i</w:t>
      </w:r>
      <w:r w:rsidRPr="00237A2C">
        <w:t xml:space="preserve">timitet för de fattade besluten. </w:t>
      </w:r>
    </w:p>
    <w:p w:rsidR="00AE50BA" w:rsidRPr="00237A2C" w:rsidRDefault="00AE50BA">
      <w:pPr>
        <w:pStyle w:val="Rubrik3"/>
      </w:pPr>
      <w:bookmarkStart w:id="162" w:name="_Toc509125588"/>
      <w:bookmarkStart w:id="163" w:name="_Toc509738020"/>
      <w:bookmarkStart w:id="164" w:name="_Toc516991640"/>
      <w:r w:rsidRPr="00237A2C">
        <w:t>6.5 Den svenska förvaltningsmodellen – en sammanfattande diskussion</w:t>
      </w:r>
      <w:bookmarkEnd w:id="162"/>
      <w:bookmarkEnd w:id="163"/>
      <w:bookmarkEnd w:id="164"/>
    </w:p>
    <w:p w:rsidR="00AE50BA" w:rsidRPr="00237A2C" w:rsidRDefault="00AE50BA">
      <w:r w:rsidRPr="00237A2C">
        <w:t>I forskarnas rapport konstateras att det sammanfattningsvis finns en allmän föreställning om existensen av en svensk förvaltningsmodell. Det råder också en stark övertygelse över tiden om att modellen ligger fast. Men det är å andra sidan lika klart att begreppets innehåll är ganska diffust. Det är inte osannolikt att normens oklarhet har bidragit till att den är så stark i politiken. Oklarheten ger möjlighet för olika betraktare att lägga in ganska varierande betydelse i normen, varför många kan stå bakom</w:t>
      </w:r>
      <w:r w:rsidRPr="00237A2C">
        <w:t xml:space="preserve"> den. Oklarheten ger också, heter det, betydande frihetsgrader för förvaltningen att anpassa sig till fö</w:t>
      </w:r>
      <w:r w:rsidRPr="00237A2C">
        <w:t>r</w:t>
      </w:r>
      <w:r w:rsidRPr="00237A2C">
        <w:t>ändrade omständigheter i samhället liksom till varierande förvaltningspol</w:t>
      </w:r>
      <w:r w:rsidRPr="00237A2C">
        <w:t>i</w:t>
      </w:r>
      <w:r w:rsidRPr="00237A2C">
        <w:t>tiska modetrender.</w:t>
      </w:r>
    </w:p>
    <w:p w:rsidR="00AE50BA" w:rsidRPr="00237A2C" w:rsidRDefault="00AE50BA">
      <w:pPr>
        <w:pStyle w:val="Normaltindrag"/>
      </w:pPr>
      <w:r w:rsidRPr="00237A2C">
        <w:t>Diskussionen om den svenska förvaltningsmodellen har främst fokuserats på styrningsfrågorna genom att den tagit sin utgångspunkt i förbudet mot ministerstyre enligt RF 11:7. Men en annan viktig del av förhållandet mellan regering och förvaltning gäller arbetsfördelningen dem emellan. Regeringen har alltid besluta</w:t>
      </w:r>
      <w:r w:rsidRPr="00237A2C">
        <w:t>t i en betydande mängd förvaltningsärenden. Under de första åren på 1980-talet avgjorde regeringen varje år ca 8 000 besvärsärenden, vilket utgjorde ungefär en tredjedel av det totala antalet regeringsärenden. Betydande ansträngningar har genom åren gjorts för att minska antalet såd</w:t>
      </w:r>
      <w:r w:rsidRPr="00237A2C">
        <w:t>a</w:t>
      </w:r>
      <w:r w:rsidRPr="00237A2C">
        <w:t>na och därmed minska belastningen på regeringen.</w:t>
      </w:r>
    </w:p>
    <w:p w:rsidR="00AE50BA" w:rsidRPr="00237A2C" w:rsidRDefault="00AE50BA">
      <w:pPr>
        <w:pStyle w:val="Normaltindrag"/>
      </w:pPr>
      <w:r w:rsidRPr="00237A2C">
        <w:t>När regeringen väljer att agera som förvaltningsorgan – genom att själv fördela pengar – är detta inget nytt. Det är möjligen litet förvånande mot bakgrund av tidig</w:t>
      </w:r>
      <w:r w:rsidRPr="00237A2C">
        <w:t>a</w:t>
      </w:r>
      <w:r w:rsidRPr="00237A2C">
        <w:t xml:space="preserve">re ansträngningar att avlasta regeringen från förvaltnings-ärenden. Forskarna noterar att det under lång tid förekommit att regeringar fördelat pengar, att detta skett av regeringar med olika politisk kulör och inom flera olika politikområden. Som exempel på att regeringar tagit på sig operativa uppgifter av detta slag nämns de s.k. investeringsfonderna, statligt stöd till glesbygden, stöd till investeringar i energianläggningar och stöd ur Allmänna arvsfonden. </w:t>
      </w:r>
    </w:p>
    <w:p w:rsidR="00AE50BA" w:rsidRPr="00237A2C" w:rsidRDefault="00AE50BA">
      <w:pPr>
        <w:pStyle w:val="Normaltindrag"/>
      </w:pPr>
      <w:r w:rsidRPr="00237A2C">
        <w:t xml:space="preserve">Ytterligare ett område gäller de borgerliga </w:t>
      </w:r>
      <w:r w:rsidRPr="00237A2C">
        <w:t>regeringarnas industripolitik under perioden 1976</w:t>
      </w:r>
      <w:r w:rsidRPr="00237A2C">
        <w:sym w:font="Symbol" w:char="F02D"/>
      </w:r>
      <w:r w:rsidRPr="00237A2C">
        <w:t>1982. Då fördelades mycket stora belopp direkt till företag, och utrymmet för skönsmässiga bedömningar var mycket stort när det gäller mottagare och av belopp. De formella besluten fattades emellertid av riksd</w:t>
      </w:r>
      <w:r w:rsidRPr="00237A2C">
        <w:t>a</w:t>
      </w:r>
      <w:r w:rsidRPr="00237A2C">
        <w:t>gen.</w:t>
      </w:r>
    </w:p>
    <w:p w:rsidR="00AE50BA" w:rsidRPr="00237A2C" w:rsidRDefault="00AE50BA">
      <w:pPr>
        <w:pStyle w:val="Normaltindrag"/>
      </w:pPr>
      <w:r w:rsidRPr="00237A2C">
        <w:t>Det är således inte något okänt för svensk förvaltningstradition att reg</w:t>
      </w:r>
      <w:r w:rsidRPr="00237A2C">
        <w:t>e</w:t>
      </w:r>
      <w:r w:rsidRPr="00237A2C">
        <w:t>ringen agerar som bidragsfördelare. Detta kan dock innebära risk för att man drar på sig kritik. Denna risk ökar om bidragen fördelas till en annan politisk organisation som när det gäller kommunerna och om bidragsbeloppen är stora, framhålls det i rapporten. Om det av olika skäl behövs statliga bidrag</w:t>
      </w:r>
      <w:r w:rsidRPr="00237A2C">
        <w:t>s</w:t>
      </w:r>
      <w:r w:rsidRPr="00237A2C">
        <w:t>system där besluten fattas på skönsmässiga grunder, finns det dock andra sätt att organisera arbetet på än att regeringen fattar besluten. Som exempel på detta anges de danska ansökningsnämnderna, där vetens</w:t>
      </w:r>
      <w:r w:rsidRPr="00237A2C">
        <w:t>kaplig expertis och/eller  företrädare för intressenter involveras. Ytterligare ett alternativ är att låta parlamentariskt sammansatta delegationer fatta besluten. Båda dessa möjligheter minskar enligt forskarna risken för att beslutsfattarna anklagas för att gynna egna partipolitiska intre</w:t>
      </w:r>
      <w:r w:rsidRPr="00237A2C">
        <w:t>s</w:t>
      </w:r>
      <w:r w:rsidRPr="00237A2C">
        <w:t>sen.</w:t>
      </w:r>
    </w:p>
    <w:p w:rsidR="00AE50BA" w:rsidRPr="00237A2C" w:rsidRDefault="00AE50BA">
      <w:pPr>
        <w:pStyle w:val="Rubrik1"/>
      </w:pPr>
      <w:bookmarkStart w:id="165" w:name="_Toc509125589"/>
      <w:bookmarkStart w:id="166" w:name="_Toc509738021"/>
      <w:bookmarkStart w:id="167" w:name="_Toc516991641"/>
      <w:r w:rsidRPr="00237A2C">
        <w:t>7 Överväganden och förslag</w:t>
      </w:r>
      <w:bookmarkEnd w:id="165"/>
      <w:bookmarkEnd w:id="166"/>
      <w:bookmarkEnd w:id="167"/>
    </w:p>
    <w:p w:rsidR="00AE50BA" w:rsidRPr="00237A2C" w:rsidRDefault="00AE50BA">
      <w:pPr>
        <w:pStyle w:val="Rubrik3"/>
      </w:pPr>
      <w:bookmarkStart w:id="168" w:name="_Toc509125590"/>
      <w:bookmarkStart w:id="169" w:name="_Toc509738022"/>
      <w:bookmarkStart w:id="170" w:name="_Toc516991642"/>
      <w:r w:rsidRPr="00237A2C">
        <w:t>7.1 Inledning och utgångspunkter</w:t>
      </w:r>
      <w:bookmarkEnd w:id="168"/>
      <w:bookmarkEnd w:id="169"/>
      <w:bookmarkEnd w:id="170"/>
    </w:p>
    <w:p w:rsidR="00AE50BA" w:rsidRPr="00237A2C" w:rsidRDefault="00AE50BA">
      <w:r w:rsidRPr="00237A2C">
        <w:t xml:space="preserve">En viktig utgångspunkt för revisorernas överväganden och förslag i detta ärende är de grundläggande bestämmelserna i regeringsformen om </w:t>
      </w:r>
      <w:r w:rsidRPr="00237A2C">
        <w:rPr>
          <w:i/>
        </w:rPr>
        <w:t>riksd</w:t>
      </w:r>
      <w:r w:rsidRPr="00237A2C">
        <w:rPr>
          <w:i/>
        </w:rPr>
        <w:t>a</w:t>
      </w:r>
      <w:r w:rsidRPr="00237A2C">
        <w:rPr>
          <w:i/>
        </w:rPr>
        <w:t xml:space="preserve">gens roll </w:t>
      </w:r>
      <w:r w:rsidRPr="00237A2C">
        <w:t>på finansmaktens område. I RF 9:2 anges t.ex. att statens medel inte får användas på annat sätt än riksdagen har bestämt. Som framgått av den genomgång som i det tidigare gjorts av arbetsfördelningen på budgetområdet är riksdagen vidare oförhindrad att i samband med att beslut tas om anslag till olika ändamål ställa mycket detaljerade villkor för medlens användning, villkor som regeringen och de statliga myndigheterna är bundna av. Reglerna ger å andra sidan utrymme för riksdagen att ge rege</w:t>
      </w:r>
      <w:r w:rsidRPr="00237A2C">
        <w:t xml:space="preserve">ringen och de statliga myndigheterna stor handlingsfrihet när det gäller att fördela statens medel. </w:t>
      </w:r>
    </w:p>
    <w:p w:rsidR="00AE50BA" w:rsidRPr="00237A2C" w:rsidRDefault="00AE50BA">
      <w:pPr>
        <w:pStyle w:val="Normaltindrag"/>
      </w:pPr>
      <w:r w:rsidRPr="00237A2C">
        <w:t xml:space="preserve">Samtidigt konstaterar revisorerna att grundregeln i regeringsformen (RF 9:8) är att de medel som riksdagen anvisat står </w:t>
      </w:r>
      <w:r w:rsidRPr="00237A2C">
        <w:rPr>
          <w:i/>
        </w:rPr>
        <w:t>till regeringens disposition</w:t>
      </w:r>
      <w:r w:rsidRPr="00237A2C">
        <w:t>. Det är regeringen som under riksdagen ansvarar för ledningen av den statliga verksamheten. En nära samverkan mellan riksdagen och regeringen när det gäller utövandet av finansmakten är därför av stor vikt. Det är också främst samspelet mellan dessa två organ som står i blickfånget i denna grans</w:t>
      </w:r>
      <w:r w:rsidRPr="00237A2C">
        <w:t>k</w:t>
      </w:r>
      <w:r w:rsidRPr="00237A2C">
        <w:t>ning.</w:t>
      </w:r>
    </w:p>
    <w:p w:rsidR="00AE50BA" w:rsidRPr="00237A2C" w:rsidRDefault="00AE50BA">
      <w:pPr>
        <w:pStyle w:val="Normaltindrag"/>
      </w:pPr>
      <w:r w:rsidRPr="00237A2C">
        <w:t xml:space="preserve">Inom ramen för granskningen har revisorerna studerat hur </w:t>
      </w:r>
      <w:r w:rsidRPr="00237A2C">
        <w:rPr>
          <w:i/>
        </w:rPr>
        <w:t>styrningen och</w:t>
      </w:r>
      <w:r w:rsidRPr="00237A2C">
        <w:t xml:space="preserve"> </w:t>
      </w:r>
      <w:r w:rsidRPr="00237A2C">
        <w:rPr>
          <w:i/>
        </w:rPr>
        <w:t>kontrollen fungerar</w:t>
      </w:r>
      <w:r w:rsidRPr="00237A2C">
        <w:t xml:space="preserve"> i ett antal fall där regeringen behållit dispositionsrätten. I normalfallet tilldelar regeringen dispositionsrätten till anslag eller anslag</w:t>
      </w:r>
      <w:r w:rsidRPr="00237A2C">
        <w:t>s</w:t>
      </w:r>
      <w:r w:rsidRPr="00237A2C">
        <w:t xml:space="preserve">poster till myndigheter </w:t>
      </w:r>
      <w:r w:rsidRPr="00237A2C">
        <w:rPr>
          <w:i/>
        </w:rPr>
        <w:t>under</w:t>
      </w:r>
      <w:r w:rsidRPr="00237A2C">
        <w:t xml:space="preserve"> regeringen. Enligt vad som framgår av den anslagsredovisning som ingår i Regeringskansliets årsredovisning uppgick den sammanlagda summa som regeringen och Regeringskansliet disponerade under budgetåren 1997</w:t>
      </w:r>
      <w:r w:rsidRPr="00237A2C">
        <w:sym w:font="Symbol" w:char="F02D"/>
      </w:r>
      <w:r w:rsidRPr="00237A2C">
        <w:t>2000 till mellan 12 miljarder och 20 miljarder kr</w:t>
      </w:r>
      <w:r w:rsidRPr="00237A2C">
        <w:t>o</w:t>
      </w:r>
      <w:r w:rsidRPr="00237A2C">
        <w:t>nor per år. Det motsvarar i storleksordningen 2</w:t>
      </w:r>
      <w:r w:rsidRPr="00237A2C">
        <w:sym w:font="Symbol" w:char="F02D"/>
      </w:r>
      <w:r w:rsidRPr="00237A2C">
        <w:t>3 % av statsbudgetens o</w:t>
      </w:r>
      <w:r w:rsidRPr="00237A2C">
        <w:t>m</w:t>
      </w:r>
      <w:r w:rsidRPr="00237A2C">
        <w:t>slutning. Antalet anslag som helt eller delvis stod till regeringens och Reg</w:t>
      </w:r>
      <w:r w:rsidRPr="00237A2C">
        <w:t>e</w:t>
      </w:r>
      <w:r w:rsidRPr="00237A2C">
        <w:t>ringskansliets disposition uppgick i medeltal till ungefär 130 stycken eller en fjärdedel av de sammanlagt drygt 500 anslag som är uppförda på statsbu</w:t>
      </w:r>
      <w:r w:rsidRPr="00237A2C">
        <w:t>d</w:t>
      </w:r>
      <w:r w:rsidRPr="00237A2C">
        <w:t xml:space="preserve">geten. </w:t>
      </w:r>
    </w:p>
    <w:p w:rsidR="00AE50BA" w:rsidRPr="00237A2C" w:rsidRDefault="00AE50BA">
      <w:pPr>
        <w:pStyle w:val="Normaltindrag"/>
      </w:pPr>
      <w:r w:rsidRPr="00237A2C">
        <w:t>Tyngdpunkten i granskningen har legat på att studera anslag där regerin</w:t>
      </w:r>
      <w:r w:rsidRPr="00237A2C">
        <w:t>g</w:t>
      </w:r>
      <w:r w:rsidRPr="00237A2C">
        <w:t xml:space="preserve">en tagit på sig </w:t>
      </w:r>
      <w:r w:rsidRPr="00237A2C">
        <w:rPr>
          <w:i/>
        </w:rPr>
        <w:t>operativa uppgifter</w:t>
      </w:r>
      <w:r w:rsidRPr="00237A2C">
        <w:t xml:space="preserve"> genom att själv besluta om fördelningen av bidrag för olika ändamål. Det är uppgifter som enligt svensk förval</w:t>
      </w:r>
      <w:r w:rsidRPr="00237A2C">
        <w:t>t</w:t>
      </w:r>
      <w:r w:rsidRPr="00237A2C">
        <w:t xml:space="preserve">ningstradition normalt handhas av myndigheter under regeringen. Däremot omfattar granskningen inte </w:t>
      </w:r>
      <w:r w:rsidRPr="00237A2C">
        <w:rPr>
          <w:i/>
        </w:rPr>
        <w:t>förvaltningsanslagen</w:t>
      </w:r>
      <w:r w:rsidRPr="00237A2C">
        <w:t xml:space="preserve"> till Regeringskansliet och Utrikesförvaltningen. Dessa senare anslag uppgick år 2000 till sammanlagt ca 4,4 miljarder kronor. Ej heller ingår bidragen till vissa  </w:t>
      </w:r>
      <w:r w:rsidRPr="00237A2C">
        <w:rPr>
          <w:i/>
        </w:rPr>
        <w:t>internationella organisationer</w:t>
      </w:r>
      <w:r w:rsidRPr="00237A2C">
        <w:t xml:space="preserve"> eller sådana anslag eller anslagsposter där regeri</w:t>
      </w:r>
      <w:r w:rsidRPr="00237A2C">
        <w:t xml:space="preserve">ngen som ett led i </w:t>
      </w:r>
      <w:r w:rsidRPr="00237A2C">
        <w:rPr>
          <w:i/>
        </w:rPr>
        <w:t>styrningen av en myndighet</w:t>
      </w:r>
      <w:r w:rsidRPr="00237A2C">
        <w:t xml:space="preserve"> håller inne vissa medel och fördelar dessa senare under budge</w:t>
      </w:r>
      <w:r w:rsidRPr="00237A2C">
        <w:t>t</w:t>
      </w:r>
      <w:r w:rsidRPr="00237A2C">
        <w:t>året.</w:t>
      </w:r>
    </w:p>
    <w:p w:rsidR="00AE50BA" w:rsidRPr="00237A2C" w:rsidRDefault="00AE50BA">
      <w:pPr>
        <w:pStyle w:val="Normaltindrag"/>
      </w:pPr>
      <w:r w:rsidRPr="00237A2C">
        <w:t>Tio olika anslag ingår i studien, däribland de lokala investeringsprogra</w:t>
      </w:r>
      <w:r w:rsidRPr="00237A2C">
        <w:t>m</w:t>
      </w:r>
      <w:r w:rsidRPr="00237A2C">
        <w:t>men, Kunskapslyftet, Storstadssatsningen, IT i skolan och de tre miljardpaket som riksdagen beslutade om sommaren 1996 i anslutning till den s.k. sysse</w:t>
      </w:r>
      <w:r w:rsidRPr="00237A2C">
        <w:t>l</w:t>
      </w:r>
      <w:r w:rsidRPr="00237A2C">
        <w:t>sättningspropositionen. Den studerade perioden gäller primärt budgetåren 1997</w:t>
      </w:r>
      <w:r w:rsidRPr="00237A2C">
        <w:sym w:font="Symbol" w:char="F02D"/>
      </w:r>
      <w:r w:rsidRPr="00237A2C">
        <w:t>2000. De summor som regeringen fördelat från de aktuella anslagen under perioden uppgår till  i storleksordningen 4 miljarder kronor årl</w:t>
      </w:r>
      <w:r w:rsidRPr="00237A2C">
        <w:t>i</w:t>
      </w:r>
      <w:r w:rsidRPr="00237A2C">
        <w:t>gen.</w:t>
      </w:r>
    </w:p>
    <w:p w:rsidR="00AE50BA" w:rsidRPr="00237A2C" w:rsidRDefault="00AE50BA">
      <w:pPr>
        <w:pStyle w:val="Rubrik3"/>
        <w:ind w:left="284" w:hanging="284"/>
      </w:pPr>
      <w:bookmarkStart w:id="171" w:name="_Toc509125591"/>
      <w:bookmarkStart w:id="172" w:name="_Toc509738023"/>
      <w:bookmarkStart w:id="173" w:name="_Toc516991643"/>
      <w:r w:rsidRPr="00237A2C">
        <w:t>7.2 Regeringen som bidragsfördelare och den svenska förvaltningsmodellen</w:t>
      </w:r>
      <w:bookmarkEnd w:id="171"/>
      <w:bookmarkEnd w:id="172"/>
      <w:bookmarkEnd w:id="173"/>
    </w:p>
    <w:p w:rsidR="00AE50BA" w:rsidRPr="00237A2C" w:rsidRDefault="00AE50BA">
      <w:r w:rsidRPr="00237A2C">
        <w:t>Såväl i  den allmänna debatten som i olika studier har frågan om arbetsfö</w:t>
      </w:r>
      <w:r w:rsidRPr="00237A2C">
        <w:t>r</w:t>
      </w:r>
      <w:r w:rsidRPr="00237A2C">
        <w:t>delningen mellan regeringen och departementen å den ena sidan och de cen</w:t>
      </w:r>
      <w:r w:rsidRPr="00237A2C">
        <w:t>t</w:t>
      </w:r>
      <w:r w:rsidRPr="00237A2C">
        <w:t>rala statliga myndigheterna å den andra tagits upp. Från flera håll har ifråg</w:t>
      </w:r>
      <w:r w:rsidRPr="00237A2C">
        <w:t>a</w:t>
      </w:r>
      <w:r w:rsidRPr="00237A2C">
        <w:t>satts om det faktum att regeringen själv i åtskilliga fall tagit på sig rollen som bidragsfördelare är förenligt med den grundläggande rollfördelningen inom svensk statsförvaltning. Frågan har på uppdrag av revisorerna belysts av statsvetenskaplig expertis.</w:t>
      </w:r>
    </w:p>
    <w:p w:rsidR="00AE50BA" w:rsidRPr="00237A2C" w:rsidRDefault="00AE50BA">
      <w:pPr>
        <w:pStyle w:val="Normaltindrag"/>
      </w:pPr>
      <w:r w:rsidRPr="00237A2C">
        <w:t>Av forskarnas kartläggning och analys framgår att det i den politiska d</w:t>
      </w:r>
      <w:r w:rsidRPr="00237A2C">
        <w:t>e</w:t>
      </w:r>
      <w:r w:rsidRPr="00237A2C">
        <w:t>batten finns en bred samsyn om förekomsten av en specifik svensk förval</w:t>
      </w:r>
      <w:r w:rsidRPr="00237A2C">
        <w:t>t</w:t>
      </w:r>
      <w:r w:rsidRPr="00237A2C">
        <w:t>ningsmodell. Samtidigt står det klart att begreppets innehåll är relativt di</w:t>
      </w:r>
      <w:r w:rsidRPr="00237A2C">
        <w:t>f</w:t>
      </w:r>
      <w:r w:rsidRPr="00237A2C">
        <w:t>fust. I grunden finns föreställningen om att åtskillnad kan göras mellan ”politiska” och  ”verkställande” arbetsuppgifter. Varken i den politiska d</w:t>
      </w:r>
      <w:r w:rsidRPr="00237A2C">
        <w:t>e</w:t>
      </w:r>
      <w:r w:rsidRPr="00237A2C">
        <w:t>batten eller i forskningen om den svenska förvaltningsmodellen har emelle</w:t>
      </w:r>
      <w:r w:rsidRPr="00237A2C">
        <w:t>r</w:t>
      </w:r>
      <w:r w:rsidRPr="00237A2C">
        <w:t>tid kompetens- eller arbetsfördelningen mellan politik och förvaltning stått i förgrunden. I stället har styrningsfrågorna varit de centrala</w:t>
      </w:r>
      <w:r w:rsidRPr="00237A2C">
        <w:t xml:space="preserve">. </w:t>
      </w:r>
    </w:p>
    <w:p w:rsidR="00AE50BA" w:rsidRPr="00237A2C" w:rsidRDefault="00AE50BA">
      <w:pPr>
        <w:pStyle w:val="Normaltindrag"/>
      </w:pPr>
      <w:r w:rsidRPr="00237A2C">
        <w:t>Resultaten av den genomgång som gjorts visar att någon närmare precis</w:t>
      </w:r>
      <w:r w:rsidRPr="00237A2C">
        <w:t>e</w:t>
      </w:r>
      <w:r w:rsidRPr="00237A2C">
        <w:t>ring av gränsen mellan de olika typerna av arbetsuppgifter inte har gjorts vare sig i den politiska debatten eller inom förvaltningsforskningen. I prakt</w:t>
      </w:r>
      <w:r w:rsidRPr="00237A2C">
        <w:t>i</w:t>
      </w:r>
      <w:r w:rsidRPr="00237A2C">
        <w:t>ken har det dock inte varit ovanligt att olika regeringar genom åren fungerat som bidragsförd</w:t>
      </w:r>
      <w:r w:rsidRPr="00237A2C">
        <w:t>e</w:t>
      </w:r>
      <w:r w:rsidRPr="00237A2C">
        <w:t>lare.</w:t>
      </w:r>
    </w:p>
    <w:p w:rsidR="00AE50BA" w:rsidRPr="00237A2C" w:rsidRDefault="00AE50BA">
      <w:pPr>
        <w:pStyle w:val="Normaltindrag"/>
      </w:pPr>
      <w:r w:rsidRPr="00237A2C">
        <w:t>Förutom en dualistisk uppdelning mellan organ med politiska respekive verkställande uppgifter har frånvaron av ministerstyre varit ett centralt el</w:t>
      </w:r>
      <w:r w:rsidRPr="00237A2C">
        <w:t>e</w:t>
      </w:r>
      <w:r w:rsidRPr="00237A2C">
        <w:t>ment i den svenska förvaltningsmodellen. Forskarna har också gjort jämf</w:t>
      </w:r>
      <w:r w:rsidRPr="00237A2C">
        <w:t>ö</w:t>
      </w:r>
      <w:r w:rsidRPr="00237A2C">
        <w:t>relser med Danmark och Norge, som till skillnad från Sverige har en mini</w:t>
      </w:r>
      <w:r w:rsidRPr="00237A2C">
        <w:t>s</w:t>
      </w:r>
      <w:r w:rsidRPr="00237A2C">
        <w:t>terstyrd förvaltning. Trots den generella regeln att ministern kan träffa avg</w:t>
      </w:r>
      <w:r w:rsidRPr="00237A2C">
        <w:t>ö</w:t>
      </w:r>
      <w:r w:rsidRPr="00237A2C">
        <w:t>rande i alla ärenden inom sitt ansvarsområde finns i de två grannländerna i praktiken stora begränsningar i en ministers möjligheter till styrning. Vid studier av beslutsprocessen för ett antal olika samhällssektorer visar det sig i själva verket ofta finnas mindre skillnader  mellan län</w:t>
      </w:r>
      <w:r w:rsidRPr="00237A2C">
        <w:t>derna än mellan r</w:t>
      </w:r>
      <w:r w:rsidRPr="00237A2C">
        <w:t>e</w:t>
      </w:r>
      <w:r w:rsidRPr="00237A2C">
        <w:t xml:space="preserve">spektive sektor inom ett land. </w:t>
      </w:r>
    </w:p>
    <w:p w:rsidR="00AE50BA" w:rsidRPr="00237A2C" w:rsidRDefault="00AE50BA">
      <w:pPr>
        <w:pStyle w:val="Normaltindrag"/>
      </w:pPr>
      <w:r w:rsidRPr="00237A2C">
        <w:t>Enligt revisorernas uppfattning bör forskarnas rapport kunna utgöra ett värdefullt underlag för den fortsatta debatten om den svenska modellen för organisering av förvaltningen. Med ledning av den genomgång som gjorts anser revisorerna att det faktum att en regering tar på sig vissa verkställi</w:t>
      </w:r>
      <w:r w:rsidRPr="00237A2C">
        <w:t>g</w:t>
      </w:r>
      <w:r w:rsidRPr="00237A2C">
        <w:t>hetsuppgifter i och för sig kan anses vara förenligt med svensk förval</w:t>
      </w:r>
      <w:r w:rsidRPr="00237A2C">
        <w:t>t</w:t>
      </w:r>
      <w:r w:rsidRPr="00237A2C">
        <w:t>ningstradition. Samtidigt vill revisorerna understryka att regeringens roll visavi förvaltningen främst handlar om ledning, styrning och samordning. Om regeringen väljer att fullgöra operativa uppgifter inom budgetområdet bör enligt revisorerna utgångspunkten vara att samma krav på styrning och kontroll ställs på regeringen och Regeringskansliet som på myndigheter under regeringen. Revisorerna åte</w:t>
      </w:r>
      <w:r w:rsidRPr="00237A2C">
        <w:t>r</w:t>
      </w:r>
      <w:r w:rsidRPr="00237A2C">
        <w:t>kommer i det följande till detta.</w:t>
      </w:r>
    </w:p>
    <w:p w:rsidR="00AE50BA" w:rsidRPr="00237A2C" w:rsidRDefault="00AE50BA">
      <w:pPr>
        <w:pStyle w:val="Rubrik3"/>
      </w:pPr>
      <w:bookmarkStart w:id="174" w:name="_Toc509125592"/>
      <w:bookmarkStart w:id="175" w:name="_Toc509738024"/>
      <w:bookmarkStart w:id="176" w:name="_Toc516991644"/>
      <w:r w:rsidRPr="00237A2C">
        <w:t>7.3 P</w:t>
      </w:r>
      <w:r w:rsidRPr="00237A2C">
        <w:t>rincipiella synpunkter  på statliga projektbidrag</w:t>
      </w:r>
      <w:bookmarkEnd w:id="174"/>
      <w:bookmarkEnd w:id="175"/>
      <w:bookmarkEnd w:id="176"/>
    </w:p>
    <w:p w:rsidR="00AE50BA" w:rsidRPr="00237A2C" w:rsidRDefault="00AE50BA">
      <w:r w:rsidRPr="00237A2C">
        <w:t>Huvuddelen av tio av de anslag till regeringens disposition som studerats i denna granskning gäller bidragsgivning i projektform. För  flera av de mest omfattande projektstöden handlar det om bidragsgivning till kommuner. Några av programmen har från början varit tidsbegränsade, t.ex. Kunskap</w:t>
      </w:r>
      <w:r w:rsidRPr="00237A2C">
        <w:t>s</w:t>
      </w:r>
      <w:r w:rsidRPr="00237A2C">
        <w:t xml:space="preserve">lyftet, IT i skolan och de lokala investeringsprogrammen. Andra har blivit mer eller mindre permanenta. </w:t>
      </w:r>
    </w:p>
    <w:p w:rsidR="00AE50BA" w:rsidRPr="00237A2C" w:rsidRDefault="00AE50BA">
      <w:pPr>
        <w:pStyle w:val="Normaltindrag"/>
      </w:pPr>
      <w:r w:rsidRPr="00237A2C">
        <w:t>Revisorerna vill i sammanhanget peka på det som finansutskottet anförde hösten 1998 vid sin beredning av budgetpropositionen för år 1999. Då b</w:t>
      </w:r>
      <w:r w:rsidRPr="00237A2C">
        <w:t>e</w:t>
      </w:r>
      <w:r w:rsidRPr="00237A2C">
        <w:t>handlades bl.a. en motion om statliga projektbidrag (bet. 1998/99:FiU1 s. 221). Motionen var närmast föranledd av de statliga bidragen till de lokala investeringspro</w:t>
      </w:r>
      <w:r w:rsidRPr="00237A2C">
        <w:t>g</w:t>
      </w:r>
      <w:r w:rsidRPr="00237A2C">
        <w:t xml:space="preserve">rammen. </w:t>
      </w:r>
    </w:p>
    <w:p w:rsidR="00AE50BA" w:rsidRPr="00237A2C" w:rsidRDefault="00AE50BA">
      <w:pPr>
        <w:pStyle w:val="Normaltindrag"/>
      </w:pPr>
      <w:r w:rsidRPr="00237A2C">
        <w:t>Finansutskottet underströk därvid att grundregeln bör vara att statliga m</w:t>
      </w:r>
      <w:r w:rsidRPr="00237A2C">
        <w:t>e</w:t>
      </w:r>
      <w:r w:rsidRPr="00237A2C">
        <w:t xml:space="preserve">del till olika offentliga verksamheter ska fördelas i generella termer, efter förutbestämda kriterier och kanaliseras till den ordinarie verksamheten. Samtidigt underströk utskottet att det inte kan uteslutas att det i vissa fall kan vara befogat med särskilt statligt stöd i projektform. Det kan t.ex. vara fallet när det är angeläget att påskynda och stimulera en viss verksamhetsinriktning eller att bidra till att sektorsövergripande lösningar kommer till stånd. </w:t>
      </w:r>
    </w:p>
    <w:p w:rsidR="00AE50BA" w:rsidRPr="00237A2C" w:rsidRDefault="00AE50BA">
      <w:pPr>
        <w:pStyle w:val="Normaltindrag"/>
      </w:pPr>
      <w:r w:rsidRPr="00237A2C">
        <w:t>Utskottet ansåg vidare att det i sådana fal</w:t>
      </w:r>
      <w:r w:rsidRPr="00237A2C">
        <w:t>l var särskilt angeläget att målen och kriterierna för bidragsgivningen är väl definierade, att en kontinuerlig uppföljning sker och att en ordentlig utvärdering görs efteråt. Enligt utskottet borde en viss restriktiv</w:t>
      </w:r>
      <w:r w:rsidRPr="00237A2C">
        <w:t>i</w:t>
      </w:r>
      <w:r w:rsidRPr="00237A2C">
        <w:t xml:space="preserve">tet iakttas i användningen av stöd i projektform. </w:t>
      </w:r>
    </w:p>
    <w:p w:rsidR="00AE50BA" w:rsidRPr="00237A2C" w:rsidRDefault="00AE50BA">
      <w:pPr>
        <w:pStyle w:val="Normaltindrag"/>
      </w:pPr>
      <w:r w:rsidRPr="00237A2C">
        <w:t>Revisorerna anser att den syn på användningen av statliga projektbidrag som riksdagen på förslag av finansutskottet ställt sig bakom fortfarande bör kunna vara vägledande. Revisorerna vill också peka på att omfattande statligt stöd i projektfo</w:t>
      </w:r>
      <w:r w:rsidRPr="00237A2C">
        <w:t>rm till kommuner inte står i samklang med strävandena att statens bidragsgivning bör ske i generella fo</w:t>
      </w:r>
      <w:r w:rsidRPr="00237A2C">
        <w:t>r</w:t>
      </w:r>
      <w:r w:rsidRPr="00237A2C">
        <w:t>mer.</w:t>
      </w:r>
    </w:p>
    <w:p w:rsidR="00AE50BA" w:rsidRPr="00237A2C" w:rsidRDefault="00AE50BA">
      <w:pPr>
        <w:pStyle w:val="Rubrik3"/>
      </w:pPr>
      <w:bookmarkStart w:id="177" w:name="_Toc509125593"/>
      <w:bookmarkStart w:id="178" w:name="_Toc509738025"/>
      <w:bookmarkStart w:id="179" w:name="_Toc516991645"/>
      <w:r w:rsidRPr="00237A2C">
        <w:t>7.4 Principiella synpunkter på regeringen  som bidragsfördelare</w:t>
      </w:r>
      <w:bookmarkEnd w:id="177"/>
      <w:bookmarkEnd w:id="178"/>
      <w:bookmarkEnd w:id="179"/>
    </w:p>
    <w:p w:rsidR="00AE50BA" w:rsidRPr="00237A2C" w:rsidRDefault="00AE50BA">
      <w:r w:rsidRPr="00237A2C">
        <w:t>Revisorerna har ovan angivit att regeringens roll som bidragsfördelare under vissa förutsättningar går att förena med den svenska förvaltningsmodellen och därmed med en rimlig uppgiftsfördelning mellan departement och my</w:t>
      </w:r>
      <w:r w:rsidRPr="00237A2C">
        <w:t>n</w:t>
      </w:r>
      <w:r w:rsidRPr="00237A2C">
        <w:t>digheter. Samtidigt vill revisorerna understryka betydelsen av att regeringen har möjlighet att fullgöra sina viktiga strategiska uppgifter i förhållande till förvaltningen. Ett uttryck för detta har varit en medveten strävan, inte minst sedan 1980-talet, att avlasta regeringen löpande förvaltningsärenden och föra ut uppgifter till underlydande organ. Detta förhållande påpekas också i for</w:t>
      </w:r>
      <w:r w:rsidRPr="00237A2C">
        <w:t>s</w:t>
      </w:r>
      <w:r w:rsidRPr="00237A2C">
        <w:t>ka</w:t>
      </w:r>
      <w:r w:rsidRPr="00237A2C">
        <w:t>r</w:t>
      </w:r>
      <w:r w:rsidRPr="00237A2C">
        <w:t xml:space="preserve">rapporten. </w:t>
      </w:r>
    </w:p>
    <w:p w:rsidR="00AE50BA" w:rsidRPr="00237A2C" w:rsidRDefault="00AE50BA">
      <w:pPr>
        <w:pStyle w:val="Normaltindrag"/>
      </w:pPr>
      <w:r w:rsidRPr="00237A2C">
        <w:t>Revisorerna vill understryka att huvudinriktningen i enlighet med svenska förvaltningstraditioner givetv</w:t>
      </w:r>
      <w:r w:rsidRPr="00237A2C">
        <w:t xml:space="preserve">is bör vara att fördelningen av statliga medel ska vara en uppgift för statliga myndigheter </w:t>
      </w:r>
      <w:r w:rsidRPr="00237A2C">
        <w:rPr>
          <w:i/>
        </w:rPr>
        <w:t>under</w:t>
      </w:r>
      <w:r w:rsidRPr="00237A2C">
        <w:t xml:space="preserve"> regeringen. Det finns enligt revisorerna viss risk för att den omfattande berednings- och b</w:t>
      </w:r>
      <w:r w:rsidRPr="00237A2C">
        <w:t>e</w:t>
      </w:r>
      <w:r w:rsidRPr="00237A2C">
        <w:t>slutsprocess som en stor mängd bidragsärenden för med sig tränger undan andra viktiga uppgifter. Revisorerna har ovan pekat på regeringens betyde</w:t>
      </w:r>
      <w:r w:rsidRPr="00237A2C">
        <w:t>l</w:t>
      </w:r>
      <w:r w:rsidRPr="00237A2C">
        <w:t>sefulla strategiska uppgifter i förhållande till den statliga förvaltningsorgan</w:t>
      </w:r>
      <w:r w:rsidRPr="00237A2C">
        <w:t>i</w:t>
      </w:r>
      <w:r w:rsidRPr="00237A2C">
        <w:t>sationen. Revisorerna vill understryka att i denna strategiska roll även kan innefattas fördelni</w:t>
      </w:r>
      <w:r w:rsidRPr="00237A2C">
        <w:t>ng av vissa bidrag. Exempel på sådana bidrag är två av de anslag inom Finansdepartementets ansvarsområde som behandlas i denna granskning, nämligen medlen till utvecklingsinsatser respektive till det s.k. Kontrol</w:t>
      </w:r>
      <w:r w:rsidRPr="00237A2C">
        <w:t>l</w:t>
      </w:r>
      <w:r w:rsidRPr="00237A2C">
        <w:t xml:space="preserve">projektet.   </w:t>
      </w:r>
    </w:p>
    <w:p w:rsidR="00AE50BA" w:rsidRPr="00237A2C" w:rsidRDefault="00AE50BA">
      <w:pPr>
        <w:pStyle w:val="Normaltindrag"/>
      </w:pPr>
      <w:r w:rsidRPr="00237A2C">
        <w:t xml:space="preserve">Revisorerna konstaterar att ett antal särskilda skäl kan åberopas </w:t>
      </w:r>
      <w:r w:rsidRPr="00237A2C">
        <w:rPr>
          <w:i/>
        </w:rPr>
        <w:t>för</w:t>
      </w:r>
      <w:r w:rsidRPr="00237A2C">
        <w:t xml:space="preserve"> att r</w:t>
      </w:r>
      <w:r w:rsidRPr="00237A2C">
        <w:t>e</w:t>
      </w:r>
      <w:r w:rsidRPr="00237A2C">
        <w:t>geringen i vissa fall kan ta på sig verkställighetsuppgifter. I Statskontorets rapport om Kunskapslyftet anges att en särskilt tillskapad organisation i Regeringskansliet kan vara lämplig om t.ex. inslaget av experiment, fö</w:t>
      </w:r>
      <w:r w:rsidRPr="00237A2C">
        <w:t>r</w:t>
      </w:r>
      <w:r w:rsidRPr="00237A2C">
        <w:t>handlingar och skönsmässighet i besluten är stort samtidigt som förutsät</w:t>
      </w:r>
      <w:r w:rsidRPr="00237A2C">
        <w:t>t</w:t>
      </w:r>
      <w:r w:rsidRPr="00237A2C">
        <w:t xml:space="preserve">ningarna för och behovet av regelstyrning och likabehandling är litet. Andra motiv kan vara om det inledningsvis är oklart vilket problem som ska lösas eller om inga alternativ finns. Statskontoret varnar </w:t>
      </w:r>
      <w:r w:rsidRPr="00237A2C">
        <w:t>samtidigt för de risker som tillfälliga organisationslösningar – adhocratin – innebär t.ex. när det gäller möjligheterna att utkräva ansvar. Revisorerna har i tidigare grans</w:t>
      </w:r>
      <w:r w:rsidRPr="00237A2C">
        <w:t>k</w:t>
      </w:r>
      <w:r w:rsidRPr="00237A2C">
        <w:t>ningar av projektstöd, t.ex. av regeringens Sydafrikasatsning, påtalat brister i organisation och a</w:t>
      </w:r>
      <w:r w:rsidRPr="00237A2C">
        <w:t>n</w:t>
      </w:r>
      <w:r w:rsidRPr="00237A2C">
        <w:t xml:space="preserve">svarsfördelning. </w:t>
      </w:r>
    </w:p>
    <w:p w:rsidR="00AE50BA" w:rsidRPr="00237A2C" w:rsidRDefault="00AE50BA">
      <w:pPr>
        <w:pStyle w:val="Normaltindrag"/>
      </w:pPr>
      <w:r w:rsidRPr="00237A2C">
        <w:t xml:space="preserve">Revisorerna vill samtidigt peka på ett antal faktorer som talar </w:t>
      </w:r>
      <w:r w:rsidRPr="00237A2C">
        <w:rPr>
          <w:i/>
        </w:rPr>
        <w:t xml:space="preserve">mot </w:t>
      </w:r>
      <w:r w:rsidRPr="00237A2C">
        <w:t>att reg</w:t>
      </w:r>
      <w:r w:rsidRPr="00237A2C">
        <w:t>e</w:t>
      </w:r>
      <w:r w:rsidRPr="00237A2C">
        <w:t>ringen påtar sig rollen som bidragsfördelare. Dit hör bl.a. att möjligheter att överklaga besluten saknas, att det finns risker för att myndigheternas han</w:t>
      </w:r>
      <w:r w:rsidRPr="00237A2C">
        <w:t>d</w:t>
      </w:r>
      <w:r w:rsidRPr="00237A2C">
        <w:t xml:space="preserve">lingskraft och incitamentstruktur gröps ur och att departementen, åtminstone i ett inledningsskede, har otillräcklig kompetens för att hantera ”myndighetsuppgifter”. </w:t>
      </w:r>
    </w:p>
    <w:p w:rsidR="00AE50BA" w:rsidRPr="00237A2C" w:rsidRDefault="00AE50BA">
      <w:pPr>
        <w:pStyle w:val="Normaltindrag"/>
      </w:pPr>
      <w:r w:rsidRPr="00237A2C">
        <w:t xml:space="preserve">Enligt revisorernas mening bör huvudprincipen således vara att det är myndigheter </w:t>
      </w:r>
      <w:r w:rsidRPr="00237A2C">
        <w:rPr>
          <w:i/>
        </w:rPr>
        <w:t>under</w:t>
      </w:r>
      <w:r w:rsidRPr="00237A2C">
        <w:t xml:space="preserve"> regeringen som ska genomföra olika statliga satsningar och program. Att regeringen själv hanterar enskilda bidragssystem bör endast förekomma undantagsvis. Revisorerna har i granskningen noterat att det för flertalet av de undersökta anslagen inte framgår av propositionerna att reg</w:t>
      </w:r>
      <w:r w:rsidRPr="00237A2C">
        <w:t>e</w:t>
      </w:r>
      <w:r w:rsidRPr="00237A2C">
        <w:t>ringen själv ska fungera som operativt organ och motiven därför. Det bör vara ett minimikrav att riksdagen som anslagsbeviljande organ informeras om detta innan besluten tas. Regeringen bör därför enligt revisorerna rege</w:t>
      </w:r>
      <w:r w:rsidRPr="00237A2C">
        <w:t>l</w:t>
      </w:r>
      <w:r w:rsidRPr="00237A2C">
        <w:t>mä</w:t>
      </w:r>
      <w:r w:rsidRPr="00237A2C">
        <w:t>ssigt i samband med att budgetförslag läggs fram till riksdagen anmäla om man avser att själv behålla dispositionsrätten till medel av denna karaktär och mot</w:t>
      </w:r>
      <w:r w:rsidRPr="00237A2C">
        <w:t>i</w:t>
      </w:r>
      <w:r w:rsidRPr="00237A2C">
        <w:t xml:space="preserve">ven för detta. </w:t>
      </w:r>
    </w:p>
    <w:p w:rsidR="00AE50BA" w:rsidRPr="00237A2C" w:rsidRDefault="00AE50BA">
      <w:pPr>
        <w:pStyle w:val="Normaltindrag"/>
      </w:pPr>
      <w:r w:rsidRPr="00237A2C">
        <w:t>Andra krav som riksdagen bör ställa i sammanhanget behandlas i följande avsnitt. Det gäller krav på bättre beslutsunderlag och utökad resultatrapport</w:t>
      </w:r>
      <w:r w:rsidRPr="00237A2C">
        <w:t>e</w:t>
      </w:r>
      <w:r w:rsidRPr="00237A2C">
        <w:t>ring (avsnitt 7.5), på förbättrad berednings- och beslutshantering (avsnitt 7.6) samt vissa skär</w:t>
      </w:r>
      <w:r w:rsidRPr="00237A2C">
        <w:t>p</w:t>
      </w:r>
      <w:r w:rsidRPr="00237A2C">
        <w:t>ningar  vad gäller redovisning och revision (avsnitt 7.7).</w:t>
      </w:r>
    </w:p>
    <w:p w:rsidR="00AE50BA" w:rsidRPr="00237A2C" w:rsidRDefault="00AE50BA">
      <w:pPr>
        <w:pStyle w:val="Rubrik3"/>
        <w:ind w:left="284" w:hanging="284"/>
        <w:rPr>
          <w:u w:val="single"/>
        </w:rPr>
      </w:pPr>
      <w:bookmarkStart w:id="180" w:name="_Toc509125594"/>
      <w:bookmarkStart w:id="181" w:name="_Toc509738026"/>
      <w:bookmarkStart w:id="182" w:name="_Toc516991646"/>
      <w:r w:rsidRPr="00237A2C">
        <w:t>7.5 Riksdagen behöver ett bättre beslutsunderlag och en utökad resultatrapportering</w:t>
      </w:r>
      <w:bookmarkEnd w:id="180"/>
      <w:bookmarkEnd w:id="181"/>
      <w:bookmarkEnd w:id="182"/>
      <w:r w:rsidRPr="00237A2C">
        <w:t xml:space="preserve"> </w:t>
      </w:r>
    </w:p>
    <w:p w:rsidR="00AE50BA" w:rsidRPr="00237A2C" w:rsidRDefault="00AE50BA">
      <w:r w:rsidRPr="00237A2C">
        <w:t>Revisorerna har i det föregående förordat att regeringen endast i undantag</w:t>
      </w:r>
      <w:r w:rsidRPr="00237A2C">
        <w:t>s</w:t>
      </w:r>
      <w:r w:rsidRPr="00237A2C">
        <w:t>fall själv bör fördela bidrag och att systemet med statliga projektbidrag bör användas restriktivt, inte minst i förhållande till den kommunala sektorn. Revisorerna anser också att regeringen för riksdagen i samband med a</w:t>
      </w:r>
      <w:r w:rsidRPr="00237A2C">
        <w:t>n</w:t>
      </w:r>
      <w:r w:rsidRPr="00237A2C">
        <w:t xml:space="preserve">slagsprövningen bör redovisa och motivera när den önskar ikläda sig rollen som bidragsfördelare. </w:t>
      </w:r>
    </w:p>
    <w:p w:rsidR="00AE50BA" w:rsidRPr="00237A2C" w:rsidRDefault="00AE50BA">
      <w:pPr>
        <w:pStyle w:val="Normaltindrag"/>
      </w:pPr>
      <w:r w:rsidRPr="00237A2C">
        <w:t>Revisorerna kan för sin del konstatera att regeringen enligt budgetlagen (2 §) för riksdagen skall redovisa de mål som åsyftas och de resultat som up</w:t>
      </w:r>
      <w:r w:rsidRPr="00237A2C">
        <w:t>p</w:t>
      </w:r>
      <w:r w:rsidRPr="00237A2C">
        <w:t>nåtts på olika verksamhetsområden. Syftet med bestämmelsen är inte minst att stärka riksdagens roll i budgetprocessen. Bestämmelsen bör enligt revis</w:t>
      </w:r>
      <w:r w:rsidRPr="00237A2C">
        <w:t>o</w:t>
      </w:r>
      <w:r w:rsidRPr="00237A2C">
        <w:t>rernas mening självfallet tillämpas på ett likartat sätt oavsett om det är en vanlig statlig myndighet eller regeringen själv som hanterar statliga m</w:t>
      </w:r>
      <w:r w:rsidRPr="00237A2C">
        <w:t>e</w:t>
      </w:r>
      <w:r w:rsidRPr="00237A2C">
        <w:t xml:space="preserve">del. </w:t>
      </w:r>
    </w:p>
    <w:p w:rsidR="00AE50BA" w:rsidRPr="00237A2C" w:rsidRDefault="00AE50BA">
      <w:pPr>
        <w:pStyle w:val="Normaltindrag"/>
      </w:pPr>
      <w:r w:rsidRPr="00237A2C">
        <w:t>I samband med granskningen har en genomgång gjorts av regeringens r</w:t>
      </w:r>
      <w:r w:rsidRPr="00237A2C">
        <w:t>e</w:t>
      </w:r>
      <w:r w:rsidRPr="00237A2C">
        <w:t>dovisning till riksdagen av mål och resultat för de studerade anslagen. Red</w:t>
      </w:r>
      <w:r w:rsidRPr="00237A2C">
        <w:t>o</w:t>
      </w:r>
      <w:r w:rsidRPr="00237A2C">
        <w:t>visningen är av mycket ojämn kvalitet. Samtidigt har en successiv förbättring skett över tiden för vissa anslag. För flera av anslagen saknas emellertid resultatredovisning helt. Revisorerna är givetvis medvetna om att det på vissa områden kan vara svårt att beskriva mål och uppnådda resultat. Samtidigt är det viktigt att regeringen genom ändringar i föreskrifter m.m. ser till att ök</w:t>
      </w:r>
      <w:r w:rsidRPr="00237A2C">
        <w:t>a</w:t>
      </w:r>
      <w:r w:rsidRPr="00237A2C">
        <w:t>de krav ställs på redovisningen i budgetproposit</w:t>
      </w:r>
      <w:r w:rsidRPr="00237A2C">
        <w:t>ionen av mål och resultat när regeringen eller Regeringskansliet disponerar anslagsmedel. Det kan t.ex. ske genom ändrade riktlinjer från Finansdepartementet för utformningen av budgetpropositionen eller genom en ändring och precisering av budgetlagen. Det kan också vara lämpligt att formerna för redovisningen i de enskilda fallen tas upp i den mål- och resultatdialog som numera regelmässigt äger rum mellan företrädare för de berörda departementen och  rik</w:t>
      </w:r>
      <w:r w:rsidRPr="00237A2C">
        <w:t>s</w:t>
      </w:r>
      <w:r w:rsidRPr="00237A2C">
        <w:t>dagsutskotten.</w:t>
      </w:r>
    </w:p>
    <w:p w:rsidR="00AE50BA" w:rsidRPr="00237A2C" w:rsidRDefault="00AE50BA">
      <w:pPr>
        <w:pStyle w:val="Normaltindrag"/>
      </w:pPr>
      <w:r w:rsidRPr="00237A2C">
        <w:t>Regeringens rapportering till riksda</w:t>
      </w:r>
      <w:r w:rsidRPr="00237A2C">
        <w:t>gen av mål och resultat bygger i första hand på myndigheternas redovisning i årsredovisningarna. När det gäller anslag som regeringen eller Regeringskansliet disponerar försvåras dock återföringen till riksdagen av att Regeringskansliet enligt sin instruktion är undantaget från kravet på resultatredovisning i årsredovisningen. Revisore</w:t>
      </w:r>
      <w:r w:rsidRPr="00237A2C">
        <w:t>r</w:t>
      </w:r>
      <w:r w:rsidRPr="00237A2C">
        <w:t>na återko</w:t>
      </w:r>
      <w:r w:rsidRPr="00237A2C">
        <w:t>m</w:t>
      </w:r>
      <w:r w:rsidRPr="00237A2C">
        <w:t>mer till denna fråga.</w:t>
      </w:r>
    </w:p>
    <w:p w:rsidR="00AE50BA" w:rsidRPr="00237A2C" w:rsidRDefault="00AE50BA">
      <w:pPr>
        <w:pStyle w:val="Rubrik3"/>
        <w:ind w:left="284" w:hanging="284"/>
      </w:pPr>
      <w:bookmarkStart w:id="183" w:name="_Toc509125595"/>
      <w:bookmarkStart w:id="184" w:name="_Toc509738027"/>
      <w:bookmarkStart w:id="185" w:name="_Toc516991647"/>
      <w:r w:rsidRPr="00237A2C">
        <w:t>7.6 Regeringens berednings- och beslutsprocess i samband med bidragshanteringen behöver förbättras</w:t>
      </w:r>
      <w:bookmarkEnd w:id="183"/>
      <w:bookmarkEnd w:id="184"/>
      <w:bookmarkEnd w:id="185"/>
    </w:p>
    <w:p w:rsidR="00AE50BA" w:rsidRPr="00237A2C" w:rsidRDefault="00AE50BA">
      <w:r w:rsidRPr="00237A2C">
        <w:t>Revisorerna anser med ledning av vad som framkommit i granskningen att det i undantagsfall kan vara lämpligt att bidragsfördelning organiseras på så sätt att regeringen tar på sig ett operativt ansvar. Denna form kan vara änd</w:t>
      </w:r>
      <w:r w:rsidRPr="00237A2C">
        <w:t>a</w:t>
      </w:r>
      <w:r w:rsidRPr="00237A2C">
        <w:t>målsenlig särskilt i ett initialt skede i frågor där ställningstaganden krävs av regeringen som politiskt organ. Också i frågor som spänner över flera sekt</w:t>
      </w:r>
      <w:r w:rsidRPr="00237A2C">
        <w:t>o</w:t>
      </w:r>
      <w:r w:rsidRPr="00237A2C">
        <w:t>rer kan en sådan organisering vara försvarlig. Revisorerna anser att utgång</w:t>
      </w:r>
      <w:r w:rsidRPr="00237A2C">
        <w:t>s</w:t>
      </w:r>
      <w:r w:rsidRPr="00237A2C">
        <w:t>punkten dock måste vara att denna organisering i sådana fall endast bör användas under en begränsad tid samt att beslutanderätten och beredning</w:t>
      </w:r>
      <w:r w:rsidRPr="00237A2C">
        <w:t>s</w:t>
      </w:r>
      <w:r w:rsidRPr="00237A2C">
        <w:t>ansvaret därefter förs över till en förvaltningsmyndighet under regeringen.</w:t>
      </w:r>
    </w:p>
    <w:p w:rsidR="00AE50BA" w:rsidRPr="00237A2C" w:rsidRDefault="00AE50BA">
      <w:pPr>
        <w:pStyle w:val="Normaltindrag"/>
      </w:pPr>
      <w:r w:rsidRPr="00237A2C">
        <w:t>Revisorerna har studerat hur regeringen hanterar genomföran</w:t>
      </w:r>
      <w:r w:rsidRPr="00237A2C">
        <w:t>det av riksd</w:t>
      </w:r>
      <w:r w:rsidRPr="00237A2C">
        <w:t>a</w:t>
      </w:r>
      <w:r w:rsidRPr="00237A2C">
        <w:t>gens beslut för de aktuella anslagen. Den allmänna bilden är att en successiv och välbehövlig uppstramning har skett av berednings- och beslutsprocessen under perioden 1996</w:t>
      </w:r>
      <w:r w:rsidRPr="00237A2C">
        <w:sym w:font="Symbol" w:char="F02D"/>
      </w:r>
      <w:r w:rsidRPr="00237A2C">
        <w:t>2000. Stöden styrs för flera av anslagen numera av särskilda förordningar. Förordningar saknas dock för fördelningen av medel såväl för Storstadssatsningen och den s.k. Kommunakuten som för Östersj</w:t>
      </w:r>
      <w:r w:rsidRPr="00237A2C">
        <w:t>ö</w:t>
      </w:r>
      <w:r w:rsidRPr="00237A2C">
        <w:t xml:space="preserve">miljarderna. Det bör samtidigt noteras att flera av förordningarna är mycket oprecisa och ger stort utrymme för tolkningar. </w:t>
      </w:r>
    </w:p>
    <w:p w:rsidR="00AE50BA" w:rsidRPr="00237A2C" w:rsidRDefault="00AE50BA">
      <w:pPr>
        <w:pStyle w:val="Normaltindrag"/>
      </w:pPr>
      <w:r w:rsidRPr="00237A2C">
        <w:t>Rev</w:t>
      </w:r>
      <w:r w:rsidRPr="00237A2C">
        <w:t>isorerna konstaterar också att regeringens bidragsbeslut för flera av a</w:t>
      </w:r>
      <w:r w:rsidRPr="00237A2C">
        <w:t>n</w:t>
      </w:r>
      <w:r w:rsidRPr="00237A2C">
        <w:t>slagen numera bereds av särskilda delegationer. När det gäller den s.k. B</w:t>
      </w:r>
      <w:r w:rsidRPr="00237A2C">
        <w:t>o</w:t>
      </w:r>
      <w:r w:rsidRPr="00237A2C">
        <w:t>stadsakuten liksom anslaget för IT i skolan har beslutanderätten överförts till respektive delegation. För Kunskapslyftet har ansvaret för beredning och beslut efter cirka ett och ett halvt år flyttats från regeringen och Regering</w:t>
      </w:r>
      <w:r w:rsidRPr="00237A2C">
        <w:t>s</w:t>
      </w:r>
      <w:r w:rsidRPr="00237A2C">
        <w:t>kansliet till Skolverket.</w:t>
      </w:r>
    </w:p>
    <w:p w:rsidR="00AE50BA" w:rsidRPr="00237A2C" w:rsidRDefault="00AE50BA">
      <w:pPr>
        <w:pStyle w:val="Normaltindrag"/>
      </w:pPr>
      <w:r w:rsidRPr="00237A2C">
        <w:t>Konstitutionsutskottet har i samband med sin administrativa granskning hösten 2000 särskilt studerat hur Rege</w:t>
      </w:r>
      <w:r w:rsidRPr="00237A2C">
        <w:t>ringskansliet har organiserats för ett antal särskilda projekt såsom Östersjömiljarderna, Kunskapslyftet m.fl. (bet. 2000/01:KU10). Inte minst har därvid frågorna om berednings- och beslut</w:t>
      </w:r>
      <w:r w:rsidRPr="00237A2C">
        <w:t>s</w:t>
      </w:r>
      <w:r w:rsidRPr="00237A2C">
        <w:t xml:space="preserve">förfarandet belysts. Utskottet noterar i betänkandet att regeringen enligt uppgift är noga med att tidigt lägga fast tydliga mål, en klar organisation och ansvarsfördelning för projekt av detta slag. Utskottet erinrar om att flera av de särskilda projekten inte har fungerat utan problem. Enligt utskottet återstår det att </w:t>
      </w:r>
      <w:r w:rsidRPr="00237A2C">
        <w:t>se om de åtgärder som regeringen vidtar är tillräckliga för att projekt av detta slag skall fungera tillfredsställande.</w:t>
      </w:r>
    </w:p>
    <w:p w:rsidR="00AE50BA" w:rsidRPr="00237A2C" w:rsidRDefault="00AE50BA">
      <w:pPr>
        <w:pStyle w:val="Normaltindrag"/>
      </w:pPr>
      <w:r w:rsidRPr="00237A2C">
        <w:t>Med anledning av vad som kommit fram i anslutning till såväl revisorernas eget arbete inom området som vid konstitutionsutskottets granskning anser revisorerna att regeringens beslut om fördelning av stöd i projektform i för</w:t>
      </w:r>
      <w:r w:rsidRPr="00237A2C">
        <w:t>e</w:t>
      </w:r>
      <w:r w:rsidRPr="00237A2C">
        <w:t>kommande fall i princip bör regleras i en författning. Det är därvid viktigt att i en sådan författning så långt som möjligt preciseras de kriterier som skall gälla för bidragsgivningen. Inte minst viktigt är att stöd till kommunsektorn sker i författningsreglerade och av mottagarna förutsebar ordning. Revisore</w:t>
      </w:r>
      <w:r w:rsidRPr="00237A2C">
        <w:t>r</w:t>
      </w:r>
      <w:r w:rsidRPr="00237A2C">
        <w:t xml:space="preserve">na menar också att det av författningarna skall framgå hur uppföljning och utvärdering av de beslutade bidragen ska ske. </w:t>
      </w:r>
    </w:p>
    <w:p w:rsidR="00AE50BA" w:rsidRPr="00237A2C" w:rsidRDefault="00AE50BA">
      <w:pPr>
        <w:pStyle w:val="Normaltindrag"/>
      </w:pPr>
      <w:r w:rsidRPr="00237A2C">
        <w:t xml:space="preserve">Revisorerna anser vidare att det i regel kan vara lämpligt att, såsom skett </w:t>
      </w:r>
      <w:r w:rsidRPr="00237A2C">
        <w:t>i flera av de studerade fallen, tillskapa särskilda delegationer med uppgift att svara för berednings- och beslutsuppgifter. Enligt revisorernas mening u</w:t>
      </w:r>
      <w:r w:rsidRPr="00237A2C">
        <w:t>n</w:t>
      </w:r>
      <w:r w:rsidRPr="00237A2C">
        <w:t>derlättas därigenom, om så bedöms lämpligt, medverkan av extern expertis liksom från olika intressenter. Revisorerna vill i sammanhanget peka på erfarenheterna av sådana motsvarande organ från Danmark och Norge. Del</w:t>
      </w:r>
      <w:r w:rsidRPr="00237A2C">
        <w:t>e</w:t>
      </w:r>
      <w:r w:rsidRPr="00237A2C">
        <w:t xml:space="preserve">gationer kan även vara lättare att avveckla än om tillfälliga uppgifter handhas av den ordinarie departementsorganisationen. </w:t>
      </w:r>
    </w:p>
    <w:p w:rsidR="00AE50BA" w:rsidRPr="00237A2C" w:rsidRDefault="00AE50BA">
      <w:pPr>
        <w:pStyle w:val="Normaltindrag"/>
      </w:pPr>
      <w:r w:rsidRPr="00237A2C">
        <w:t xml:space="preserve">Revisorerna har </w:t>
      </w:r>
      <w:r w:rsidRPr="00237A2C">
        <w:t>funnit att icke oväsentliga belopp av de här studerade a</w:t>
      </w:r>
      <w:r w:rsidRPr="00237A2C">
        <w:t>n</w:t>
      </w:r>
      <w:r w:rsidRPr="00237A2C">
        <w:t>slagen disponeras av Regeringskansliet för administration av stöden. Även av budgettekniska och redovisningsmässiga skäl kan det enligt revisorerna vara fördelaktigt att medel för ordinarie departementsverksamhet och medel för tillfälliga projekt hålls isär.</w:t>
      </w:r>
    </w:p>
    <w:p w:rsidR="00AE50BA" w:rsidRPr="00237A2C" w:rsidRDefault="00AE50BA">
      <w:pPr>
        <w:pStyle w:val="Rubrik3"/>
      </w:pPr>
      <w:bookmarkStart w:id="186" w:name="_Toc509125596"/>
      <w:bookmarkStart w:id="187" w:name="_Toc509738028"/>
      <w:bookmarkStart w:id="188" w:name="_Toc516991648"/>
      <w:r w:rsidRPr="00237A2C">
        <w:t>7.7 Kraven på redovisning och revision behöver skärpas</w:t>
      </w:r>
      <w:bookmarkEnd w:id="186"/>
      <w:bookmarkEnd w:id="187"/>
      <w:bookmarkEnd w:id="188"/>
    </w:p>
    <w:p w:rsidR="00AE50BA" w:rsidRPr="00237A2C" w:rsidRDefault="00AE50BA">
      <w:r w:rsidRPr="00237A2C">
        <w:t>Revisorerna kan konstatera att av förordningen (2000:605) om årsredovi</w:t>
      </w:r>
      <w:r w:rsidRPr="00237A2C">
        <w:t>s</w:t>
      </w:r>
      <w:r w:rsidRPr="00237A2C">
        <w:t>ning och budgetunderlag framgår, enligt 3 kap. om resultatredovisning, att statliga myndigheter under regeringen bl.a. ska redovisa och kommentera verksamhetens resultat i förhållande till uppställda mål. De skall också red</w:t>
      </w:r>
      <w:r w:rsidRPr="00237A2C">
        <w:t>o</w:t>
      </w:r>
      <w:r w:rsidRPr="00237A2C">
        <w:t>visa och kommentera hur prestationerna har utvecklats med avseende på volym, intäkter, kostnader och kval</w:t>
      </w:r>
      <w:r w:rsidRPr="00237A2C">
        <w:t>i</w:t>
      </w:r>
      <w:r w:rsidRPr="00237A2C">
        <w:t xml:space="preserve">tet. </w:t>
      </w:r>
    </w:p>
    <w:p w:rsidR="00AE50BA" w:rsidRPr="00237A2C" w:rsidRDefault="00AE50BA">
      <w:pPr>
        <w:pStyle w:val="Normaltindrag"/>
      </w:pPr>
      <w:r w:rsidRPr="00237A2C">
        <w:t xml:space="preserve">Enligt förordningen (1996:1515) med instruktion för Regeringskansliet (45 §) skall Regeringskansliet tillämpa de ekonomiadministrativa bestämmelser som gäller för myndigheter </w:t>
      </w:r>
      <w:r w:rsidRPr="00237A2C">
        <w:t>under regeringen, med undantag för bestämme</w:t>
      </w:r>
      <w:r w:rsidRPr="00237A2C">
        <w:t>l</w:t>
      </w:r>
      <w:r w:rsidRPr="00237A2C">
        <w:t>serna om resultatredovisning. Bakgrunden till undantaget är svårigheterna att mäta och bedöma resultat i en i hög grad politiskt styrd organisation av det slag som Regeringskansliet utgör. Revisorerna noterar för sin del att föror</w:t>
      </w:r>
      <w:r w:rsidRPr="00237A2C">
        <w:t>d</w:t>
      </w:r>
      <w:r w:rsidRPr="00237A2C">
        <w:t>ningen (2000:605) i alla tillämpliga delar gäller för riksdagen och dess my</w:t>
      </w:r>
      <w:r w:rsidRPr="00237A2C">
        <w:t>n</w:t>
      </w:r>
      <w:r w:rsidRPr="00237A2C">
        <w:t xml:space="preserve">digheter (RFS 2000:2). </w:t>
      </w:r>
    </w:p>
    <w:p w:rsidR="00AE50BA" w:rsidRPr="00237A2C" w:rsidRDefault="00AE50BA">
      <w:pPr>
        <w:pStyle w:val="Normaltindrag"/>
      </w:pPr>
      <w:r w:rsidRPr="00237A2C">
        <w:t xml:space="preserve"> Revisorerna anser för sin del att det finns starka skäl för att Regering</w:t>
      </w:r>
      <w:r w:rsidRPr="00237A2C">
        <w:t>s</w:t>
      </w:r>
      <w:r w:rsidRPr="00237A2C">
        <w:t>kansliet skall likställas med andra myndigheter när det gäller resultatredovi</w:t>
      </w:r>
      <w:r w:rsidRPr="00237A2C">
        <w:t>s</w:t>
      </w:r>
      <w:r w:rsidRPr="00237A2C">
        <w:t>ning om regeringen väljer att ta på sig uppgifter som normalt ankommer på myndigheter under regeringen. Regeringen bör därför ändra instruktionen för Reg</w:t>
      </w:r>
      <w:r w:rsidRPr="00237A2C">
        <w:t>e</w:t>
      </w:r>
      <w:r w:rsidRPr="00237A2C">
        <w:t>ringskansliet på denna punkt.</w:t>
      </w:r>
    </w:p>
    <w:p w:rsidR="00AE50BA" w:rsidRPr="00237A2C" w:rsidRDefault="00AE50BA">
      <w:pPr>
        <w:pStyle w:val="Normaltindrag"/>
      </w:pPr>
      <w:r w:rsidRPr="00237A2C">
        <w:t>Revisorerna vill i sammanhanget ta upp några andra frågor av närmast r</w:t>
      </w:r>
      <w:r w:rsidRPr="00237A2C">
        <w:t>e</w:t>
      </w:r>
      <w:r w:rsidRPr="00237A2C">
        <w:t>dovisningsteknisk natur. Som underlag för urvalet av de anslag till regerin</w:t>
      </w:r>
      <w:r w:rsidRPr="00237A2C">
        <w:t>g</w:t>
      </w:r>
      <w:r w:rsidRPr="00237A2C">
        <w:t>ens disposition som behandlats i denna granskning har bl.a. en genomgång gjorts av den anslagsredovisning som ingår i Regeringskansliets årsredovi</w:t>
      </w:r>
      <w:r w:rsidRPr="00237A2C">
        <w:t>s</w:t>
      </w:r>
      <w:r w:rsidRPr="00237A2C">
        <w:t>ning för de aktuella åren samt av samtliga regleringsbrev. I ett antal fall förekommer det att anslag till regeringens disposition som finns upptagna i regleringsbreven ej återfinns i anslagsredovisningen och vice versa. Det förekommer också att anslag som har behandlats åtskilt i anslag</w:t>
      </w:r>
      <w:r w:rsidRPr="00237A2C">
        <w:t>sredovi</w:t>
      </w:r>
      <w:r w:rsidRPr="00237A2C">
        <w:t>s</w:t>
      </w:r>
      <w:r w:rsidRPr="00237A2C">
        <w:t xml:space="preserve">ningen har slagits ihop i regleringsbreven. I vissa fall är det vidare svårt att utifrån regleringsbrevet utläsa vilken del av anslaget som står till regeringens respektive till Regeringskansliets disposition. </w:t>
      </w:r>
    </w:p>
    <w:p w:rsidR="00AE50BA" w:rsidRPr="00237A2C" w:rsidRDefault="00AE50BA">
      <w:pPr>
        <w:pStyle w:val="Normaltindrag"/>
      </w:pPr>
      <w:r w:rsidRPr="00237A2C">
        <w:t>Revisorerna har också noterat att anslagen till Kunskapslyftet under hela perioden formellt disponerats av Skolverket trots att det var regeringen som beslutade om bidragsfördelningen under den inledande perioden. Revisore</w:t>
      </w:r>
      <w:r w:rsidRPr="00237A2C">
        <w:t>r</w:t>
      </w:r>
      <w:r w:rsidRPr="00237A2C">
        <w:t>na anser att här relaterade förhållanden bör uppmärksammas såväl i det for</w:t>
      </w:r>
      <w:r w:rsidRPr="00237A2C">
        <w:t>t</w:t>
      </w:r>
      <w:r w:rsidRPr="00237A2C">
        <w:t>satta ekonomiadministrativa utvecklingsarbetet inom Regeringskansliet som i den interna revisionen. Enligt revisorerna bör man inom Regeringskansliet också överväga om inte många av de anslag som nu formellt står till reg</w:t>
      </w:r>
      <w:r w:rsidRPr="00237A2C">
        <w:t>e</w:t>
      </w:r>
      <w:r w:rsidRPr="00237A2C">
        <w:t>ringens disposition, t.ex. bidrag till internationella organisationer och me</w:t>
      </w:r>
      <w:r w:rsidRPr="00237A2C">
        <w:t>d</w:t>
      </w:r>
      <w:r w:rsidRPr="00237A2C">
        <w:t>lemsavgifter till olika organ, med fördel skulle kunna överföras till myndi</w:t>
      </w:r>
      <w:r w:rsidRPr="00237A2C">
        <w:t>g</w:t>
      </w:r>
      <w:r w:rsidRPr="00237A2C">
        <w:t xml:space="preserve">heter under regeringen. </w:t>
      </w:r>
    </w:p>
    <w:p w:rsidR="00AE50BA" w:rsidRPr="00237A2C" w:rsidRDefault="00AE50BA">
      <w:pPr>
        <w:pStyle w:val="Normaltindrag"/>
      </w:pPr>
      <w:r w:rsidRPr="00237A2C">
        <w:t>Revisorerna kan konstatera att ansla</w:t>
      </w:r>
      <w:r w:rsidRPr="00237A2C">
        <w:t>g som står till regeringens och Reg</w:t>
      </w:r>
      <w:r w:rsidRPr="00237A2C">
        <w:t>e</w:t>
      </w:r>
      <w:r w:rsidRPr="00237A2C">
        <w:t>ringskansliets disposition ej omfattas av RRV:s reguljära granskning. I några fall – som för de lokala investeringsprogrammen och kretsloppsmiljarden – har regeringen gett RRV ett särskilt granskningsuppdrag. Revisorerna har vidare noterat att den interna revisionen inom Regeringskansliet de senaste åren har granskat och bedömt ekonomiska händelser, rutiner och intern ko</w:t>
      </w:r>
      <w:r w:rsidRPr="00237A2C">
        <w:t>n</w:t>
      </w:r>
      <w:r w:rsidRPr="00237A2C">
        <w:t>troll bl.a. när det gäller anslagsredovisningen. Någon granskning av hur anslagen har använts har dock</w:t>
      </w:r>
      <w:r w:rsidRPr="00237A2C">
        <w:t xml:space="preserve"> inte geno</w:t>
      </w:r>
      <w:r w:rsidRPr="00237A2C">
        <w:t>m</w:t>
      </w:r>
      <w:r w:rsidRPr="00237A2C">
        <w:t xml:space="preserve">förts i samband därmed. </w:t>
      </w:r>
    </w:p>
    <w:p w:rsidR="00AE50BA" w:rsidRPr="00237A2C" w:rsidRDefault="00AE50BA">
      <w:pPr>
        <w:pStyle w:val="Normaltindrag"/>
      </w:pPr>
      <w:r w:rsidRPr="00237A2C">
        <w:t>Beträffande anslagen till regeringens disposition genomför Riksdagens r</w:t>
      </w:r>
      <w:r w:rsidRPr="00237A2C">
        <w:t>e</w:t>
      </w:r>
      <w:r w:rsidRPr="00237A2C">
        <w:t>visorer för egen del, förutom denna generellt inriktade genomgång, också en särskild granskning av Östersjömiljarderna och av anslaget till särskilda insatser i vissa kommuner och landsting. Tidigare har en särskild granskning gjorts av de lokala investeringsprogrammen. Revisorerna avser att även fortsättningsvis, såväl inom ramen för effektivitetsrevisionen som i sin roll som ansvariga för den externa revisionen av Regeringskansliet, ha uppmär</w:t>
      </w:r>
      <w:r w:rsidRPr="00237A2C">
        <w:t>k</w:t>
      </w:r>
      <w:r w:rsidRPr="00237A2C">
        <w:t>samhet på hanteringen av samtliga anslag som regeringen förfog</w:t>
      </w:r>
      <w:r w:rsidRPr="00237A2C">
        <w:t>ar över. Enligt revisorerna bör vidare internrevisionen inom Regeringskansliet utvi</w:t>
      </w:r>
      <w:r w:rsidRPr="00237A2C">
        <w:t>d</w:t>
      </w:r>
      <w:r w:rsidRPr="00237A2C">
        <w:t>gas till att även omfatta granskning av de aktuella anslagens använ</w:t>
      </w:r>
      <w:r w:rsidRPr="00237A2C">
        <w:t>d</w:t>
      </w:r>
      <w:r w:rsidRPr="00237A2C">
        <w:t xml:space="preserve">ning. </w:t>
      </w:r>
    </w:p>
    <w:p w:rsidR="00AE50BA" w:rsidRPr="00237A2C" w:rsidRDefault="00AE50BA">
      <w:pPr>
        <w:pStyle w:val="Rubrik3"/>
      </w:pPr>
      <w:bookmarkStart w:id="189" w:name="_Toc509125597"/>
      <w:bookmarkStart w:id="190" w:name="_Toc509738029"/>
      <w:bookmarkStart w:id="191" w:name="_Toc516991649"/>
      <w:r w:rsidRPr="00237A2C">
        <w:t>7.8 Regeringen behöver göra en samlad översyn av föreskrifter m.m.</w:t>
      </w:r>
      <w:bookmarkEnd w:id="189"/>
      <w:bookmarkEnd w:id="190"/>
      <w:bookmarkEnd w:id="191"/>
    </w:p>
    <w:p w:rsidR="00AE50BA" w:rsidRPr="00237A2C" w:rsidRDefault="00AE50BA">
      <w:r w:rsidRPr="00237A2C">
        <w:t>Revisorerna har tidigare betonat att statens medel inte får användas på annat sätt än riksdagen har bestämt (RF 9:2). Det är främst genom att anvisa anslag som riksdagen bestämmer hur statens medel får användas. I den inledande genomgången i kapitel 2 har revisorerna konstaterat att riksdagen är ofö</w:t>
      </w:r>
      <w:r w:rsidRPr="00237A2C">
        <w:t>r</w:t>
      </w:r>
      <w:r w:rsidRPr="00237A2C">
        <w:t>hindrad att ställa mycket detaljerade villkor för medlens användning. I sa</w:t>
      </w:r>
      <w:r w:rsidRPr="00237A2C">
        <w:t>m</w:t>
      </w:r>
      <w:r w:rsidRPr="00237A2C">
        <w:t>band med att riksdagen hösten 1996 behandlade regeringens förslag till bu</w:t>
      </w:r>
      <w:r w:rsidRPr="00237A2C">
        <w:t>d</w:t>
      </w:r>
      <w:r w:rsidRPr="00237A2C">
        <w:t>getlag uttalade konstitutionsutskottet att ”sådana villkor kan innebära prec</w:t>
      </w:r>
      <w:r w:rsidRPr="00237A2C">
        <w:t>i</w:t>
      </w:r>
      <w:r w:rsidRPr="00237A2C">
        <w:t>sering av mål, prioritering inom ett anslag, den regionala fördelningen av medlen, organisering av verksamheten eller krav på återrapportering av resultat” (bet. 1996/97:KU3).</w:t>
      </w:r>
    </w:p>
    <w:p w:rsidR="00AE50BA" w:rsidRPr="00237A2C" w:rsidRDefault="00AE50BA">
      <w:pPr>
        <w:pStyle w:val="Normaltindrag"/>
      </w:pPr>
      <w:r w:rsidRPr="00237A2C">
        <w:t xml:space="preserve">Revisorerna har i det föregående förordat att riksdagen bör ställa vissa </w:t>
      </w:r>
      <w:r w:rsidRPr="00237A2C">
        <w:rPr>
          <w:i/>
        </w:rPr>
        <w:t>g</w:t>
      </w:r>
      <w:r w:rsidRPr="00237A2C">
        <w:rPr>
          <w:i/>
        </w:rPr>
        <w:t>e</w:t>
      </w:r>
      <w:r w:rsidRPr="00237A2C">
        <w:rPr>
          <w:i/>
        </w:rPr>
        <w:t>nerella villkor</w:t>
      </w:r>
      <w:r w:rsidRPr="00237A2C">
        <w:t xml:space="preserve"> i samband med att regeringen hanterar statliga bidrag. Det gäller i första hand krav på ett fylligare beslutsunderlag, förbättrad återra</w:t>
      </w:r>
      <w:r w:rsidRPr="00237A2C">
        <w:t>p</w:t>
      </w:r>
      <w:r w:rsidRPr="00237A2C">
        <w:t>portering av resultat till riksdagen, en stramare berednings- och beslutspr</w:t>
      </w:r>
      <w:r w:rsidRPr="00237A2C">
        <w:t>o</w:t>
      </w:r>
      <w:r w:rsidRPr="00237A2C">
        <w:t xml:space="preserve">cess samt vissa förändringar av redovisning och revision. Regeringen bör göra en samlad genomgång av de förändringar av föreskrifter m.m. som behöver göras samt redovisa resultatet för riksdagen. </w:t>
      </w:r>
    </w:p>
    <w:p w:rsidR="00AE50BA" w:rsidRPr="00237A2C" w:rsidRDefault="00AE50BA">
      <w:pPr>
        <w:pStyle w:val="Normaltindrag"/>
      </w:pPr>
      <w:r w:rsidRPr="00237A2C">
        <w:t>Revisorerna vill också peka på att riksdagen själv, mot bakgrund av ko</w:t>
      </w:r>
      <w:r w:rsidRPr="00237A2C">
        <w:t>n</w:t>
      </w:r>
      <w:r w:rsidRPr="00237A2C">
        <w:t xml:space="preserve">stitutionsutskottets uttalanden, dessutom i samband med  beredningen av de enskilda anslagen har möjlighet att  ställa </w:t>
      </w:r>
      <w:r w:rsidRPr="00237A2C">
        <w:rPr>
          <w:i/>
        </w:rPr>
        <w:t>ytterligare anslagsvillkor</w:t>
      </w:r>
      <w:r w:rsidRPr="00237A2C">
        <w:t xml:space="preserve"> för u</w:t>
      </w:r>
      <w:r w:rsidRPr="00237A2C">
        <w:t>t</w:t>
      </w:r>
      <w:r w:rsidRPr="00237A2C">
        <w:t>nyttjandet av de olika anslagen. Sådana villkor bör kunna ställas såväl vid den årliga prövningen av anslag för löpande bidragssystem som i samband med att regeringen föreslår eventuella nya anslag till sin egen disposition. Möjligheten har hittills inte utnyttjats, men revisorerna har i granskningen observerat att flera utskott varit aktiva i sin beredning</w:t>
      </w:r>
      <w:r w:rsidRPr="00237A2C">
        <w:t xml:space="preserve"> av anslagen för att tillgodose riksdagen behov av ett gott beslutsunderlag. Det gäller inte minst bostadsutskottet, finansutskottet och näringsu</w:t>
      </w:r>
      <w:r w:rsidRPr="00237A2C">
        <w:t>t</w:t>
      </w:r>
      <w:r w:rsidRPr="00237A2C">
        <w:t>skottet.</w:t>
      </w:r>
    </w:p>
    <w:p w:rsidR="00AE50BA" w:rsidRPr="00237A2C" w:rsidRDefault="00AE50BA">
      <w:pPr>
        <w:pStyle w:val="Rubrik3"/>
      </w:pPr>
      <w:bookmarkStart w:id="192" w:name="_Toc509125598"/>
      <w:bookmarkStart w:id="193" w:name="_Toc509738030"/>
      <w:r w:rsidRPr="00237A2C">
        <w:br w:type="page"/>
      </w:r>
      <w:bookmarkStart w:id="194" w:name="_Toc516991650"/>
      <w:r w:rsidRPr="00237A2C">
        <w:t>7.9 Sammanfattning av revisorernas slutsatser och förslag</w:t>
      </w:r>
      <w:bookmarkEnd w:id="192"/>
      <w:bookmarkEnd w:id="193"/>
      <w:bookmarkEnd w:id="194"/>
    </w:p>
    <w:p w:rsidR="00AE50BA" w:rsidRPr="00237A2C" w:rsidRDefault="00AE50BA">
      <w:pPr>
        <w:numPr>
          <w:ilvl w:val="0"/>
          <w:numId w:val="42"/>
        </w:numPr>
        <w:pBdr>
          <w:top w:val="single" w:sz="4" w:space="1" w:color="auto"/>
          <w:left w:val="single" w:sz="4" w:space="4" w:color="auto"/>
          <w:bottom w:val="single" w:sz="4" w:space="1" w:color="auto"/>
          <w:right w:val="single" w:sz="4" w:space="4" w:color="auto"/>
        </w:pBdr>
      </w:pPr>
      <w:r w:rsidRPr="00237A2C">
        <w:t>Granskningen omfattar tio anslag som står till regeringens disposition och där regeringen själv beslutar om bidragsfördelningen. Undersö</w:t>
      </w:r>
      <w:r w:rsidRPr="00237A2C">
        <w:t>k</w:t>
      </w:r>
      <w:r w:rsidRPr="00237A2C">
        <w:t>ningen gäller i första hand budgetåren 1997</w:t>
      </w:r>
      <w:r w:rsidRPr="00237A2C">
        <w:sym w:font="Symbol" w:char="F02D"/>
      </w:r>
      <w:r w:rsidRPr="00237A2C">
        <w:t>2000. De beslutade b</w:t>
      </w:r>
      <w:r w:rsidRPr="00237A2C">
        <w:t>i</w:t>
      </w:r>
      <w:r w:rsidRPr="00237A2C">
        <w:t>dragsbeloppen uppgår till ca 4 miljarder kronor per år.</w:t>
      </w:r>
    </w:p>
    <w:p w:rsidR="00AE50BA" w:rsidRPr="00237A2C" w:rsidRDefault="00AE50BA">
      <w:pPr>
        <w:numPr>
          <w:ilvl w:val="0"/>
          <w:numId w:val="37"/>
        </w:numPr>
        <w:pBdr>
          <w:top w:val="single" w:sz="4" w:space="1" w:color="auto"/>
          <w:left w:val="single" w:sz="4" w:space="4" w:color="auto"/>
          <w:bottom w:val="single" w:sz="4" w:space="1" w:color="auto"/>
          <w:right w:val="single" w:sz="4" w:space="4" w:color="auto"/>
        </w:pBdr>
      </w:pPr>
      <w:r w:rsidRPr="00237A2C">
        <w:t>Att regeringen i vissa fall fungerar som bidragsfördelare går enligt rev</w:t>
      </w:r>
      <w:r w:rsidRPr="00237A2C">
        <w:t>i</w:t>
      </w:r>
      <w:r w:rsidRPr="00237A2C">
        <w:t>sorerna att förena med den s.k. svenska förvaltningsmodellen. Att reg</w:t>
      </w:r>
      <w:r w:rsidRPr="00237A2C">
        <w:t>e</w:t>
      </w:r>
      <w:r w:rsidRPr="00237A2C">
        <w:t>ringen själv hanterar enskilda bidragssystem bör emellertid enligt rev</w:t>
      </w:r>
      <w:r w:rsidRPr="00237A2C">
        <w:t>i</w:t>
      </w:r>
      <w:r w:rsidRPr="00237A2C">
        <w:t>sorerna endast förekomma undantagsvis (avsnitt 7.2).</w:t>
      </w:r>
    </w:p>
    <w:p w:rsidR="00AE50BA" w:rsidRPr="00237A2C" w:rsidRDefault="00AE50BA">
      <w:pPr>
        <w:numPr>
          <w:ilvl w:val="0"/>
          <w:numId w:val="38"/>
        </w:numPr>
        <w:pBdr>
          <w:top w:val="single" w:sz="4" w:space="1" w:color="auto"/>
          <w:left w:val="single" w:sz="4" w:space="4" w:color="auto"/>
          <w:bottom w:val="single" w:sz="4" w:space="1" w:color="auto"/>
          <w:right w:val="single" w:sz="4" w:space="4" w:color="auto"/>
        </w:pBdr>
      </w:pPr>
      <w:r w:rsidRPr="00237A2C">
        <w:t>Revisorerna anser att restriktivitet bör iakttas i användningen av statligt stöd i projektform. Grundprincipen bör vara att statliga medel till olika offentliga verksamheter ska fördelas i generella termer, efter förutb</w:t>
      </w:r>
      <w:r w:rsidRPr="00237A2C">
        <w:t>e</w:t>
      </w:r>
      <w:r w:rsidRPr="00237A2C">
        <w:t>stämda kriterier och kanaliseras till den ordinarie verksamheten (avsnitt 7.3).</w:t>
      </w:r>
    </w:p>
    <w:p w:rsidR="00AE50BA" w:rsidRPr="00237A2C" w:rsidRDefault="00AE50BA">
      <w:pPr>
        <w:numPr>
          <w:ilvl w:val="0"/>
          <w:numId w:val="44"/>
        </w:numPr>
        <w:pBdr>
          <w:top w:val="single" w:sz="4" w:space="1" w:color="auto"/>
          <w:left w:val="single" w:sz="4" w:space="4" w:color="auto"/>
          <w:bottom w:val="single" w:sz="4" w:space="1" w:color="auto"/>
          <w:right w:val="single" w:sz="4" w:space="4" w:color="auto"/>
        </w:pBdr>
      </w:pPr>
      <w:r w:rsidRPr="00237A2C">
        <w:t>Enligt revisorernas mening kan det i vissa fall vara ändamålsenligt att regeringen tar på sig det operativa ansvaret för bidragshantering. U</w:t>
      </w:r>
      <w:r w:rsidRPr="00237A2C">
        <w:t>t</w:t>
      </w:r>
      <w:r w:rsidRPr="00237A2C">
        <w:t>gångspunkten i sådana fall bör vara att detta sker under en begränsad tid  (avsnitt 7.4).</w:t>
      </w:r>
    </w:p>
    <w:p w:rsidR="00AE50BA" w:rsidRPr="00237A2C" w:rsidRDefault="00AE50BA">
      <w:pPr>
        <w:numPr>
          <w:ilvl w:val="0"/>
          <w:numId w:val="39"/>
        </w:numPr>
        <w:pBdr>
          <w:top w:val="single" w:sz="4" w:space="1" w:color="auto"/>
          <w:left w:val="single" w:sz="4" w:space="4" w:color="auto"/>
          <w:bottom w:val="single" w:sz="4" w:space="1" w:color="auto"/>
          <w:right w:val="single" w:sz="4" w:space="4" w:color="auto"/>
        </w:pBdr>
      </w:pPr>
      <w:r w:rsidRPr="00237A2C">
        <w:t>Om regeringen själv avser att fungera som bidragsfördelare bör detta enligt revisorerna anmälas och motiveras i samband med att budgetfö</w:t>
      </w:r>
      <w:r w:rsidRPr="00237A2C">
        <w:t>r</w:t>
      </w:r>
      <w:r w:rsidRPr="00237A2C">
        <w:t>slag läggs fram för riksdagen (avsnitt 7.4).</w:t>
      </w:r>
    </w:p>
    <w:p w:rsidR="00AE50BA" w:rsidRPr="00237A2C" w:rsidRDefault="00AE50BA">
      <w:pPr>
        <w:numPr>
          <w:ilvl w:val="0"/>
          <w:numId w:val="41"/>
        </w:numPr>
        <w:pBdr>
          <w:top w:val="single" w:sz="4" w:space="1" w:color="auto"/>
          <w:left w:val="single" w:sz="4" w:space="4" w:color="auto"/>
          <w:bottom w:val="single" w:sz="4" w:space="1" w:color="auto"/>
          <w:right w:val="single" w:sz="4" w:space="4" w:color="auto"/>
        </w:pBdr>
      </w:pPr>
      <w:r w:rsidRPr="00237A2C">
        <w:t>Riksdagen behöver ett bättre beslutsunderlag och en utökad resultatra</w:t>
      </w:r>
      <w:r w:rsidRPr="00237A2C">
        <w:t>p</w:t>
      </w:r>
      <w:r w:rsidRPr="00237A2C">
        <w:t>portering. Ökade krav bör därför ställas på redovisningen till riksdagen av mål och resultat när regeringen eller Regeringskansliet disponerar a</w:t>
      </w:r>
      <w:r w:rsidRPr="00237A2C">
        <w:t>n</w:t>
      </w:r>
      <w:r w:rsidRPr="00237A2C">
        <w:t>slagsmedel. Föreskrifterna på området bör ändras och preciseras (avsnitt 7.5).</w:t>
      </w:r>
    </w:p>
    <w:p w:rsidR="00AE50BA" w:rsidRPr="00237A2C" w:rsidRDefault="00AE50BA">
      <w:pPr>
        <w:numPr>
          <w:ilvl w:val="0"/>
          <w:numId w:val="45"/>
        </w:numPr>
        <w:pBdr>
          <w:top w:val="single" w:sz="4" w:space="1" w:color="auto"/>
          <w:left w:val="single" w:sz="4" w:space="4" w:color="auto"/>
          <w:bottom w:val="single" w:sz="4" w:space="1" w:color="auto"/>
          <w:right w:val="single" w:sz="4" w:space="4" w:color="auto"/>
        </w:pBdr>
      </w:pPr>
      <w:r w:rsidRPr="00237A2C">
        <w:t>Regeringens berednings- och beslutsprocess i samband med att bidrag hanteras behöver förbättras. Revisorerna anser att regeringens beslut om fördelning av stöd i projektform i princip bör regleras i en författning. Det kan i regel också vara lämpligt att tillskapa särskilda delegationer</w:t>
      </w:r>
      <w:r w:rsidRPr="00237A2C">
        <w:t xml:space="preserve"> med uppgift att svara för bere</w:t>
      </w:r>
      <w:r w:rsidRPr="00237A2C">
        <w:t>d</w:t>
      </w:r>
      <w:r w:rsidRPr="00237A2C">
        <w:t>nings- och beslutsuppgifter (avsnitt 7.6).</w:t>
      </w:r>
    </w:p>
    <w:p w:rsidR="00AE50BA" w:rsidRPr="00237A2C" w:rsidRDefault="00AE50BA">
      <w:pPr>
        <w:numPr>
          <w:ilvl w:val="0"/>
          <w:numId w:val="46"/>
        </w:numPr>
        <w:pBdr>
          <w:top w:val="single" w:sz="4" w:space="1" w:color="auto"/>
          <w:left w:val="single" w:sz="4" w:space="4" w:color="auto"/>
          <w:bottom w:val="single" w:sz="4" w:space="1" w:color="auto"/>
          <w:right w:val="single" w:sz="4" w:space="4" w:color="auto"/>
        </w:pBdr>
      </w:pPr>
      <w:r w:rsidRPr="00237A2C">
        <w:t>Kraven på redovisning och revision behöver skärpas. Regeringskansliet bör inte fortsättningsvis undantas från kravet på resultatredovisning i de fall regeringen tar på sig rollen som bidragsfördelare. Regeringskansliet bör överväga ett antal förändringar i den ekonomiadministrativa hant</w:t>
      </w:r>
      <w:r w:rsidRPr="00237A2C">
        <w:t>e</w:t>
      </w:r>
      <w:r w:rsidRPr="00237A2C">
        <w:t>ringen av de anslag som regeringen förfogar över. Regeringskansliets internrevision bör också granska dessa anslags användning (avsnitt 7.7).</w:t>
      </w:r>
    </w:p>
    <w:p w:rsidR="00AE50BA" w:rsidRPr="00237A2C" w:rsidRDefault="00AE50BA">
      <w:pPr>
        <w:numPr>
          <w:ilvl w:val="0"/>
          <w:numId w:val="46"/>
        </w:numPr>
        <w:pBdr>
          <w:top w:val="single" w:sz="4" w:space="1" w:color="auto"/>
          <w:left w:val="single" w:sz="4" w:space="4" w:color="auto"/>
          <w:bottom w:val="single" w:sz="4" w:space="1" w:color="auto"/>
          <w:right w:val="single" w:sz="4" w:space="4" w:color="auto"/>
        </w:pBdr>
      </w:pPr>
      <w:r w:rsidRPr="00237A2C">
        <w:t xml:space="preserve"> Regeringen bör göra en samlad genomgång av de förändringar av för</w:t>
      </w:r>
      <w:r w:rsidRPr="00237A2C">
        <w:t>e</w:t>
      </w:r>
      <w:r w:rsidRPr="00237A2C">
        <w:t>skrifter m.m. som föranleds av revisorernas förslag (avsnitt 7.8).</w:t>
      </w:r>
    </w:p>
    <w:p w:rsidR="00AE50BA" w:rsidRPr="00237A2C" w:rsidRDefault="00AE50BA">
      <w:pPr>
        <w:pStyle w:val="Rubrik1"/>
      </w:pPr>
      <w:bookmarkStart w:id="195" w:name="_Toc509125599"/>
      <w:bookmarkStart w:id="196" w:name="_Toc509738031"/>
      <w:bookmarkStart w:id="197" w:name="_Toc516991651"/>
      <w:r w:rsidRPr="00237A2C">
        <w:t>8 Referenser</w:t>
      </w:r>
      <w:bookmarkEnd w:id="195"/>
      <w:bookmarkEnd w:id="196"/>
      <w:bookmarkEnd w:id="197"/>
    </w:p>
    <w:p w:rsidR="00AE50BA" w:rsidRPr="00237A2C" w:rsidRDefault="00AE50BA">
      <w:r w:rsidRPr="00237A2C">
        <w:rPr>
          <w:i/>
        </w:rPr>
        <w:t>Budgetpropositionerna</w:t>
      </w:r>
      <w:r w:rsidRPr="00237A2C">
        <w:t xml:space="preserve"> för budgetåren 1995/96, 1997, 1998, 1999, 2000 och 2001</w:t>
      </w:r>
    </w:p>
    <w:p w:rsidR="00AE50BA" w:rsidRPr="00237A2C" w:rsidRDefault="00AE50BA">
      <w:r w:rsidRPr="00237A2C">
        <w:rPr>
          <w:i/>
        </w:rPr>
        <w:t>Kompletteringspropositionen</w:t>
      </w:r>
      <w:r w:rsidRPr="00237A2C">
        <w:t xml:space="preserve"> våren 1996 samt 1997, 1998, 1999 och 2000 års </w:t>
      </w:r>
      <w:r w:rsidRPr="00237A2C">
        <w:rPr>
          <w:i/>
        </w:rPr>
        <w:t>ekonomiska vårpropositi</w:t>
      </w:r>
      <w:r w:rsidRPr="00237A2C">
        <w:rPr>
          <w:i/>
        </w:rPr>
        <w:t>o</w:t>
      </w:r>
      <w:r w:rsidRPr="00237A2C">
        <w:rPr>
          <w:i/>
        </w:rPr>
        <w:t>ner</w:t>
      </w:r>
    </w:p>
    <w:p w:rsidR="00AE50BA" w:rsidRPr="00237A2C" w:rsidRDefault="00AE50BA">
      <w:r w:rsidRPr="00237A2C">
        <w:t xml:space="preserve">Proposition 1995/95:220 </w:t>
      </w:r>
      <w:r w:rsidRPr="00237A2C">
        <w:rPr>
          <w:i/>
        </w:rPr>
        <w:t>Lag om statsbudgeten</w:t>
      </w:r>
    </w:p>
    <w:p w:rsidR="00AE50BA" w:rsidRPr="00237A2C" w:rsidRDefault="00AE50BA">
      <w:pPr>
        <w:rPr>
          <w:i/>
        </w:rPr>
      </w:pPr>
      <w:r w:rsidRPr="00237A2C">
        <w:t>Proposition 1995/96:222 V</w:t>
      </w:r>
      <w:r w:rsidRPr="00237A2C">
        <w:rPr>
          <w:i/>
        </w:rPr>
        <w:t>issa åtgärder för att halvera arbetslösheten till år 2000 m.m.</w:t>
      </w:r>
    </w:p>
    <w:p w:rsidR="00AE50BA" w:rsidRPr="00237A2C" w:rsidRDefault="00AE50BA">
      <w:r w:rsidRPr="00237A2C">
        <w:t xml:space="preserve">Finansutskottets, socialförsäkringsutskottets, utbildningsutskottets, miljö- och jordbruksutskottets, näringsutskottets och bostadsutskottets </w:t>
      </w:r>
      <w:r w:rsidRPr="00237A2C">
        <w:rPr>
          <w:i/>
        </w:rPr>
        <w:t>utgiftsbetä</w:t>
      </w:r>
      <w:r w:rsidRPr="00237A2C">
        <w:rPr>
          <w:i/>
        </w:rPr>
        <w:t>n</w:t>
      </w:r>
      <w:r w:rsidRPr="00237A2C">
        <w:rPr>
          <w:i/>
        </w:rPr>
        <w:t xml:space="preserve">kanden </w:t>
      </w:r>
      <w:r w:rsidRPr="00237A2C">
        <w:t>för budgetåren 1997, 1998, 1999 och 2000</w:t>
      </w:r>
    </w:p>
    <w:p w:rsidR="00AE50BA" w:rsidRPr="00237A2C" w:rsidRDefault="00AE50BA">
      <w:r w:rsidRPr="00237A2C">
        <w:t xml:space="preserve">Konstitutionsutskottets betänkanden 1996/97:KU3 </w:t>
      </w:r>
      <w:r w:rsidRPr="00237A2C">
        <w:rPr>
          <w:i/>
        </w:rPr>
        <w:t>Lag om statsbudgeten</w:t>
      </w:r>
      <w:r w:rsidRPr="00237A2C">
        <w:t xml:space="preserve">, 1996/97:KU25 </w:t>
      </w:r>
      <w:r w:rsidRPr="00237A2C">
        <w:rPr>
          <w:i/>
        </w:rPr>
        <w:t>Granskning av statsrådens tjänsteutövning och regerings-ärendenas handläggning</w:t>
      </w:r>
      <w:r w:rsidRPr="00237A2C">
        <w:t xml:space="preserve"> och 2000/01:KU10 </w:t>
      </w:r>
      <w:r w:rsidRPr="00237A2C">
        <w:rPr>
          <w:i/>
        </w:rPr>
        <w:t>Granskning av statsrådens tjänsteutö</w:t>
      </w:r>
      <w:r w:rsidRPr="00237A2C">
        <w:rPr>
          <w:i/>
        </w:rPr>
        <w:t>v</w:t>
      </w:r>
      <w:r w:rsidRPr="00237A2C">
        <w:rPr>
          <w:i/>
        </w:rPr>
        <w:t>ning och regeringsärendenas handläggning</w:t>
      </w:r>
    </w:p>
    <w:p w:rsidR="00AE50BA" w:rsidRPr="00237A2C" w:rsidRDefault="00AE50BA">
      <w:r w:rsidRPr="00237A2C">
        <w:rPr>
          <w:i/>
        </w:rPr>
        <w:t>Statsliggaren</w:t>
      </w:r>
      <w:r w:rsidRPr="00237A2C">
        <w:t xml:space="preserve"> för budgetåren 1995/96, 1997, 1998, 1999 och 2000</w:t>
      </w:r>
    </w:p>
    <w:p w:rsidR="00AE50BA" w:rsidRPr="00237A2C" w:rsidRDefault="00AE50BA">
      <w:pPr>
        <w:pStyle w:val="Citat"/>
        <w:spacing w:before="122" w:line="245" w:lineRule="exact"/>
      </w:pPr>
      <w:r w:rsidRPr="00237A2C">
        <w:t xml:space="preserve">Ds 1998:39 </w:t>
      </w:r>
      <w:r w:rsidRPr="00237A2C">
        <w:rPr>
          <w:i/>
        </w:rPr>
        <w:t>Gula boken – handläggning av ärenden i Regeringskansliet</w:t>
      </w:r>
    </w:p>
    <w:p w:rsidR="00AE50BA" w:rsidRPr="00237A2C" w:rsidRDefault="00AE50BA">
      <w:pPr>
        <w:rPr>
          <w:i/>
        </w:rPr>
      </w:pPr>
      <w:r w:rsidRPr="00237A2C">
        <w:t xml:space="preserve">Ds 2000:27 </w:t>
      </w:r>
      <w:r w:rsidRPr="00237A2C">
        <w:rPr>
          <w:i/>
        </w:rPr>
        <w:t>Vad kostar det att regera? En studie av Regeringskansliets d</w:t>
      </w:r>
      <w:r w:rsidRPr="00237A2C">
        <w:rPr>
          <w:i/>
        </w:rPr>
        <w:t>i</w:t>
      </w:r>
      <w:r w:rsidRPr="00237A2C">
        <w:rPr>
          <w:i/>
        </w:rPr>
        <w:t xml:space="preserve">mensionering nu </w:t>
      </w:r>
      <w:r w:rsidRPr="00237A2C">
        <w:rPr>
          <w:i/>
        </w:rPr>
        <w:sym w:font="Symbol" w:char="F02D"/>
      </w:r>
      <w:r w:rsidRPr="00237A2C">
        <w:rPr>
          <w:i/>
        </w:rPr>
        <w:t xml:space="preserve">  och i framtiden</w:t>
      </w:r>
    </w:p>
    <w:p w:rsidR="00AE50BA" w:rsidRPr="00237A2C" w:rsidRDefault="00AE50BA">
      <w:r w:rsidRPr="00237A2C">
        <w:t xml:space="preserve">Ekonomisk Debatt 2000, nr 4. </w:t>
      </w:r>
      <w:r w:rsidRPr="00237A2C">
        <w:rPr>
          <w:i/>
        </w:rPr>
        <w:t>Om regeringars röstköpsbeteende</w:t>
      </w:r>
      <w:r w:rsidRPr="00237A2C">
        <w:t>. Matz Dahlberg och Eva Johansson</w:t>
      </w:r>
    </w:p>
    <w:p w:rsidR="00AE50BA" w:rsidRPr="00237A2C" w:rsidRDefault="00AE50BA">
      <w:r w:rsidRPr="00237A2C">
        <w:t xml:space="preserve">ESV 1999:2 </w:t>
      </w:r>
      <w:r w:rsidRPr="00237A2C">
        <w:rPr>
          <w:i/>
        </w:rPr>
        <w:t>Ekonimiadministrativa bestämmelser för statlig verksamhet</w:t>
      </w:r>
    </w:p>
    <w:p w:rsidR="00AE50BA" w:rsidRPr="00237A2C" w:rsidRDefault="00AE50BA">
      <w:r w:rsidRPr="00237A2C">
        <w:rPr>
          <w:i/>
        </w:rPr>
        <w:t xml:space="preserve">Handledning för arbetet med regleringsbrev och andra styrdokument för år 2000. </w:t>
      </w:r>
      <w:r w:rsidRPr="00237A2C">
        <w:t>Cirkulär nr Fi 1999:6, Finansdepartementets budgetavdelning</w:t>
      </w:r>
    </w:p>
    <w:p w:rsidR="00AE50BA" w:rsidRPr="00237A2C" w:rsidRDefault="00AE50BA">
      <w:r w:rsidRPr="00237A2C">
        <w:rPr>
          <w:i/>
        </w:rPr>
        <w:t>Utformning av budgetpropositionen för 2001</w:t>
      </w:r>
      <w:r w:rsidRPr="00237A2C">
        <w:t>. Cirkulär nr Fi 2000:6, Finan</w:t>
      </w:r>
      <w:r w:rsidRPr="00237A2C">
        <w:t>s</w:t>
      </w:r>
      <w:r w:rsidRPr="00237A2C">
        <w:t>d</w:t>
      </w:r>
      <w:r w:rsidRPr="00237A2C">
        <w:t>e</w:t>
      </w:r>
      <w:r w:rsidRPr="00237A2C">
        <w:t>partementets budgetavdelning</w:t>
      </w:r>
    </w:p>
    <w:p w:rsidR="00AE50BA" w:rsidRPr="00237A2C" w:rsidRDefault="00AE50BA">
      <w:r w:rsidRPr="00237A2C">
        <w:t xml:space="preserve">RRV 1999:22 </w:t>
      </w:r>
      <w:r w:rsidRPr="00237A2C">
        <w:rPr>
          <w:i/>
        </w:rPr>
        <w:t>Riksrevisionsverkets årliga rapport 1999  till regeringen</w:t>
      </w:r>
    </w:p>
    <w:p w:rsidR="00AE50BA" w:rsidRPr="00237A2C" w:rsidRDefault="00AE50BA">
      <w:pPr>
        <w:rPr>
          <w:i/>
        </w:rPr>
      </w:pPr>
      <w:r w:rsidRPr="00237A2C">
        <w:t xml:space="preserve">RRV 1999:28 </w:t>
      </w:r>
      <w:r w:rsidRPr="00237A2C">
        <w:rPr>
          <w:i/>
        </w:rPr>
        <w:t>Miljarden som försvann. En granskning av kretsloppsmilja</w:t>
      </w:r>
      <w:r w:rsidRPr="00237A2C">
        <w:rPr>
          <w:i/>
        </w:rPr>
        <w:t>r</w:t>
      </w:r>
      <w:r w:rsidRPr="00237A2C">
        <w:rPr>
          <w:i/>
        </w:rPr>
        <w:t>den</w:t>
      </w:r>
    </w:p>
    <w:p w:rsidR="00AE50BA" w:rsidRPr="00237A2C" w:rsidRDefault="00AE50BA">
      <w:pPr>
        <w:rPr>
          <w:i/>
        </w:rPr>
      </w:pPr>
      <w:r w:rsidRPr="00237A2C">
        <w:t xml:space="preserve">RRV 1999:37 </w:t>
      </w:r>
      <w:r w:rsidRPr="00237A2C">
        <w:rPr>
          <w:i/>
        </w:rPr>
        <w:t>De lokala investeringsprogrammen i praktiken. En uppföljning av kommunernas arbete</w:t>
      </w:r>
    </w:p>
    <w:p w:rsidR="00AE50BA" w:rsidRPr="00237A2C" w:rsidRDefault="00AE50BA">
      <w:pPr>
        <w:rPr>
          <w:i/>
        </w:rPr>
      </w:pPr>
      <w:r w:rsidRPr="00237A2C">
        <w:t xml:space="preserve">RRV 2000:16 </w:t>
      </w:r>
      <w:r w:rsidRPr="00237A2C">
        <w:rPr>
          <w:i/>
        </w:rPr>
        <w:t>Riksrevisionsverkets årliga rapport 2000 till regeringen</w:t>
      </w:r>
    </w:p>
    <w:p w:rsidR="00AE50BA" w:rsidRPr="00237A2C" w:rsidRDefault="00AE50BA">
      <w:pPr>
        <w:rPr>
          <w:i/>
        </w:rPr>
      </w:pPr>
      <w:r w:rsidRPr="00237A2C">
        <w:t xml:space="preserve">Riksdagens revisorer, förslag till riksdagen 1999/2000:RR3. </w:t>
      </w:r>
      <w:r w:rsidRPr="00237A2C">
        <w:rPr>
          <w:i/>
        </w:rPr>
        <w:t>Statligt stöd till lokala investeringsprogram för en ekologiskt hållbar utveckling</w:t>
      </w:r>
    </w:p>
    <w:p w:rsidR="00AE50BA" w:rsidRPr="00237A2C" w:rsidRDefault="00AE50BA">
      <w:r w:rsidRPr="00237A2C">
        <w:t xml:space="preserve">Riksdagens revisorer, förstudie 1999/2000:17 </w:t>
      </w:r>
      <w:r w:rsidRPr="00237A2C">
        <w:rPr>
          <w:i/>
        </w:rPr>
        <w:t>Bidrag till särskilda insatser i vissa kommuner och landsting</w:t>
      </w:r>
    </w:p>
    <w:p w:rsidR="00AE50BA" w:rsidRPr="00237A2C" w:rsidRDefault="00AE50BA">
      <w:r w:rsidRPr="00237A2C">
        <w:t xml:space="preserve">Riksdagens revisorer, granskningspromemoria (1998/99:1) </w:t>
      </w:r>
      <w:r w:rsidRPr="00237A2C">
        <w:rPr>
          <w:i/>
        </w:rPr>
        <w:t>Svenska miljöi</w:t>
      </w:r>
      <w:r w:rsidRPr="00237A2C">
        <w:rPr>
          <w:i/>
        </w:rPr>
        <w:t>n</w:t>
      </w:r>
      <w:r w:rsidRPr="00237A2C">
        <w:rPr>
          <w:i/>
        </w:rPr>
        <w:t>satser i Baltikum</w:t>
      </w:r>
    </w:p>
    <w:p w:rsidR="00AE50BA" w:rsidRPr="00237A2C" w:rsidRDefault="00AE50BA">
      <w:r w:rsidRPr="00237A2C">
        <w:t xml:space="preserve">Riksdagens revisorer, granskningspromemoria 2000-03-22 </w:t>
      </w:r>
      <w:r w:rsidRPr="00237A2C">
        <w:rPr>
          <w:i/>
        </w:rPr>
        <w:t>Regeringens sydafr</w:t>
      </w:r>
      <w:r w:rsidRPr="00237A2C">
        <w:rPr>
          <w:i/>
        </w:rPr>
        <w:t>i</w:t>
      </w:r>
      <w:r w:rsidRPr="00237A2C">
        <w:rPr>
          <w:i/>
        </w:rPr>
        <w:t>kasatsning</w:t>
      </w:r>
    </w:p>
    <w:p w:rsidR="00AE50BA" w:rsidRPr="00237A2C" w:rsidRDefault="00AE50BA">
      <w:r w:rsidRPr="00237A2C">
        <w:t xml:space="preserve">Riksdagens revisorer, förstudie 2000/01:14 </w:t>
      </w:r>
      <w:r w:rsidRPr="00237A2C">
        <w:rPr>
          <w:i/>
        </w:rPr>
        <w:t>Östersjömiljarderna</w:t>
      </w:r>
    </w:p>
    <w:p w:rsidR="00AE50BA" w:rsidRPr="00237A2C" w:rsidRDefault="00AE50BA">
      <w:r w:rsidRPr="00237A2C">
        <w:t xml:space="preserve">SNS ekonomiråds rapport för år 2000 </w:t>
      </w:r>
      <w:r w:rsidRPr="00237A2C">
        <w:rPr>
          <w:i/>
        </w:rPr>
        <w:t>Politisk makt utan ansvar</w:t>
      </w:r>
    </w:p>
    <w:p w:rsidR="00AE50BA" w:rsidRPr="00237A2C" w:rsidRDefault="00AE50BA">
      <w:r w:rsidRPr="00237A2C">
        <w:t xml:space="preserve">Svenska Naturskyddsföreningen (rapport  9423/98). </w:t>
      </w:r>
      <w:r w:rsidRPr="00237A2C">
        <w:rPr>
          <w:i/>
        </w:rPr>
        <w:t>Konsten att använda 5,4 miljarder – En kritisk granskning av stödet  till de lokala investeringspro-grammen för hållbar utveckling</w:t>
      </w:r>
    </w:p>
    <w:p w:rsidR="00AE50BA" w:rsidRPr="00237A2C" w:rsidRDefault="00AE50BA">
      <w:r w:rsidRPr="00237A2C">
        <w:t xml:space="preserve">Statskontoret (1998:20) </w:t>
      </w:r>
      <w:r w:rsidRPr="00237A2C">
        <w:rPr>
          <w:i/>
        </w:rPr>
        <w:t>Kunskapslyftet som modell och metod – adhocrati och byråkrati</w:t>
      </w:r>
    </w:p>
    <w:p w:rsidR="00AE50BA" w:rsidRPr="00237A2C" w:rsidRDefault="00AE50BA">
      <w:r w:rsidRPr="00237A2C">
        <w:t xml:space="preserve">SOU 1996:14 </w:t>
      </w:r>
      <w:r w:rsidRPr="00237A2C">
        <w:rPr>
          <w:i/>
        </w:rPr>
        <w:t>Budgetlag – regeringens befogenheter på finansmaktens o</w:t>
      </w:r>
      <w:r w:rsidRPr="00237A2C">
        <w:rPr>
          <w:i/>
        </w:rPr>
        <w:t>m</w:t>
      </w:r>
      <w:r w:rsidRPr="00237A2C">
        <w:rPr>
          <w:i/>
        </w:rPr>
        <w:t>råde</w:t>
      </w:r>
      <w:r w:rsidRPr="00237A2C">
        <w:t>. Betänkande av Budgetlagutredningen</w:t>
      </w:r>
    </w:p>
    <w:p w:rsidR="00AE50BA" w:rsidRPr="00237A2C" w:rsidRDefault="00AE50BA">
      <w:r w:rsidRPr="00237A2C">
        <w:t xml:space="preserve">SOU 2000:28 </w:t>
      </w:r>
      <w:r w:rsidRPr="00237A2C">
        <w:rPr>
          <w:i/>
        </w:rPr>
        <w:t>Kunskapsbygget 2000 – det livslånga lärandet</w:t>
      </w:r>
      <w:r w:rsidRPr="00237A2C">
        <w:t>. Betänkande av Kunskapslyftskommittén</w:t>
      </w:r>
    </w:p>
    <w:p w:rsidR="00AE50BA" w:rsidRPr="00237A2C" w:rsidRDefault="00AE50BA">
      <w:r w:rsidRPr="00237A2C">
        <w:t>Årsredovisning för Regeringskansliet 1997, 1998, 1999 och 2000</w:t>
      </w:r>
    </w:p>
    <w:p w:rsidR="00AE50BA" w:rsidRPr="00237A2C" w:rsidRDefault="00AE50BA">
      <w:pPr>
        <w:rPr>
          <w:b/>
        </w:rPr>
      </w:pPr>
      <w:r w:rsidRPr="00237A2C">
        <w:rPr>
          <w:b/>
        </w:rPr>
        <w:t>Intervju- och kontaktpersoner</w:t>
      </w:r>
    </w:p>
    <w:p w:rsidR="00AE50BA" w:rsidRPr="00237A2C" w:rsidRDefault="00AE50BA">
      <w:r w:rsidRPr="00237A2C">
        <w:t>Per Virdesten, rättschef, Statsrådsberedningen</w:t>
      </w:r>
    </w:p>
    <w:p w:rsidR="00AE50BA" w:rsidRPr="00237A2C" w:rsidRDefault="00AE50BA">
      <w:r w:rsidRPr="00237A2C">
        <w:t>Bo Malmqvist, departementsråd, Statsrådsberedningen</w:t>
      </w:r>
    </w:p>
    <w:p w:rsidR="00AE50BA" w:rsidRPr="00237A2C" w:rsidRDefault="00AE50BA">
      <w:r w:rsidRPr="00237A2C">
        <w:t>Ulf Bengstsson, departementsråd, Finansdepartementet</w:t>
      </w:r>
    </w:p>
    <w:p w:rsidR="00AE50BA" w:rsidRPr="00237A2C" w:rsidRDefault="00AE50BA">
      <w:r w:rsidRPr="00237A2C">
        <w:t>Lotta Karle, departementssekreterare, Finansdepartementet</w:t>
      </w:r>
    </w:p>
    <w:p w:rsidR="00AE50BA" w:rsidRPr="00237A2C" w:rsidRDefault="00AE50BA">
      <w:r w:rsidRPr="00237A2C">
        <w:t>Folke Palmgren, revisionschef, Regeringskansliets revisionskontor</w:t>
      </w:r>
    </w:p>
    <w:p w:rsidR="00AE50BA" w:rsidRPr="00237A2C" w:rsidRDefault="00AE50BA">
      <w:r w:rsidRPr="00237A2C">
        <w:t>Ewa Hedberg, kanslisekreterare, Regeringskansliets revisionskontor</w:t>
      </w:r>
    </w:p>
    <w:p w:rsidR="00AE50BA" w:rsidRPr="00237A2C" w:rsidRDefault="00AE50BA">
      <w:r w:rsidRPr="00237A2C">
        <w:t>Gunnel Horm, departementsråd, Miljödepartementet</w:t>
      </w:r>
    </w:p>
    <w:p w:rsidR="00AE50BA" w:rsidRPr="00237A2C" w:rsidRDefault="00AE50BA">
      <w:r w:rsidRPr="00237A2C">
        <w:t>Per Molander, forskningsledare, SNS</w:t>
      </w:r>
    </w:p>
    <w:p w:rsidR="00AE50BA" w:rsidRPr="00237A2C" w:rsidRDefault="00AE50BA">
      <w:r w:rsidRPr="00237A2C">
        <w:t>Hans Hegeland, föredragande, finansutskottet</w:t>
      </w:r>
    </w:p>
    <w:p w:rsidR="00AE50BA" w:rsidRPr="00237A2C" w:rsidRDefault="00AE50BA">
      <w:r w:rsidRPr="00237A2C">
        <w:t>Kari Hasselberg, föredragande, socialförsäkringsutskottet</w:t>
      </w:r>
    </w:p>
    <w:p w:rsidR="00AE50BA" w:rsidRPr="00237A2C" w:rsidRDefault="00AE50BA">
      <w:r w:rsidRPr="00237A2C">
        <w:t>Eva Sjöberg, föredragande, utbildningsutskottet</w:t>
      </w:r>
    </w:p>
    <w:p w:rsidR="00AE50BA" w:rsidRPr="00237A2C" w:rsidRDefault="00AE50BA">
      <w:r w:rsidRPr="00237A2C">
        <w:t>Madeleine Holst, föredragande, miljö- och jordbruksutskottet</w:t>
      </w:r>
    </w:p>
    <w:p w:rsidR="00AE50BA" w:rsidRPr="00237A2C" w:rsidRDefault="00AE50BA">
      <w:r w:rsidRPr="00237A2C">
        <w:t>Karin Ståhlberg, föredragande, näringsutskottet</w:t>
      </w:r>
    </w:p>
    <w:p w:rsidR="00AE50BA" w:rsidRPr="00237A2C" w:rsidRDefault="00AE50BA">
      <w:r w:rsidRPr="00237A2C">
        <w:t>Anders Löfgren, föredragande, bostadsutskottet</w:t>
      </w:r>
    </w:p>
    <w:p w:rsidR="00AE50BA" w:rsidRPr="00237A2C" w:rsidRDefault="00AE50BA">
      <w:pPr>
        <w:pStyle w:val="Normaltindrag"/>
      </w:pPr>
    </w:p>
    <w:p w:rsidR="00AE50BA" w:rsidRPr="00237A2C" w:rsidRDefault="00AE50BA">
      <w:pPr>
        <w:pStyle w:val="Normaltindrag"/>
      </w:pPr>
    </w:p>
    <w:p w:rsidR="00AE50BA" w:rsidRPr="00237A2C" w:rsidRDefault="00AE50BA">
      <w:pPr>
        <w:pStyle w:val="Normaltindrag"/>
      </w:pPr>
    </w:p>
    <w:p w:rsidR="00AE50BA" w:rsidRPr="00237A2C" w:rsidRDefault="00AE50BA">
      <w:pPr>
        <w:pStyle w:val="Normaltindrag"/>
      </w:pPr>
    </w:p>
    <w:p w:rsidR="00AE50BA" w:rsidRPr="00237A2C" w:rsidRDefault="00AE50BA">
      <w:pPr>
        <w:pStyle w:val="Normaltindrag"/>
      </w:pPr>
    </w:p>
    <w:p w:rsidR="00AE50BA" w:rsidRPr="00237A2C" w:rsidRDefault="00AE50BA">
      <w:pPr>
        <w:pStyle w:val="Normaltindrag"/>
      </w:pPr>
    </w:p>
    <w:p w:rsidR="00AE50BA" w:rsidRPr="00237A2C" w:rsidRDefault="00AE50BA">
      <w:pPr>
        <w:pStyle w:val="Rubrik1"/>
        <w:sectPr w:rsidR="00000000" w:rsidRPr="00237A2C">
          <w:headerReference w:type="default" r:id="rId23"/>
          <w:pgSz w:w="11906" w:h="16838" w:code="9"/>
          <w:pgMar w:top="567" w:right="4876" w:bottom="4508" w:left="1134" w:header="227" w:footer="227" w:gutter="0"/>
          <w:cols w:space="720"/>
        </w:sectPr>
      </w:pPr>
    </w:p>
    <w:p w:rsidR="00AE50BA" w:rsidRPr="00237A2C" w:rsidRDefault="00AE50BA">
      <w:pPr>
        <w:pStyle w:val="Rubrik1"/>
        <w:sectPr w:rsidR="00000000" w:rsidRPr="00237A2C">
          <w:headerReference w:type="default" r:id="rId24"/>
          <w:pgSz w:w="11906" w:h="16838" w:code="9"/>
          <w:pgMar w:top="567" w:right="4876" w:bottom="4508" w:left="1134" w:header="227" w:footer="227" w:gutter="0"/>
          <w:cols w:space="720"/>
        </w:sectPr>
      </w:pPr>
    </w:p>
    <w:p w:rsidR="00AE50BA" w:rsidRPr="00237A2C" w:rsidRDefault="00AE50BA">
      <w:pPr>
        <w:pStyle w:val="Rubrik1"/>
      </w:pPr>
      <w:bookmarkStart w:id="198" w:name="_Toc509125600"/>
      <w:bookmarkStart w:id="199" w:name="_Toc509738032"/>
      <w:r w:rsidRPr="00237A2C">
        <w:tab/>
      </w:r>
      <w:r w:rsidRPr="00237A2C">
        <w:tab/>
      </w:r>
      <w:r w:rsidRPr="00237A2C">
        <w:tab/>
      </w:r>
      <w:bookmarkStart w:id="200" w:name="_Toc516991652"/>
      <w:r w:rsidRPr="00237A2C">
        <w:t>Bilaga 1</w:t>
      </w:r>
      <w:bookmarkEnd w:id="198"/>
      <w:bookmarkEnd w:id="199"/>
      <w:bookmarkEnd w:id="200"/>
    </w:p>
    <w:p w:rsidR="00AE50BA" w:rsidRPr="00237A2C" w:rsidRDefault="00AE50BA">
      <w:pPr>
        <w:pStyle w:val="Rubrik1"/>
      </w:pPr>
      <w:bookmarkStart w:id="201" w:name="_Toc509125601"/>
      <w:bookmarkStart w:id="202" w:name="_Toc509738033"/>
      <w:bookmarkStart w:id="203" w:name="_Toc516991653"/>
      <w:r w:rsidRPr="00237A2C">
        <w:t>De undersökta anslagens hantering i bugetprocessen</w:t>
      </w:r>
      <w:bookmarkEnd w:id="201"/>
      <w:bookmarkEnd w:id="202"/>
      <w:bookmarkEnd w:id="203"/>
    </w:p>
    <w:p w:rsidR="00AE50BA" w:rsidRPr="00237A2C" w:rsidRDefault="00AE50BA">
      <w:pPr>
        <w:pStyle w:val="Rubrik2"/>
      </w:pPr>
      <w:bookmarkStart w:id="204" w:name="_Toc509125602"/>
      <w:bookmarkStart w:id="205" w:name="_Toc509738034"/>
      <w:bookmarkStart w:id="206" w:name="_Toc516991654"/>
      <w:r w:rsidRPr="00237A2C">
        <w:t>1 Inledning</w:t>
      </w:r>
      <w:bookmarkEnd w:id="204"/>
      <w:bookmarkEnd w:id="205"/>
      <w:bookmarkEnd w:id="206"/>
    </w:p>
    <w:p w:rsidR="00AE50BA" w:rsidRPr="00237A2C" w:rsidRDefault="00AE50BA">
      <w:r w:rsidRPr="00237A2C">
        <w:t>I det följande görs en genomgång av hur de utvalda anslagen behandlats av riksdagen och regeringen i anslutning till budgetprocessen. Detta är väsen</w:t>
      </w:r>
      <w:r w:rsidRPr="00237A2C">
        <w:t>t</w:t>
      </w:r>
      <w:r w:rsidRPr="00237A2C">
        <w:t>ligt för att kunna belysa hur samspelet mellan de två statsorganen fungerar. Budgetpropositionerna är det grundläggande beslutsunderlaget för riksd</w:t>
      </w:r>
      <w:r w:rsidRPr="00237A2C">
        <w:t>a</w:t>
      </w:r>
      <w:r w:rsidRPr="00237A2C">
        <w:t>gens beslut att anvisa medel till olika ändamål. Det är också främst i detta sammanhang som regeringen återrapporterar till riksdagen om de resultat som uppnåtts. I anslutning till beredningen av regeringens förslag är det intressant att belysa om riksdagen  ställt krav på ett förbättrat beslutsunderlag eller om riksdagen angett ytterligare villkor för anslagen</w:t>
      </w:r>
      <w:r w:rsidRPr="00237A2C">
        <w:t>s användande. Det är också av intresse att kartlägga  hur de olika partierna i riksdagen ställt sig till regeringens förslag.</w:t>
      </w:r>
    </w:p>
    <w:p w:rsidR="00AE50BA" w:rsidRPr="00237A2C" w:rsidRDefault="00AE50BA">
      <w:pPr>
        <w:pStyle w:val="Normaltindrag"/>
      </w:pPr>
      <w:r w:rsidRPr="00237A2C">
        <w:t>Genomgången inleds med en beskrivning av bakgrund, motiv och mål för anslagen inom de aktuella områdena såsom de anges av regeringen i främst propositionerna. Därefter redogörs för resursfrågor, olika genomförandefr</w:t>
      </w:r>
      <w:r w:rsidRPr="00237A2C">
        <w:t>å</w:t>
      </w:r>
      <w:r w:rsidRPr="00237A2C">
        <w:t>gor, frågor om hur kontrollen av de anslagna medlen redovisats samt vilken återrapportering  som gjorts till riksdagen.</w:t>
      </w:r>
    </w:p>
    <w:p w:rsidR="00AE50BA" w:rsidRPr="00237A2C" w:rsidRDefault="00AE50BA">
      <w:pPr>
        <w:pStyle w:val="Rubrik2"/>
      </w:pPr>
      <w:bookmarkStart w:id="207" w:name="_Toc509125603"/>
      <w:bookmarkStart w:id="208" w:name="_Toc509738035"/>
      <w:bookmarkStart w:id="209" w:name="_Toc516991655"/>
      <w:r w:rsidRPr="00237A2C">
        <w:t>2 Anslagen</w:t>
      </w:r>
      <w:bookmarkEnd w:id="207"/>
      <w:bookmarkEnd w:id="208"/>
      <w:bookmarkEnd w:id="209"/>
    </w:p>
    <w:p w:rsidR="00AE50BA" w:rsidRPr="00237A2C" w:rsidRDefault="00AE50BA">
      <w:pPr>
        <w:pStyle w:val="Rubrik3"/>
      </w:pPr>
      <w:bookmarkStart w:id="210" w:name="_Toc509125604"/>
      <w:bookmarkStart w:id="211" w:name="_Toc509738036"/>
      <w:bookmarkStart w:id="212" w:name="_Toc516991656"/>
      <w:r w:rsidRPr="00237A2C">
        <w:t>2.1 Särskilda insatser i kommuner och landsting (Kommunakut m.m.)</w:t>
      </w:r>
      <w:bookmarkEnd w:id="210"/>
      <w:bookmarkEnd w:id="211"/>
      <w:bookmarkEnd w:id="212"/>
    </w:p>
    <w:p w:rsidR="00AE50BA" w:rsidRPr="00237A2C" w:rsidRDefault="00AE50BA">
      <w:pPr>
        <w:rPr>
          <w:i/>
        </w:rPr>
      </w:pPr>
      <w:r w:rsidRPr="00237A2C">
        <w:rPr>
          <w:i/>
        </w:rPr>
        <w:t>Bakgrund, motiv och mål</w:t>
      </w:r>
    </w:p>
    <w:p w:rsidR="00AE50BA" w:rsidRPr="00237A2C" w:rsidRDefault="00AE50BA">
      <w:r w:rsidRPr="00237A2C">
        <w:t>Anslaget infördes fr.o.m. år 1996 i anslutning till riksdagens beslut om ett nytt utjämningssystem för kommuner och landsting. I 1995 års komplett</w:t>
      </w:r>
      <w:r w:rsidRPr="00237A2C">
        <w:t>e</w:t>
      </w:r>
      <w:r w:rsidRPr="00237A2C">
        <w:t>ringsproposition (prop. 1994/95:150) angavs att syftet var att tillfälligt bistå vissa kommuner och landsting som kunde få problem i samband med inf</w:t>
      </w:r>
      <w:r w:rsidRPr="00237A2C">
        <w:t>ö</w:t>
      </w:r>
      <w:r w:rsidRPr="00237A2C">
        <w:t>randet av det nya utjämningssy</w:t>
      </w:r>
      <w:r w:rsidRPr="00237A2C">
        <w:t>s</w:t>
      </w:r>
      <w:r w:rsidRPr="00237A2C">
        <w:t xml:space="preserve">temet. </w:t>
      </w:r>
    </w:p>
    <w:p w:rsidR="00AE50BA" w:rsidRPr="00237A2C" w:rsidRDefault="00AE50BA">
      <w:pPr>
        <w:pStyle w:val="Normaltindrag"/>
      </w:pPr>
      <w:r w:rsidRPr="00237A2C">
        <w:t>Det ursprungliga syftet med anslaget har därefter i viss mån förändrats. Anslaget har senare utnyttjats bl.a. för omstruktureringsprojekt, för bidrag till förebyggande hiv/aidsverksamhet i kommuner och landsting, kommunkont</w:t>
      </w:r>
      <w:r w:rsidRPr="00237A2C">
        <w:t>o</w:t>
      </w:r>
      <w:r w:rsidRPr="00237A2C">
        <w:t>systemet, omställningsbidrag för landsting, kostnader i samband med öve</w:t>
      </w:r>
      <w:r w:rsidRPr="00237A2C">
        <w:t>r</w:t>
      </w:r>
      <w:r w:rsidRPr="00237A2C">
        <w:t>svämmningar sommaren 2000 samt som ett stöd till kommuner med öve</w:t>
      </w:r>
      <w:r w:rsidRPr="00237A2C">
        <w:t>r</w:t>
      </w:r>
      <w:r w:rsidRPr="00237A2C">
        <w:t>mäktiga åtaganden för boendet och för åtgärder i syfte att uppnå det lagsta</w:t>
      </w:r>
      <w:r w:rsidRPr="00237A2C">
        <w:t>d</w:t>
      </w:r>
      <w:r w:rsidRPr="00237A2C">
        <w:t>gade kravet på ekonomisk balans i kommuner och landsting. Anslaget har också alltmer fått en permanent k</w:t>
      </w:r>
      <w:r w:rsidRPr="00237A2C">
        <w:t>a</w:t>
      </w:r>
      <w:r w:rsidRPr="00237A2C">
        <w:t>raktär.</w:t>
      </w:r>
    </w:p>
    <w:p w:rsidR="00AE50BA" w:rsidRPr="00237A2C" w:rsidRDefault="00AE50BA">
      <w:pPr>
        <w:pStyle w:val="Normaltindrag"/>
      </w:pPr>
      <w:r w:rsidRPr="00237A2C">
        <w:t>Det kan noteras att i det s.k. skatteutjämningssystem som föregick det n</w:t>
      </w:r>
      <w:r w:rsidRPr="00237A2C">
        <w:t>u</w:t>
      </w:r>
      <w:r w:rsidRPr="00237A2C">
        <w:t>varande utjämningssystemet fanns ett extra skatteutjämningsbidrag som beslutades av regeringen. Syftet var att stödja kommuner i en besvärlig ek</w:t>
      </w:r>
      <w:r w:rsidRPr="00237A2C">
        <w:t>o</w:t>
      </w:r>
      <w:r w:rsidRPr="00237A2C">
        <w:t xml:space="preserve">nomisk situation. Bedömningsgrunderna för bidragens fördelning var inte reglerade i lag eller förordning. Till grund för fördelningen låg i stället vissa uttalanden av riksdagen samt regeringsbeslut om bidragens användning. </w:t>
      </w:r>
    </w:p>
    <w:p w:rsidR="00AE50BA" w:rsidRPr="00237A2C" w:rsidRDefault="00AE50BA">
      <w:pPr>
        <w:rPr>
          <w:i/>
        </w:rPr>
      </w:pPr>
      <w:r w:rsidRPr="00237A2C">
        <w:rPr>
          <w:i/>
        </w:rPr>
        <w:t>Anslagen</w:t>
      </w:r>
    </w:p>
    <w:p w:rsidR="00AE50BA" w:rsidRPr="00237A2C" w:rsidRDefault="00AE50BA">
      <w:r w:rsidRPr="00237A2C">
        <w:t>I samband med att riksdagen år 1995 beslutade om ett nytt utjämningssystem avsattes 400 miljoner kronor för år 1996 för att bistå kommuner och land</w:t>
      </w:r>
      <w:r w:rsidRPr="00237A2C">
        <w:t>s</w:t>
      </w:r>
      <w:r w:rsidRPr="00237A2C">
        <w:t xml:space="preserve">ting med en särskilt svår ekonomisk situation (prop.1994/95:150, prop.1995/96:64). I 1996 års ekonomiska vårproposition (prop. 1995/96:150) gjordes bedömningen att regeringen även fortsättningsvis borde ha tillgång till de extra resurser som de särskilda medlen utgjorde, bl.a. mot bakgrund av att vissa kommuner hade stora borgensåtaganden. Medel borde därför enligt regeringen avsättas även för budgetåren 1997 och 1998. </w:t>
      </w:r>
    </w:p>
    <w:p w:rsidR="00AE50BA" w:rsidRPr="00237A2C" w:rsidRDefault="00AE50BA">
      <w:pPr>
        <w:pStyle w:val="Normaltindrag"/>
      </w:pPr>
      <w:r w:rsidRPr="00237A2C">
        <w:t>Riksdagen beslutade sommaren 1996 efter förslag i den sysselsättningsp</w:t>
      </w:r>
      <w:r w:rsidRPr="00237A2C">
        <w:t>o</w:t>
      </w:r>
      <w:r w:rsidRPr="00237A2C">
        <w:t>litiska propositionen (prop. 1995/96:222) om att högst 200 miljoner kronor av de för år 1996 avsatta pengarna fick användas för omstruktureringsprojekt i kommuner och landsting.</w:t>
      </w:r>
    </w:p>
    <w:p w:rsidR="00AE50BA" w:rsidRPr="00237A2C" w:rsidRDefault="00AE50BA">
      <w:pPr>
        <w:pStyle w:val="Normaltindrag"/>
      </w:pPr>
      <w:r w:rsidRPr="00237A2C">
        <w:t>I budgetpropositionen för år 1997 (prop. 1996/97:1) föreslogs att 400 milj.kr skulle avsättas till anslaget för budgetåret 1997 och att regeringen bedömde att motsvarande anslag även skulle behöva tas upp för åren 1998 och 1999. Vänsterpartiet förordade i en partimotion att anslaget skulle utökas med 400 miljoner kroor så att det s</w:t>
      </w:r>
      <w:r w:rsidRPr="00237A2C">
        <w:t>ammanlagt skulle uppgå till 800 miljoner kronor för år 1997 (bet. 1996/97:FiU3 s. 11).</w:t>
      </w:r>
    </w:p>
    <w:p w:rsidR="00AE50BA" w:rsidRPr="00237A2C" w:rsidRDefault="00AE50BA">
      <w:pPr>
        <w:pStyle w:val="Normaltindrag"/>
      </w:pPr>
      <w:r w:rsidRPr="00237A2C">
        <w:t>I 1997 års ekonomiska vårproposition (prop. 1996/97:150) bedömde reg</w:t>
      </w:r>
      <w:r w:rsidRPr="00237A2C">
        <w:t>e</w:t>
      </w:r>
      <w:r w:rsidRPr="00237A2C">
        <w:t>ringen att det fortfarande fanns kommuner och landsting som på grund av speciella omständigheter kunde hamna i en särskilt svår ekonomisk situation. Regeringen föreslog en ökning av anslaget med 200 miljoner kronor för år 1997 på tilläggsbudget. För åren 1998 och 1999 bedömdes behoven till 800 respektive 600 miljoner kronor, dvs. en ökning med 400 respektive 200 miljoner kronor. I samband med behandlingen i riksdagen av förslaget  (bet. 1996/97:FiU20 s. 227) motionerade Folkpartiet om att de medel – samma</w:t>
      </w:r>
      <w:r w:rsidRPr="00237A2C">
        <w:t>n</w:t>
      </w:r>
      <w:r w:rsidRPr="00237A2C">
        <w:t>lagt 600 miljoner kronor – som för år 1997 avsatts till en särskild ”kommunakut” skulle destineras till de förortsområden runt våra större städer där segregation</w:t>
      </w:r>
      <w:r w:rsidRPr="00237A2C">
        <w:t>s</w:t>
      </w:r>
      <w:r w:rsidRPr="00237A2C">
        <w:t xml:space="preserve">problemen är allra störst. </w:t>
      </w:r>
    </w:p>
    <w:p w:rsidR="00AE50BA" w:rsidRPr="00237A2C" w:rsidRDefault="00AE50BA">
      <w:pPr>
        <w:pStyle w:val="Normaltindrag"/>
      </w:pPr>
      <w:r w:rsidRPr="00237A2C">
        <w:t>Efter förslag i budgetpropositionen för år 1998 (prop. 1997/98:1) beslöt riksdagen att för detta år anslå 736,6 miljoner kronor på anslaget. Folkpartiet upprepade därvid i en motion kravet på att villkoren för anslaget till särskilda insatser borde ändras så att medlen kom de mest utsatta stadsdelarna i sto</w:t>
      </w:r>
      <w:r w:rsidRPr="00237A2C">
        <w:t>r</w:t>
      </w:r>
      <w:r w:rsidRPr="00237A2C">
        <w:t>stadsområdena till del. Finansutskottet avstyrkte motionen och delade reg</w:t>
      </w:r>
      <w:r w:rsidRPr="00237A2C">
        <w:t>e</w:t>
      </w:r>
      <w:r w:rsidRPr="00237A2C">
        <w:t>ringens uppfattning att särskilda resurser vid sidan om det generella under en övergångsperiod behövdes för att efter bedömning från fall till fall hjälpa de ekonomiskt mest utsatta kommunerna och landstingen (bet. 1997/98:FiU3 s. 13).</w:t>
      </w:r>
    </w:p>
    <w:p w:rsidR="00AE50BA" w:rsidRPr="00237A2C" w:rsidRDefault="00AE50BA">
      <w:pPr>
        <w:pStyle w:val="Normaltindrag"/>
      </w:pPr>
      <w:r w:rsidRPr="00237A2C">
        <w:t>Regeringen återkom därefter i 1998 års ekonomiska vårproposition (prop. 1997/98:150) med en begäran om ytterligare 400 miljoner kronor till särski</w:t>
      </w:r>
      <w:r w:rsidRPr="00237A2C">
        <w:t>l</w:t>
      </w:r>
      <w:r w:rsidRPr="00237A2C">
        <w:t>da insatser i kommuner och landsting, dvs. totalt 1 137 miljoner kronor för budgetåret 1998. Fr.o.m. den 1 juli 1998 inrättades en särskild Bostadsdel</w:t>
      </w:r>
      <w:r w:rsidRPr="00237A2C">
        <w:t>e</w:t>
      </w:r>
      <w:r w:rsidRPr="00237A2C">
        <w:t>gation för att tillfälligt hantera frågor om stöd till kommuner med övermäkt</w:t>
      </w:r>
      <w:r w:rsidRPr="00237A2C">
        <w:t>i</w:t>
      </w:r>
      <w:r w:rsidRPr="00237A2C">
        <w:t>ga åtaganden för boendet. Detta skedde i anslutning till behandlingen av den bostadspolitiska propositionen (prop. 1997/98:119).</w:t>
      </w:r>
    </w:p>
    <w:p w:rsidR="00AE50BA" w:rsidRPr="00237A2C" w:rsidRDefault="00AE50BA">
      <w:pPr>
        <w:pStyle w:val="Normaltindrag"/>
      </w:pPr>
      <w:r w:rsidRPr="00237A2C">
        <w:t>I budgetförslaget för år 1999 (prop. 1998/99:1) bedömde regeringen att det fortfarande fanns kommuner och landsting som på grund av speciella o</w:t>
      </w:r>
      <w:r w:rsidRPr="00237A2C">
        <w:t>m</w:t>
      </w:r>
      <w:r w:rsidRPr="00237A2C">
        <w:t xml:space="preserve">ständigheter kunde hamna i en särskilt svår ekonomisk situation. Därför föreslogs att 1 014 miljoner kronor skulle avsättas för ändamålet. Folkpartiet motionerade om reduceringar i förhållande till regeringens förslag med 800 milj.kr. Som motiv anfördes att medlen alltmer kommit att användas för att ge bidrag till kommuner som misskött sina bolagsaffärer (bet. 1998/99:FiU3 s. 12). </w:t>
      </w:r>
    </w:p>
    <w:p w:rsidR="00AE50BA" w:rsidRPr="00237A2C" w:rsidRDefault="00AE50BA">
      <w:pPr>
        <w:pStyle w:val="Normaltindrag"/>
      </w:pPr>
      <w:r w:rsidRPr="00237A2C">
        <w:t>På våren 1999 beslutade riksdagen därefter efter förslag i 1999 års ekon</w:t>
      </w:r>
      <w:r w:rsidRPr="00237A2C">
        <w:t>o</w:t>
      </w:r>
      <w:r w:rsidRPr="00237A2C">
        <w:t>miska vårproposition (prop. 1998/99:100) att engångsvis minska anslaget med 40 miljoner kronor I propositionen betonade regeringen vikten av att balanskravet för komm</w:t>
      </w:r>
      <w:r w:rsidRPr="00237A2C">
        <w:t>u</w:t>
      </w:r>
      <w:r w:rsidRPr="00237A2C">
        <w:t xml:space="preserve">ner och landsting uppnås redan från år 2000. </w:t>
      </w:r>
    </w:p>
    <w:p w:rsidR="00AE50BA" w:rsidRPr="00237A2C" w:rsidRDefault="00AE50BA">
      <w:pPr>
        <w:pStyle w:val="Normaltindrag"/>
      </w:pPr>
      <w:r w:rsidRPr="00237A2C">
        <w:t>I budgetpropositionen för år 2000 (prop. 1999/2000:1) framhålls betyde</w:t>
      </w:r>
      <w:r w:rsidRPr="00237A2C">
        <w:t>l</w:t>
      </w:r>
      <w:r w:rsidRPr="00237A2C">
        <w:t>sen av fortsatta omstruktureringar för att nå det lagstadgade balanskravet. Enligt regeringen finns det kommuner och landsting med så pass allvarliga ekonomiska problem att de kan behöva ett ekonomiskt stöd för att genomföra rekonstruktiva åtgärder med en annan inriktning än vad som gäller för det tillfälliga stöd som kan lämnas av Bostadsdelegationen. Regeringen beslöt därför i augusti 1999 att tillkalla en särskild delegation (dir. 1999:65) med uppgift att inför regeringens beslut bereda ärenden om ett e</w:t>
      </w:r>
      <w:r w:rsidRPr="00237A2C">
        <w:t xml:space="preserve">ventuellt stöd skall utgå till kommuner och landsting för åtgärder i syfte att nå ekonomisk balans (Kommundelegationen). För år 2000 föreslog regeringen att anslaget skulle ökas med 117,5 miljoner kronor till 1 091,5 miljoner kronor. </w:t>
      </w:r>
    </w:p>
    <w:p w:rsidR="00AE50BA" w:rsidRPr="00237A2C" w:rsidRDefault="00AE50BA">
      <w:pPr>
        <w:pStyle w:val="Normaltindrag"/>
      </w:pPr>
      <w:r w:rsidRPr="00237A2C">
        <w:t>Beslutade anslag för perioden 1996</w:t>
      </w:r>
      <w:r w:rsidRPr="00237A2C">
        <w:sym w:font="Symbol" w:char="F02D"/>
      </w:r>
      <w:r w:rsidRPr="00237A2C">
        <w:t>2000 samt i respektive budgetprop</w:t>
      </w:r>
      <w:r w:rsidRPr="00237A2C">
        <w:t>o</w:t>
      </w:r>
      <w:r w:rsidRPr="00237A2C">
        <w:t>sition beräknade anslag för de två efterföljande åren framgår av nedanståe</w:t>
      </w:r>
      <w:r w:rsidRPr="00237A2C">
        <w:t>n</w:t>
      </w:r>
      <w:r w:rsidRPr="00237A2C">
        <w:t>de tabell. De beslutade anslagen för den aktuella perioden uppgår till 4,2 miljarder kronor och de beräknade beloppen för åren 2001 och 2002 till 2,4 miljarder kronor eller samma</w:t>
      </w:r>
      <w:r w:rsidRPr="00237A2C">
        <w:t>n</w:t>
      </w:r>
      <w:r w:rsidRPr="00237A2C">
        <w:t xml:space="preserve">taget 6,6 miljarder kronor. </w:t>
      </w:r>
    </w:p>
    <w:p w:rsidR="00AE50BA" w:rsidRPr="00237A2C" w:rsidRDefault="00AE50BA">
      <w:pPr>
        <w:rPr>
          <w:b/>
        </w:rPr>
      </w:pPr>
      <w:r w:rsidRPr="00237A2C">
        <w:rPr>
          <w:b/>
        </w:rPr>
        <w:t>Anslag för bidrag till särskilda insatser i vissa kommuner och landsting</w:t>
      </w:r>
    </w:p>
    <w:p w:rsidR="00AE50BA" w:rsidRPr="00237A2C" w:rsidRDefault="00AE50BA">
      <w:r w:rsidRPr="00237A2C">
        <w:t>Miljoner kronor (Beräknade anslag inom parentes)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
        <w:gridCol w:w="567"/>
        <w:gridCol w:w="624"/>
        <w:gridCol w:w="680"/>
        <w:gridCol w:w="680"/>
        <w:gridCol w:w="680"/>
        <w:gridCol w:w="624"/>
        <w:gridCol w:w="624"/>
        <w:gridCol w:w="624"/>
      </w:tblGrid>
      <w:tr w:rsidR="00000000" w:rsidRPr="00237A2C">
        <w:tblPrEx>
          <w:tblCellMar>
            <w:top w:w="0" w:type="dxa"/>
            <w:bottom w:w="0" w:type="dxa"/>
          </w:tblCellMar>
        </w:tblPrEx>
        <w:trPr>
          <w:trHeight w:hRule="exact" w:val="360"/>
        </w:trPr>
        <w:tc>
          <w:tcPr>
            <w:tcW w:w="1077" w:type="dxa"/>
            <w:tcBorders>
              <w:top w:val="nil"/>
              <w:left w:val="nil"/>
              <w:bottom w:val="nil"/>
              <w:right w:val="nil"/>
            </w:tcBorders>
          </w:tcPr>
          <w:p w:rsidR="00AE50BA" w:rsidRPr="00237A2C" w:rsidRDefault="00AE50BA">
            <w:pPr>
              <w:rPr>
                <w:sz w:val="18"/>
              </w:rPr>
            </w:pPr>
            <w:r w:rsidRPr="00237A2C">
              <w:rPr>
                <w:sz w:val="18"/>
              </w:rPr>
              <w:t>Prop.</w:t>
            </w:r>
          </w:p>
        </w:tc>
        <w:tc>
          <w:tcPr>
            <w:tcW w:w="567" w:type="dxa"/>
            <w:tcBorders>
              <w:top w:val="nil"/>
              <w:left w:val="nil"/>
              <w:bottom w:val="nil"/>
              <w:right w:val="nil"/>
            </w:tcBorders>
          </w:tcPr>
          <w:p w:rsidR="00AE50BA" w:rsidRPr="00237A2C" w:rsidRDefault="00AE50BA">
            <w:pPr>
              <w:jc w:val="right"/>
              <w:rPr>
                <w:sz w:val="18"/>
              </w:rPr>
            </w:pPr>
            <w:r w:rsidRPr="00237A2C">
              <w:rPr>
                <w:sz w:val="18"/>
              </w:rPr>
              <w:t>1996</w:t>
            </w:r>
          </w:p>
        </w:tc>
        <w:tc>
          <w:tcPr>
            <w:tcW w:w="624" w:type="dxa"/>
            <w:tcBorders>
              <w:top w:val="nil"/>
              <w:left w:val="nil"/>
              <w:bottom w:val="nil"/>
              <w:right w:val="nil"/>
            </w:tcBorders>
          </w:tcPr>
          <w:p w:rsidR="00AE50BA" w:rsidRPr="00237A2C" w:rsidRDefault="00AE50BA">
            <w:pPr>
              <w:jc w:val="right"/>
              <w:rPr>
                <w:sz w:val="18"/>
              </w:rPr>
            </w:pPr>
            <w:r w:rsidRPr="00237A2C">
              <w:rPr>
                <w:sz w:val="18"/>
              </w:rPr>
              <w:t>1997</w:t>
            </w:r>
          </w:p>
        </w:tc>
        <w:tc>
          <w:tcPr>
            <w:tcW w:w="680" w:type="dxa"/>
            <w:tcBorders>
              <w:top w:val="nil"/>
              <w:left w:val="nil"/>
              <w:bottom w:val="nil"/>
              <w:right w:val="nil"/>
            </w:tcBorders>
          </w:tcPr>
          <w:p w:rsidR="00AE50BA" w:rsidRPr="00237A2C" w:rsidRDefault="00AE50BA">
            <w:pPr>
              <w:jc w:val="right"/>
              <w:rPr>
                <w:sz w:val="18"/>
              </w:rPr>
            </w:pPr>
            <w:r w:rsidRPr="00237A2C">
              <w:rPr>
                <w:sz w:val="18"/>
              </w:rPr>
              <w:t>1998</w:t>
            </w:r>
          </w:p>
        </w:tc>
        <w:tc>
          <w:tcPr>
            <w:tcW w:w="680" w:type="dxa"/>
            <w:tcBorders>
              <w:top w:val="nil"/>
              <w:left w:val="nil"/>
              <w:bottom w:val="nil"/>
              <w:right w:val="nil"/>
            </w:tcBorders>
          </w:tcPr>
          <w:p w:rsidR="00AE50BA" w:rsidRPr="00237A2C" w:rsidRDefault="00AE50BA">
            <w:pPr>
              <w:jc w:val="right"/>
              <w:rPr>
                <w:sz w:val="18"/>
              </w:rPr>
            </w:pPr>
            <w:r w:rsidRPr="00237A2C">
              <w:rPr>
                <w:sz w:val="18"/>
              </w:rPr>
              <w:t>1999</w:t>
            </w:r>
          </w:p>
        </w:tc>
        <w:tc>
          <w:tcPr>
            <w:tcW w:w="680" w:type="dxa"/>
            <w:tcBorders>
              <w:top w:val="nil"/>
              <w:left w:val="nil"/>
              <w:bottom w:val="nil"/>
              <w:right w:val="nil"/>
            </w:tcBorders>
          </w:tcPr>
          <w:p w:rsidR="00AE50BA" w:rsidRPr="00237A2C" w:rsidRDefault="00AE50BA">
            <w:pPr>
              <w:jc w:val="right"/>
              <w:rPr>
                <w:sz w:val="18"/>
              </w:rPr>
            </w:pPr>
            <w:r w:rsidRPr="00237A2C">
              <w:rPr>
                <w:sz w:val="18"/>
              </w:rPr>
              <w:t>2000</w:t>
            </w:r>
          </w:p>
        </w:tc>
        <w:tc>
          <w:tcPr>
            <w:tcW w:w="624" w:type="dxa"/>
            <w:tcBorders>
              <w:top w:val="nil"/>
              <w:left w:val="nil"/>
              <w:bottom w:val="nil"/>
              <w:right w:val="nil"/>
            </w:tcBorders>
          </w:tcPr>
          <w:p w:rsidR="00AE50BA" w:rsidRPr="00237A2C" w:rsidRDefault="00AE50BA">
            <w:pPr>
              <w:jc w:val="right"/>
              <w:rPr>
                <w:sz w:val="18"/>
              </w:rPr>
            </w:pPr>
            <w:r w:rsidRPr="00237A2C">
              <w:rPr>
                <w:sz w:val="18"/>
              </w:rPr>
              <w:t>2001</w:t>
            </w:r>
          </w:p>
        </w:tc>
        <w:tc>
          <w:tcPr>
            <w:tcW w:w="624" w:type="dxa"/>
            <w:tcBorders>
              <w:top w:val="nil"/>
              <w:left w:val="nil"/>
              <w:bottom w:val="nil"/>
              <w:right w:val="nil"/>
            </w:tcBorders>
          </w:tcPr>
          <w:p w:rsidR="00AE50BA" w:rsidRPr="00237A2C" w:rsidRDefault="00AE50BA">
            <w:pPr>
              <w:jc w:val="right"/>
              <w:rPr>
                <w:sz w:val="18"/>
              </w:rPr>
            </w:pPr>
            <w:r w:rsidRPr="00237A2C">
              <w:rPr>
                <w:sz w:val="18"/>
              </w:rPr>
              <w:t>2002</w:t>
            </w:r>
          </w:p>
        </w:tc>
        <w:tc>
          <w:tcPr>
            <w:tcW w:w="624" w:type="dxa"/>
            <w:tcBorders>
              <w:top w:val="nil"/>
              <w:left w:val="nil"/>
              <w:bottom w:val="nil"/>
              <w:right w:val="nil"/>
            </w:tcBorders>
          </w:tcPr>
          <w:p w:rsidR="00AE50BA" w:rsidRPr="00237A2C" w:rsidRDefault="00AE50BA">
            <w:pPr>
              <w:jc w:val="right"/>
              <w:rPr>
                <w:sz w:val="18"/>
              </w:rPr>
            </w:pPr>
            <w:r w:rsidRPr="00237A2C">
              <w:rPr>
                <w:sz w:val="18"/>
              </w:rPr>
              <w:t>Totalt</w:t>
            </w:r>
          </w:p>
        </w:tc>
      </w:tr>
      <w:tr w:rsidR="00000000" w:rsidRPr="00237A2C">
        <w:tblPrEx>
          <w:tblCellMar>
            <w:top w:w="0" w:type="dxa"/>
            <w:bottom w:w="0" w:type="dxa"/>
          </w:tblCellMar>
        </w:tblPrEx>
        <w:trPr>
          <w:trHeight w:hRule="exact" w:val="360"/>
        </w:trPr>
        <w:tc>
          <w:tcPr>
            <w:tcW w:w="1077" w:type="dxa"/>
            <w:tcBorders>
              <w:left w:val="nil"/>
              <w:bottom w:val="nil"/>
              <w:right w:val="nil"/>
            </w:tcBorders>
          </w:tcPr>
          <w:p w:rsidR="00AE50BA" w:rsidRPr="00237A2C" w:rsidRDefault="00AE50BA">
            <w:pPr>
              <w:rPr>
                <w:sz w:val="18"/>
              </w:rPr>
            </w:pPr>
            <w:r w:rsidRPr="00237A2C">
              <w:rPr>
                <w:sz w:val="18"/>
              </w:rPr>
              <w:t>1995/96:150</w:t>
            </w:r>
          </w:p>
        </w:tc>
        <w:tc>
          <w:tcPr>
            <w:tcW w:w="567" w:type="dxa"/>
            <w:tcBorders>
              <w:left w:val="nil"/>
              <w:bottom w:val="nil"/>
              <w:right w:val="nil"/>
            </w:tcBorders>
          </w:tcPr>
          <w:p w:rsidR="00AE50BA" w:rsidRPr="00237A2C" w:rsidRDefault="00AE50BA">
            <w:pPr>
              <w:jc w:val="right"/>
              <w:rPr>
                <w:b/>
                <w:sz w:val="18"/>
              </w:rPr>
            </w:pPr>
            <w:r w:rsidRPr="00237A2C">
              <w:rPr>
                <w:b/>
                <w:sz w:val="18"/>
              </w:rPr>
              <w:t>400</w:t>
            </w:r>
          </w:p>
        </w:tc>
        <w:tc>
          <w:tcPr>
            <w:tcW w:w="624" w:type="dxa"/>
            <w:tcBorders>
              <w:left w:val="nil"/>
              <w:bottom w:val="nil"/>
              <w:right w:val="nil"/>
            </w:tcBorders>
          </w:tcPr>
          <w:p w:rsidR="00AE50BA" w:rsidRPr="00237A2C" w:rsidRDefault="00AE50BA">
            <w:pPr>
              <w:jc w:val="right"/>
              <w:rPr>
                <w:sz w:val="18"/>
              </w:rPr>
            </w:pPr>
          </w:p>
        </w:tc>
        <w:tc>
          <w:tcPr>
            <w:tcW w:w="680" w:type="dxa"/>
            <w:tcBorders>
              <w:left w:val="nil"/>
              <w:bottom w:val="nil"/>
              <w:right w:val="nil"/>
            </w:tcBorders>
          </w:tcPr>
          <w:p w:rsidR="00AE50BA" w:rsidRPr="00237A2C" w:rsidRDefault="00AE50BA">
            <w:pPr>
              <w:jc w:val="right"/>
              <w:rPr>
                <w:sz w:val="18"/>
              </w:rPr>
            </w:pPr>
          </w:p>
        </w:tc>
        <w:tc>
          <w:tcPr>
            <w:tcW w:w="680" w:type="dxa"/>
            <w:tcBorders>
              <w:left w:val="nil"/>
              <w:bottom w:val="nil"/>
              <w:right w:val="nil"/>
            </w:tcBorders>
          </w:tcPr>
          <w:p w:rsidR="00AE50BA" w:rsidRPr="00237A2C" w:rsidRDefault="00AE50BA">
            <w:pPr>
              <w:jc w:val="right"/>
              <w:rPr>
                <w:sz w:val="18"/>
              </w:rPr>
            </w:pPr>
          </w:p>
        </w:tc>
        <w:tc>
          <w:tcPr>
            <w:tcW w:w="680" w:type="dxa"/>
            <w:tcBorders>
              <w:left w:val="nil"/>
              <w:bottom w:val="nil"/>
              <w:right w:val="nil"/>
            </w:tcBorders>
          </w:tcPr>
          <w:p w:rsidR="00AE50BA" w:rsidRPr="00237A2C" w:rsidRDefault="00AE50BA">
            <w:pPr>
              <w:jc w:val="right"/>
              <w:rPr>
                <w:sz w:val="18"/>
              </w:rPr>
            </w:pPr>
          </w:p>
        </w:tc>
        <w:tc>
          <w:tcPr>
            <w:tcW w:w="624" w:type="dxa"/>
            <w:tcBorders>
              <w:left w:val="nil"/>
              <w:bottom w:val="nil"/>
              <w:right w:val="nil"/>
            </w:tcBorders>
          </w:tcPr>
          <w:p w:rsidR="00AE50BA" w:rsidRPr="00237A2C" w:rsidRDefault="00AE50BA">
            <w:pPr>
              <w:jc w:val="right"/>
              <w:rPr>
                <w:sz w:val="18"/>
              </w:rPr>
            </w:pPr>
          </w:p>
        </w:tc>
        <w:tc>
          <w:tcPr>
            <w:tcW w:w="624" w:type="dxa"/>
            <w:tcBorders>
              <w:left w:val="nil"/>
              <w:bottom w:val="nil"/>
              <w:right w:val="nil"/>
            </w:tcBorders>
          </w:tcPr>
          <w:p w:rsidR="00AE50BA" w:rsidRPr="00237A2C" w:rsidRDefault="00AE50BA">
            <w:pPr>
              <w:jc w:val="right"/>
              <w:rPr>
                <w:sz w:val="18"/>
              </w:rPr>
            </w:pPr>
          </w:p>
        </w:tc>
        <w:tc>
          <w:tcPr>
            <w:tcW w:w="624" w:type="dxa"/>
            <w:tcBorders>
              <w:left w:val="nil"/>
              <w:bottom w:val="nil"/>
              <w:right w:val="nil"/>
            </w:tcBorders>
          </w:tcPr>
          <w:p w:rsidR="00AE50BA" w:rsidRPr="00237A2C" w:rsidRDefault="00AE50BA">
            <w:pPr>
              <w:jc w:val="right"/>
              <w:rPr>
                <w:sz w:val="18"/>
              </w:rPr>
            </w:pPr>
          </w:p>
        </w:tc>
      </w:tr>
      <w:tr w:rsidR="00000000" w:rsidRPr="00237A2C">
        <w:tblPrEx>
          <w:tblCellMar>
            <w:top w:w="0" w:type="dxa"/>
            <w:bottom w:w="0" w:type="dxa"/>
          </w:tblCellMar>
        </w:tblPrEx>
        <w:trPr>
          <w:trHeight w:hRule="exact" w:val="360"/>
        </w:trPr>
        <w:tc>
          <w:tcPr>
            <w:tcW w:w="1077" w:type="dxa"/>
            <w:tcBorders>
              <w:top w:val="nil"/>
              <w:left w:val="nil"/>
              <w:bottom w:val="nil"/>
              <w:right w:val="nil"/>
            </w:tcBorders>
          </w:tcPr>
          <w:p w:rsidR="00AE50BA" w:rsidRPr="00237A2C" w:rsidRDefault="00AE50BA">
            <w:pPr>
              <w:rPr>
                <w:sz w:val="18"/>
              </w:rPr>
            </w:pPr>
            <w:r w:rsidRPr="00237A2C">
              <w:rPr>
                <w:sz w:val="18"/>
              </w:rPr>
              <w:t>1996/97:1</w:t>
            </w:r>
          </w:p>
        </w:tc>
        <w:tc>
          <w:tcPr>
            <w:tcW w:w="567" w:type="dxa"/>
            <w:tcBorders>
              <w:top w:val="nil"/>
              <w:left w:val="nil"/>
              <w:bottom w:val="nil"/>
              <w:right w:val="nil"/>
            </w:tcBorders>
          </w:tcPr>
          <w:p w:rsidR="00AE50BA" w:rsidRPr="00237A2C" w:rsidRDefault="00AE50BA">
            <w:pPr>
              <w:jc w:val="right"/>
              <w:rPr>
                <w:sz w:val="18"/>
              </w:rPr>
            </w:pPr>
          </w:p>
        </w:tc>
        <w:tc>
          <w:tcPr>
            <w:tcW w:w="624" w:type="dxa"/>
            <w:tcBorders>
              <w:top w:val="nil"/>
              <w:left w:val="nil"/>
              <w:bottom w:val="nil"/>
              <w:right w:val="nil"/>
            </w:tcBorders>
          </w:tcPr>
          <w:p w:rsidR="00AE50BA" w:rsidRPr="00237A2C" w:rsidRDefault="00AE50BA">
            <w:pPr>
              <w:jc w:val="right"/>
              <w:rPr>
                <w:b/>
                <w:sz w:val="18"/>
              </w:rPr>
            </w:pPr>
            <w:r w:rsidRPr="00237A2C">
              <w:rPr>
                <w:b/>
                <w:sz w:val="18"/>
              </w:rPr>
              <w:t>400</w:t>
            </w:r>
          </w:p>
        </w:tc>
        <w:tc>
          <w:tcPr>
            <w:tcW w:w="680" w:type="dxa"/>
            <w:tcBorders>
              <w:top w:val="nil"/>
              <w:left w:val="nil"/>
              <w:bottom w:val="nil"/>
              <w:right w:val="nil"/>
            </w:tcBorders>
          </w:tcPr>
          <w:p w:rsidR="00AE50BA" w:rsidRPr="00237A2C" w:rsidRDefault="00AE50BA">
            <w:pPr>
              <w:jc w:val="right"/>
              <w:rPr>
                <w:sz w:val="18"/>
              </w:rPr>
            </w:pPr>
            <w:r w:rsidRPr="00237A2C">
              <w:rPr>
                <w:sz w:val="18"/>
              </w:rPr>
              <w:t>(400)</w:t>
            </w:r>
          </w:p>
        </w:tc>
        <w:tc>
          <w:tcPr>
            <w:tcW w:w="680" w:type="dxa"/>
            <w:tcBorders>
              <w:top w:val="nil"/>
              <w:left w:val="nil"/>
              <w:bottom w:val="nil"/>
              <w:right w:val="nil"/>
            </w:tcBorders>
          </w:tcPr>
          <w:p w:rsidR="00AE50BA" w:rsidRPr="00237A2C" w:rsidRDefault="00AE50BA">
            <w:pPr>
              <w:jc w:val="right"/>
              <w:rPr>
                <w:sz w:val="18"/>
              </w:rPr>
            </w:pPr>
            <w:r w:rsidRPr="00237A2C">
              <w:rPr>
                <w:sz w:val="18"/>
              </w:rPr>
              <w:t>(400)</w:t>
            </w:r>
          </w:p>
        </w:tc>
        <w:tc>
          <w:tcPr>
            <w:tcW w:w="680" w:type="dxa"/>
            <w:tcBorders>
              <w:top w:val="nil"/>
              <w:left w:val="nil"/>
              <w:bottom w:val="nil"/>
              <w:right w:val="nil"/>
            </w:tcBorders>
          </w:tcPr>
          <w:p w:rsidR="00AE50BA" w:rsidRPr="00237A2C" w:rsidRDefault="00AE50BA">
            <w:pPr>
              <w:jc w:val="right"/>
              <w:rPr>
                <w:sz w:val="18"/>
              </w:rPr>
            </w:pPr>
          </w:p>
        </w:tc>
        <w:tc>
          <w:tcPr>
            <w:tcW w:w="624" w:type="dxa"/>
            <w:tcBorders>
              <w:top w:val="nil"/>
              <w:left w:val="nil"/>
              <w:bottom w:val="nil"/>
              <w:right w:val="nil"/>
            </w:tcBorders>
          </w:tcPr>
          <w:p w:rsidR="00AE50BA" w:rsidRPr="00237A2C" w:rsidRDefault="00AE50BA">
            <w:pPr>
              <w:jc w:val="right"/>
              <w:rPr>
                <w:sz w:val="18"/>
              </w:rPr>
            </w:pPr>
          </w:p>
        </w:tc>
        <w:tc>
          <w:tcPr>
            <w:tcW w:w="624" w:type="dxa"/>
            <w:tcBorders>
              <w:top w:val="nil"/>
              <w:left w:val="nil"/>
              <w:bottom w:val="nil"/>
              <w:right w:val="nil"/>
            </w:tcBorders>
          </w:tcPr>
          <w:p w:rsidR="00AE50BA" w:rsidRPr="00237A2C" w:rsidRDefault="00AE50BA">
            <w:pPr>
              <w:jc w:val="right"/>
              <w:rPr>
                <w:sz w:val="18"/>
              </w:rPr>
            </w:pPr>
          </w:p>
        </w:tc>
        <w:tc>
          <w:tcPr>
            <w:tcW w:w="624" w:type="dxa"/>
            <w:tcBorders>
              <w:top w:val="nil"/>
              <w:left w:val="nil"/>
              <w:bottom w:val="nil"/>
              <w:right w:val="nil"/>
            </w:tcBorders>
          </w:tcPr>
          <w:p w:rsidR="00AE50BA" w:rsidRPr="00237A2C" w:rsidRDefault="00AE50BA">
            <w:pPr>
              <w:jc w:val="right"/>
              <w:rPr>
                <w:sz w:val="18"/>
              </w:rPr>
            </w:pPr>
          </w:p>
        </w:tc>
      </w:tr>
      <w:tr w:rsidR="00000000" w:rsidRPr="00237A2C">
        <w:tblPrEx>
          <w:tblCellMar>
            <w:top w:w="0" w:type="dxa"/>
            <w:bottom w:w="0" w:type="dxa"/>
          </w:tblCellMar>
        </w:tblPrEx>
        <w:trPr>
          <w:trHeight w:hRule="exact" w:val="360"/>
        </w:trPr>
        <w:tc>
          <w:tcPr>
            <w:tcW w:w="1077" w:type="dxa"/>
            <w:tcBorders>
              <w:top w:val="nil"/>
              <w:left w:val="nil"/>
              <w:bottom w:val="nil"/>
              <w:right w:val="nil"/>
            </w:tcBorders>
          </w:tcPr>
          <w:p w:rsidR="00AE50BA" w:rsidRPr="00237A2C" w:rsidRDefault="00AE50BA">
            <w:pPr>
              <w:rPr>
                <w:sz w:val="18"/>
              </w:rPr>
            </w:pPr>
            <w:r w:rsidRPr="00237A2C">
              <w:rPr>
                <w:sz w:val="18"/>
              </w:rPr>
              <w:t>1996/97:150</w:t>
            </w:r>
          </w:p>
        </w:tc>
        <w:tc>
          <w:tcPr>
            <w:tcW w:w="567" w:type="dxa"/>
            <w:tcBorders>
              <w:top w:val="nil"/>
              <w:left w:val="nil"/>
              <w:bottom w:val="nil"/>
              <w:right w:val="nil"/>
            </w:tcBorders>
          </w:tcPr>
          <w:p w:rsidR="00AE50BA" w:rsidRPr="00237A2C" w:rsidRDefault="00AE50BA">
            <w:pPr>
              <w:jc w:val="right"/>
              <w:rPr>
                <w:sz w:val="18"/>
              </w:rPr>
            </w:pPr>
          </w:p>
        </w:tc>
        <w:tc>
          <w:tcPr>
            <w:tcW w:w="624" w:type="dxa"/>
            <w:tcBorders>
              <w:top w:val="nil"/>
              <w:left w:val="nil"/>
              <w:bottom w:val="nil"/>
              <w:right w:val="nil"/>
            </w:tcBorders>
          </w:tcPr>
          <w:p w:rsidR="00AE50BA" w:rsidRPr="00237A2C" w:rsidRDefault="00AE50BA">
            <w:pPr>
              <w:jc w:val="right"/>
              <w:rPr>
                <w:b/>
                <w:sz w:val="18"/>
              </w:rPr>
            </w:pPr>
            <w:r w:rsidRPr="00237A2C">
              <w:rPr>
                <w:b/>
                <w:sz w:val="18"/>
              </w:rPr>
              <w:t>200</w:t>
            </w:r>
          </w:p>
        </w:tc>
        <w:tc>
          <w:tcPr>
            <w:tcW w:w="680" w:type="dxa"/>
            <w:tcBorders>
              <w:top w:val="nil"/>
              <w:left w:val="nil"/>
              <w:bottom w:val="nil"/>
              <w:right w:val="nil"/>
            </w:tcBorders>
          </w:tcPr>
          <w:p w:rsidR="00AE50BA" w:rsidRPr="00237A2C" w:rsidRDefault="00AE50BA">
            <w:pPr>
              <w:jc w:val="right"/>
              <w:rPr>
                <w:sz w:val="18"/>
              </w:rPr>
            </w:pPr>
          </w:p>
        </w:tc>
        <w:tc>
          <w:tcPr>
            <w:tcW w:w="680" w:type="dxa"/>
            <w:tcBorders>
              <w:top w:val="nil"/>
              <w:left w:val="nil"/>
              <w:bottom w:val="nil"/>
              <w:right w:val="nil"/>
            </w:tcBorders>
          </w:tcPr>
          <w:p w:rsidR="00AE50BA" w:rsidRPr="00237A2C" w:rsidRDefault="00AE50BA">
            <w:pPr>
              <w:jc w:val="right"/>
              <w:rPr>
                <w:sz w:val="18"/>
              </w:rPr>
            </w:pPr>
          </w:p>
        </w:tc>
        <w:tc>
          <w:tcPr>
            <w:tcW w:w="680" w:type="dxa"/>
            <w:tcBorders>
              <w:top w:val="nil"/>
              <w:left w:val="nil"/>
              <w:bottom w:val="nil"/>
              <w:right w:val="nil"/>
            </w:tcBorders>
          </w:tcPr>
          <w:p w:rsidR="00AE50BA" w:rsidRPr="00237A2C" w:rsidRDefault="00AE50BA">
            <w:pPr>
              <w:jc w:val="right"/>
              <w:rPr>
                <w:sz w:val="18"/>
              </w:rPr>
            </w:pPr>
          </w:p>
        </w:tc>
        <w:tc>
          <w:tcPr>
            <w:tcW w:w="624" w:type="dxa"/>
            <w:tcBorders>
              <w:top w:val="nil"/>
              <w:left w:val="nil"/>
              <w:bottom w:val="nil"/>
              <w:right w:val="nil"/>
            </w:tcBorders>
          </w:tcPr>
          <w:p w:rsidR="00AE50BA" w:rsidRPr="00237A2C" w:rsidRDefault="00AE50BA">
            <w:pPr>
              <w:jc w:val="right"/>
              <w:rPr>
                <w:sz w:val="18"/>
              </w:rPr>
            </w:pPr>
          </w:p>
        </w:tc>
        <w:tc>
          <w:tcPr>
            <w:tcW w:w="624" w:type="dxa"/>
            <w:tcBorders>
              <w:top w:val="nil"/>
              <w:left w:val="nil"/>
              <w:bottom w:val="nil"/>
              <w:right w:val="nil"/>
            </w:tcBorders>
          </w:tcPr>
          <w:p w:rsidR="00AE50BA" w:rsidRPr="00237A2C" w:rsidRDefault="00AE50BA">
            <w:pPr>
              <w:jc w:val="right"/>
              <w:rPr>
                <w:sz w:val="18"/>
              </w:rPr>
            </w:pPr>
          </w:p>
        </w:tc>
        <w:tc>
          <w:tcPr>
            <w:tcW w:w="624" w:type="dxa"/>
            <w:tcBorders>
              <w:top w:val="nil"/>
              <w:left w:val="nil"/>
              <w:bottom w:val="nil"/>
              <w:right w:val="nil"/>
            </w:tcBorders>
          </w:tcPr>
          <w:p w:rsidR="00AE50BA" w:rsidRPr="00237A2C" w:rsidRDefault="00AE50BA">
            <w:pPr>
              <w:jc w:val="right"/>
              <w:rPr>
                <w:sz w:val="18"/>
              </w:rPr>
            </w:pPr>
          </w:p>
        </w:tc>
      </w:tr>
      <w:tr w:rsidR="00000000" w:rsidRPr="00237A2C">
        <w:tblPrEx>
          <w:tblCellMar>
            <w:top w:w="0" w:type="dxa"/>
            <w:bottom w:w="0" w:type="dxa"/>
          </w:tblCellMar>
        </w:tblPrEx>
        <w:trPr>
          <w:trHeight w:hRule="exact" w:val="360"/>
        </w:trPr>
        <w:tc>
          <w:tcPr>
            <w:tcW w:w="1077" w:type="dxa"/>
            <w:tcBorders>
              <w:top w:val="nil"/>
              <w:left w:val="nil"/>
              <w:bottom w:val="nil"/>
              <w:right w:val="nil"/>
            </w:tcBorders>
          </w:tcPr>
          <w:p w:rsidR="00AE50BA" w:rsidRPr="00237A2C" w:rsidRDefault="00AE50BA">
            <w:pPr>
              <w:rPr>
                <w:sz w:val="18"/>
              </w:rPr>
            </w:pPr>
            <w:r w:rsidRPr="00237A2C">
              <w:rPr>
                <w:sz w:val="18"/>
              </w:rPr>
              <w:t>1997/98:1</w:t>
            </w:r>
          </w:p>
        </w:tc>
        <w:tc>
          <w:tcPr>
            <w:tcW w:w="567" w:type="dxa"/>
            <w:tcBorders>
              <w:top w:val="nil"/>
              <w:left w:val="nil"/>
              <w:bottom w:val="nil"/>
              <w:right w:val="nil"/>
            </w:tcBorders>
          </w:tcPr>
          <w:p w:rsidR="00AE50BA" w:rsidRPr="00237A2C" w:rsidRDefault="00AE50BA">
            <w:pPr>
              <w:jc w:val="right"/>
              <w:rPr>
                <w:sz w:val="18"/>
              </w:rPr>
            </w:pPr>
          </w:p>
        </w:tc>
        <w:tc>
          <w:tcPr>
            <w:tcW w:w="624" w:type="dxa"/>
            <w:tcBorders>
              <w:top w:val="nil"/>
              <w:left w:val="nil"/>
              <w:bottom w:val="nil"/>
              <w:right w:val="nil"/>
            </w:tcBorders>
          </w:tcPr>
          <w:p w:rsidR="00AE50BA" w:rsidRPr="00237A2C" w:rsidRDefault="00AE50BA">
            <w:pPr>
              <w:jc w:val="right"/>
              <w:rPr>
                <w:sz w:val="18"/>
              </w:rPr>
            </w:pPr>
          </w:p>
        </w:tc>
        <w:tc>
          <w:tcPr>
            <w:tcW w:w="680" w:type="dxa"/>
            <w:tcBorders>
              <w:top w:val="nil"/>
              <w:left w:val="nil"/>
              <w:bottom w:val="nil"/>
              <w:right w:val="nil"/>
            </w:tcBorders>
          </w:tcPr>
          <w:p w:rsidR="00AE50BA" w:rsidRPr="00237A2C" w:rsidRDefault="00AE50BA">
            <w:pPr>
              <w:jc w:val="right"/>
              <w:rPr>
                <w:sz w:val="18"/>
              </w:rPr>
            </w:pPr>
            <w:r w:rsidRPr="00237A2C">
              <w:rPr>
                <w:b/>
                <w:sz w:val="18"/>
              </w:rPr>
              <w:t>736,6</w:t>
            </w:r>
          </w:p>
        </w:tc>
        <w:tc>
          <w:tcPr>
            <w:tcW w:w="680" w:type="dxa"/>
            <w:tcBorders>
              <w:top w:val="nil"/>
              <w:left w:val="nil"/>
              <w:bottom w:val="nil"/>
              <w:right w:val="nil"/>
            </w:tcBorders>
          </w:tcPr>
          <w:p w:rsidR="00AE50BA" w:rsidRPr="00237A2C" w:rsidRDefault="00AE50BA">
            <w:pPr>
              <w:jc w:val="right"/>
              <w:rPr>
                <w:sz w:val="18"/>
              </w:rPr>
            </w:pPr>
            <w:r w:rsidRPr="00237A2C">
              <w:rPr>
                <w:sz w:val="18"/>
              </w:rPr>
              <w:t>(600)</w:t>
            </w:r>
          </w:p>
        </w:tc>
        <w:tc>
          <w:tcPr>
            <w:tcW w:w="680" w:type="dxa"/>
            <w:tcBorders>
              <w:top w:val="nil"/>
              <w:left w:val="nil"/>
              <w:bottom w:val="nil"/>
              <w:right w:val="nil"/>
            </w:tcBorders>
          </w:tcPr>
          <w:p w:rsidR="00AE50BA" w:rsidRPr="00237A2C" w:rsidRDefault="00AE50BA">
            <w:pPr>
              <w:jc w:val="right"/>
              <w:rPr>
                <w:sz w:val="18"/>
              </w:rPr>
            </w:pPr>
            <w:r w:rsidRPr="00237A2C">
              <w:rPr>
                <w:sz w:val="18"/>
              </w:rPr>
              <w:t>(400)</w:t>
            </w:r>
          </w:p>
        </w:tc>
        <w:tc>
          <w:tcPr>
            <w:tcW w:w="624" w:type="dxa"/>
            <w:tcBorders>
              <w:top w:val="nil"/>
              <w:left w:val="nil"/>
              <w:bottom w:val="nil"/>
              <w:right w:val="nil"/>
            </w:tcBorders>
          </w:tcPr>
          <w:p w:rsidR="00AE50BA" w:rsidRPr="00237A2C" w:rsidRDefault="00AE50BA">
            <w:pPr>
              <w:jc w:val="right"/>
              <w:rPr>
                <w:sz w:val="18"/>
              </w:rPr>
            </w:pPr>
          </w:p>
        </w:tc>
        <w:tc>
          <w:tcPr>
            <w:tcW w:w="624" w:type="dxa"/>
            <w:tcBorders>
              <w:top w:val="nil"/>
              <w:left w:val="nil"/>
              <w:bottom w:val="nil"/>
              <w:right w:val="nil"/>
            </w:tcBorders>
          </w:tcPr>
          <w:p w:rsidR="00AE50BA" w:rsidRPr="00237A2C" w:rsidRDefault="00AE50BA">
            <w:pPr>
              <w:jc w:val="right"/>
              <w:rPr>
                <w:sz w:val="18"/>
              </w:rPr>
            </w:pPr>
          </w:p>
        </w:tc>
        <w:tc>
          <w:tcPr>
            <w:tcW w:w="624" w:type="dxa"/>
            <w:tcBorders>
              <w:top w:val="nil"/>
              <w:left w:val="nil"/>
              <w:bottom w:val="nil"/>
              <w:right w:val="nil"/>
            </w:tcBorders>
          </w:tcPr>
          <w:p w:rsidR="00AE50BA" w:rsidRPr="00237A2C" w:rsidRDefault="00AE50BA">
            <w:pPr>
              <w:jc w:val="right"/>
              <w:rPr>
                <w:sz w:val="18"/>
              </w:rPr>
            </w:pPr>
          </w:p>
        </w:tc>
      </w:tr>
      <w:tr w:rsidR="00000000" w:rsidRPr="00237A2C">
        <w:tblPrEx>
          <w:tblCellMar>
            <w:top w:w="0" w:type="dxa"/>
            <w:bottom w:w="0" w:type="dxa"/>
          </w:tblCellMar>
        </w:tblPrEx>
        <w:trPr>
          <w:trHeight w:hRule="exact" w:val="360"/>
        </w:trPr>
        <w:tc>
          <w:tcPr>
            <w:tcW w:w="1077" w:type="dxa"/>
            <w:tcBorders>
              <w:top w:val="nil"/>
              <w:left w:val="nil"/>
              <w:bottom w:val="nil"/>
              <w:right w:val="nil"/>
            </w:tcBorders>
          </w:tcPr>
          <w:p w:rsidR="00AE50BA" w:rsidRPr="00237A2C" w:rsidRDefault="00AE50BA">
            <w:pPr>
              <w:rPr>
                <w:sz w:val="18"/>
              </w:rPr>
            </w:pPr>
            <w:r w:rsidRPr="00237A2C">
              <w:rPr>
                <w:sz w:val="18"/>
              </w:rPr>
              <w:t>1997/98:150</w:t>
            </w:r>
          </w:p>
        </w:tc>
        <w:tc>
          <w:tcPr>
            <w:tcW w:w="567" w:type="dxa"/>
            <w:tcBorders>
              <w:top w:val="nil"/>
              <w:left w:val="nil"/>
              <w:bottom w:val="nil"/>
              <w:right w:val="nil"/>
            </w:tcBorders>
          </w:tcPr>
          <w:p w:rsidR="00AE50BA" w:rsidRPr="00237A2C" w:rsidRDefault="00AE50BA">
            <w:pPr>
              <w:jc w:val="right"/>
              <w:rPr>
                <w:sz w:val="18"/>
              </w:rPr>
            </w:pPr>
          </w:p>
        </w:tc>
        <w:tc>
          <w:tcPr>
            <w:tcW w:w="624" w:type="dxa"/>
            <w:tcBorders>
              <w:top w:val="nil"/>
              <w:left w:val="nil"/>
              <w:bottom w:val="nil"/>
              <w:right w:val="nil"/>
            </w:tcBorders>
          </w:tcPr>
          <w:p w:rsidR="00AE50BA" w:rsidRPr="00237A2C" w:rsidRDefault="00AE50BA">
            <w:pPr>
              <w:jc w:val="right"/>
              <w:rPr>
                <w:sz w:val="18"/>
              </w:rPr>
            </w:pPr>
          </w:p>
        </w:tc>
        <w:tc>
          <w:tcPr>
            <w:tcW w:w="680" w:type="dxa"/>
            <w:tcBorders>
              <w:top w:val="nil"/>
              <w:left w:val="nil"/>
              <w:bottom w:val="nil"/>
              <w:right w:val="nil"/>
            </w:tcBorders>
          </w:tcPr>
          <w:p w:rsidR="00AE50BA" w:rsidRPr="00237A2C" w:rsidRDefault="00AE50BA">
            <w:pPr>
              <w:jc w:val="right"/>
              <w:rPr>
                <w:b/>
                <w:sz w:val="18"/>
              </w:rPr>
            </w:pPr>
            <w:r w:rsidRPr="00237A2C">
              <w:rPr>
                <w:b/>
                <w:sz w:val="18"/>
              </w:rPr>
              <w:t>400</w:t>
            </w:r>
          </w:p>
        </w:tc>
        <w:tc>
          <w:tcPr>
            <w:tcW w:w="680" w:type="dxa"/>
            <w:tcBorders>
              <w:top w:val="nil"/>
              <w:left w:val="nil"/>
              <w:bottom w:val="nil"/>
              <w:right w:val="nil"/>
            </w:tcBorders>
          </w:tcPr>
          <w:p w:rsidR="00AE50BA" w:rsidRPr="00237A2C" w:rsidRDefault="00AE50BA">
            <w:pPr>
              <w:jc w:val="right"/>
              <w:rPr>
                <w:sz w:val="18"/>
              </w:rPr>
            </w:pPr>
          </w:p>
        </w:tc>
        <w:tc>
          <w:tcPr>
            <w:tcW w:w="680" w:type="dxa"/>
            <w:tcBorders>
              <w:top w:val="nil"/>
              <w:left w:val="nil"/>
              <w:bottom w:val="nil"/>
              <w:right w:val="nil"/>
            </w:tcBorders>
          </w:tcPr>
          <w:p w:rsidR="00AE50BA" w:rsidRPr="00237A2C" w:rsidRDefault="00AE50BA">
            <w:pPr>
              <w:jc w:val="right"/>
              <w:rPr>
                <w:sz w:val="18"/>
              </w:rPr>
            </w:pPr>
          </w:p>
        </w:tc>
        <w:tc>
          <w:tcPr>
            <w:tcW w:w="624" w:type="dxa"/>
            <w:tcBorders>
              <w:top w:val="nil"/>
              <w:left w:val="nil"/>
              <w:bottom w:val="nil"/>
              <w:right w:val="nil"/>
            </w:tcBorders>
          </w:tcPr>
          <w:p w:rsidR="00AE50BA" w:rsidRPr="00237A2C" w:rsidRDefault="00AE50BA">
            <w:pPr>
              <w:jc w:val="right"/>
              <w:rPr>
                <w:sz w:val="18"/>
              </w:rPr>
            </w:pPr>
          </w:p>
        </w:tc>
        <w:tc>
          <w:tcPr>
            <w:tcW w:w="624" w:type="dxa"/>
            <w:tcBorders>
              <w:top w:val="nil"/>
              <w:left w:val="nil"/>
              <w:bottom w:val="nil"/>
              <w:right w:val="nil"/>
            </w:tcBorders>
          </w:tcPr>
          <w:p w:rsidR="00AE50BA" w:rsidRPr="00237A2C" w:rsidRDefault="00AE50BA">
            <w:pPr>
              <w:jc w:val="right"/>
              <w:rPr>
                <w:sz w:val="18"/>
              </w:rPr>
            </w:pPr>
          </w:p>
        </w:tc>
        <w:tc>
          <w:tcPr>
            <w:tcW w:w="624" w:type="dxa"/>
            <w:tcBorders>
              <w:top w:val="nil"/>
              <w:left w:val="nil"/>
              <w:bottom w:val="nil"/>
              <w:right w:val="nil"/>
            </w:tcBorders>
          </w:tcPr>
          <w:p w:rsidR="00AE50BA" w:rsidRPr="00237A2C" w:rsidRDefault="00AE50BA">
            <w:pPr>
              <w:jc w:val="right"/>
              <w:rPr>
                <w:sz w:val="18"/>
              </w:rPr>
            </w:pPr>
          </w:p>
        </w:tc>
      </w:tr>
      <w:tr w:rsidR="00000000" w:rsidRPr="00237A2C">
        <w:tblPrEx>
          <w:tblCellMar>
            <w:top w:w="0" w:type="dxa"/>
            <w:bottom w:w="0" w:type="dxa"/>
          </w:tblCellMar>
        </w:tblPrEx>
        <w:trPr>
          <w:trHeight w:hRule="exact" w:val="360"/>
        </w:trPr>
        <w:tc>
          <w:tcPr>
            <w:tcW w:w="1077" w:type="dxa"/>
            <w:tcBorders>
              <w:top w:val="nil"/>
              <w:left w:val="nil"/>
              <w:bottom w:val="nil"/>
              <w:right w:val="nil"/>
            </w:tcBorders>
          </w:tcPr>
          <w:p w:rsidR="00AE50BA" w:rsidRPr="00237A2C" w:rsidRDefault="00AE50BA">
            <w:pPr>
              <w:rPr>
                <w:sz w:val="18"/>
              </w:rPr>
            </w:pPr>
            <w:r w:rsidRPr="00237A2C">
              <w:rPr>
                <w:sz w:val="18"/>
              </w:rPr>
              <w:t>1998/99:1</w:t>
            </w:r>
          </w:p>
        </w:tc>
        <w:tc>
          <w:tcPr>
            <w:tcW w:w="567" w:type="dxa"/>
            <w:tcBorders>
              <w:top w:val="nil"/>
              <w:left w:val="nil"/>
              <w:bottom w:val="nil"/>
              <w:right w:val="nil"/>
            </w:tcBorders>
          </w:tcPr>
          <w:p w:rsidR="00AE50BA" w:rsidRPr="00237A2C" w:rsidRDefault="00AE50BA">
            <w:pPr>
              <w:jc w:val="right"/>
              <w:rPr>
                <w:sz w:val="18"/>
              </w:rPr>
            </w:pPr>
          </w:p>
        </w:tc>
        <w:tc>
          <w:tcPr>
            <w:tcW w:w="624" w:type="dxa"/>
            <w:tcBorders>
              <w:top w:val="nil"/>
              <w:left w:val="nil"/>
              <w:bottom w:val="nil"/>
              <w:right w:val="nil"/>
            </w:tcBorders>
          </w:tcPr>
          <w:p w:rsidR="00AE50BA" w:rsidRPr="00237A2C" w:rsidRDefault="00AE50BA">
            <w:pPr>
              <w:jc w:val="right"/>
              <w:rPr>
                <w:sz w:val="18"/>
              </w:rPr>
            </w:pPr>
          </w:p>
        </w:tc>
        <w:tc>
          <w:tcPr>
            <w:tcW w:w="680" w:type="dxa"/>
            <w:tcBorders>
              <w:top w:val="nil"/>
              <w:left w:val="nil"/>
              <w:bottom w:val="nil"/>
              <w:right w:val="nil"/>
            </w:tcBorders>
          </w:tcPr>
          <w:p w:rsidR="00AE50BA" w:rsidRPr="00237A2C" w:rsidRDefault="00AE50BA">
            <w:pPr>
              <w:jc w:val="right"/>
              <w:rPr>
                <w:b/>
                <w:sz w:val="18"/>
              </w:rPr>
            </w:pPr>
          </w:p>
        </w:tc>
        <w:tc>
          <w:tcPr>
            <w:tcW w:w="680" w:type="dxa"/>
            <w:tcBorders>
              <w:top w:val="nil"/>
              <w:left w:val="nil"/>
              <w:bottom w:val="nil"/>
              <w:right w:val="nil"/>
            </w:tcBorders>
          </w:tcPr>
          <w:p w:rsidR="00AE50BA" w:rsidRPr="00237A2C" w:rsidRDefault="00AE50BA">
            <w:pPr>
              <w:jc w:val="right"/>
              <w:rPr>
                <w:sz w:val="18"/>
              </w:rPr>
            </w:pPr>
            <w:r w:rsidRPr="00237A2C">
              <w:rPr>
                <w:b/>
                <w:sz w:val="18"/>
              </w:rPr>
              <w:t>1014</w:t>
            </w:r>
          </w:p>
        </w:tc>
        <w:tc>
          <w:tcPr>
            <w:tcW w:w="680" w:type="dxa"/>
            <w:tcBorders>
              <w:top w:val="nil"/>
              <w:left w:val="nil"/>
              <w:bottom w:val="nil"/>
              <w:right w:val="nil"/>
            </w:tcBorders>
          </w:tcPr>
          <w:p w:rsidR="00AE50BA" w:rsidRPr="00237A2C" w:rsidRDefault="00AE50BA">
            <w:pPr>
              <w:jc w:val="right"/>
              <w:rPr>
                <w:sz w:val="18"/>
              </w:rPr>
            </w:pPr>
            <w:r w:rsidRPr="00237A2C">
              <w:rPr>
                <w:sz w:val="18"/>
              </w:rPr>
              <w:t>(1080)</w:t>
            </w:r>
          </w:p>
        </w:tc>
        <w:tc>
          <w:tcPr>
            <w:tcW w:w="624" w:type="dxa"/>
            <w:tcBorders>
              <w:top w:val="nil"/>
              <w:left w:val="nil"/>
              <w:bottom w:val="nil"/>
              <w:right w:val="nil"/>
            </w:tcBorders>
          </w:tcPr>
          <w:p w:rsidR="00AE50BA" w:rsidRPr="00237A2C" w:rsidRDefault="00AE50BA">
            <w:pPr>
              <w:jc w:val="right"/>
              <w:rPr>
                <w:sz w:val="18"/>
              </w:rPr>
            </w:pPr>
            <w:r w:rsidRPr="00237A2C">
              <w:rPr>
                <w:sz w:val="18"/>
              </w:rPr>
              <w:t>(1080)</w:t>
            </w:r>
          </w:p>
        </w:tc>
        <w:tc>
          <w:tcPr>
            <w:tcW w:w="624" w:type="dxa"/>
            <w:tcBorders>
              <w:top w:val="nil"/>
              <w:left w:val="nil"/>
              <w:bottom w:val="nil"/>
              <w:right w:val="nil"/>
            </w:tcBorders>
          </w:tcPr>
          <w:p w:rsidR="00AE50BA" w:rsidRPr="00237A2C" w:rsidRDefault="00AE50BA">
            <w:pPr>
              <w:jc w:val="right"/>
              <w:rPr>
                <w:sz w:val="18"/>
              </w:rPr>
            </w:pPr>
          </w:p>
        </w:tc>
        <w:tc>
          <w:tcPr>
            <w:tcW w:w="624" w:type="dxa"/>
            <w:tcBorders>
              <w:top w:val="nil"/>
              <w:left w:val="nil"/>
              <w:bottom w:val="nil"/>
              <w:right w:val="nil"/>
            </w:tcBorders>
          </w:tcPr>
          <w:p w:rsidR="00AE50BA" w:rsidRPr="00237A2C" w:rsidRDefault="00AE50BA">
            <w:pPr>
              <w:jc w:val="right"/>
              <w:rPr>
                <w:sz w:val="18"/>
              </w:rPr>
            </w:pPr>
          </w:p>
        </w:tc>
      </w:tr>
      <w:tr w:rsidR="00000000" w:rsidRPr="00237A2C">
        <w:tblPrEx>
          <w:tblCellMar>
            <w:top w:w="0" w:type="dxa"/>
            <w:bottom w:w="0" w:type="dxa"/>
          </w:tblCellMar>
        </w:tblPrEx>
        <w:trPr>
          <w:trHeight w:hRule="exact" w:val="360"/>
        </w:trPr>
        <w:tc>
          <w:tcPr>
            <w:tcW w:w="1077" w:type="dxa"/>
            <w:tcBorders>
              <w:top w:val="nil"/>
              <w:left w:val="nil"/>
              <w:bottom w:val="nil"/>
              <w:right w:val="nil"/>
            </w:tcBorders>
          </w:tcPr>
          <w:p w:rsidR="00AE50BA" w:rsidRPr="00237A2C" w:rsidRDefault="00AE50BA">
            <w:pPr>
              <w:rPr>
                <w:sz w:val="18"/>
              </w:rPr>
            </w:pPr>
            <w:r w:rsidRPr="00237A2C">
              <w:rPr>
                <w:sz w:val="18"/>
              </w:rPr>
              <w:t>1998/99:100</w:t>
            </w:r>
          </w:p>
        </w:tc>
        <w:tc>
          <w:tcPr>
            <w:tcW w:w="567" w:type="dxa"/>
            <w:tcBorders>
              <w:top w:val="nil"/>
              <w:left w:val="nil"/>
              <w:bottom w:val="nil"/>
              <w:right w:val="nil"/>
            </w:tcBorders>
          </w:tcPr>
          <w:p w:rsidR="00AE50BA" w:rsidRPr="00237A2C" w:rsidRDefault="00AE50BA">
            <w:pPr>
              <w:jc w:val="right"/>
              <w:rPr>
                <w:sz w:val="18"/>
              </w:rPr>
            </w:pPr>
          </w:p>
        </w:tc>
        <w:tc>
          <w:tcPr>
            <w:tcW w:w="624" w:type="dxa"/>
            <w:tcBorders>
              <w:top w:val="nil"/>
              <w:left w:val="nil"/>
              <w:bottom w:val="nil"/>
              <w:right w:val="nil"/>
            </w:tcBorders>
          </w:tcPr>
          <w:p w:rsidR="00AE50BA" w:rsidRPr="00237A2C" w:rsidRDefault="00AE50BA">
            <w:pPr>
              <w:jc w:val="right"/>
              <w:rPr>
                <w:sz w:val="18"/>
              </w:rPr>
            </w:pPr>
          </w:p>
        </w:tc>
        <w:tc>
          <w:tcPr>
            <w:tcW w:w="680" w:type="dxa"/>
            <w:tcBorders>
              <w:top w:val="nil"/>
              <w:left w:val="nil"/>
              <w:bottom w:val="nil"/>
              <w:right w:val="nil"/>
            </w:tcBorders>
          </w:tcPr>
          <w:p w:rsidR="00AE50BA" w:rsidRPr="00237A2C" w:rsidRDefault="00AE50BA">
            <w:pPr>
              <w:jc w:val="right"/>
              <w:rPr>
                <w:b/>
                <w:sz w:val="18"/>
              </w:rPr>
            </w:pPr>
          </w:p>
        </w:tc>
        <w:tc>
          <w:tcPr>
            <w:tcW w:w="680" w:type="dxa"/>
            <w:tcBorders>
              <w:top w:val="nil"/>
              <w:left w:val="nil"/>
              <w:bottom w:val="nil"/>
              <w:right w:val="nil"/>
            </w:tcBorders>
          </w:tcPr>
          <w:p w:rsidR="00AE50BA" w:rsidRPr="00237A2C" w:rsidRDefault="00AE50BA">
            <w:pPr>
              <w:jc w:val="right"/>
              <w:rPr>
                <w:b/>
                <w:sz w:val="18"/>
              </w:rPr>
            </w:pPr>
            <w:r w:rsidRPr="00237A2C">
              <w:rPr>
                <w:b/>
                <w:sz w:val="18"/>
              </w:rPr>
              <w:t>-40</w:t>
            </w:r>
          </w:p>
        </w:tc>
        <w:tc>
          <w:tcPr>
            <w:tcW w:w="680" w:type="dxa"/>
            <w:tcBorders>
              <w:top w:val="nil"/>
              <w:left w:val="nil"/>
              <w:bottom w:val="nil"/>
              <w:right w:val="nil"/>
            </w:tcBorders>
          </w:tcPr>
          <w:p w:rsidR="00AE50BA" w:rsidRPr="00237A2C" w:rsidRDefault="00AE50BA">
            <w:pPr>
              <w:jc w:val="right"/>
              <w:rPr>
                <w:sz w:val="18"/>
              </w:rPr>
            </w:pPr>
          </w:p>
        </w:tc>
        <w:tc>
          <w:tcPr>
            <w:tcW w:w="624" w:type="dxa"/>
            <w:tcBorders>
              <w:top w:val="nil"/>
              <w:left w:val="nil"/>
              <w:bottom w:val="nil"/>
              <w:right w:val="nil"/>
            </w:tcBorders>
          </w:tcPr>
          <w:p w:rsidR="00AE50BA" w:rsidRPr="00237A2C" w:rsidRDefault="00AE50BA">
            <w:pPr>
              <w:jc w:val="right"/>
              <w:rPr>
                <w:sz w:val="18"/>
              </w:rPr>
            </w:pPr>
          </w:p>
        </w:tc>
        <w:tc>
          <w:tcPr>
            <w:tcW w:w="624" w:type="dxa"/>
            <w:tcBorders>
              <w:top w:val="nil"/>
              <w:left w:val="nil"/>
              <w:bottom w:val="nil"/>
              <w:right w:val="nil"/>
            </w:tcBorders>
          </w:tcPr>
          <w:p w:rsidR="00AE50BA" w:rsidRPr="00237A2C" w:rsidRDefault="00AE50BA">
            <w:pPr>
              <w:jc w:val="right"/>
              <w:rPr>
                <w:sz w:val="18"/>
              </w:rPr>
            </w:pPr>
          </w:p>
        </w:tc>
        <w:tc>
          <w:tcPr>
            <w:tcW w:w="624" w:type="dxa"/>
            <w:tcBorders>
              <w:top w:val="nil"/>
              <w:left w:val="nil"/>
              <w:bottom w:val="nil"/>
              <w:right w:val="nil"/>
            </w:tcBorders>
          </w:tcPr>
          <w:p w:rsidR="00AE50BA" w:rsidRPr="00237A2C" w:rsidRDefault="00AE50BA">
            <w:pPr>
              <w:jc w:val="right"/>
              <w:rPr>
                <w:sz w:val="18"/>
              </w:rPr>
            </w:pPr>
          </w:p>
        </w:tc>
      </w:tr>
      <w:tr w:rsidR="00000000" w:rsidRPr="00237A2C">
        <w:tblPrEx>
          <w:tblCellMar>
            <w:top w:w="0" w:type="dxa"/>
            <w:bottom w:w="0" w:type="dxa"/>
          </w:tblCellMar>
        </w:tblPrEx>
        <w:trPr>
          <w:trHeight w:hRule="exact" w:val="360"/>
        </w:trPr>
        <w:tc>
          <w:tcPr>
            <w:tcW w:w="1077" w:type="dxa"/>
            <w:tcBorders>
              <w:top w:val="nil"/>
              <w:left w:val="nil"/>
              <w:bottom w:val="nil"/>
              <w:right w:val="nil"/>
            </w:tcBorders>
          </w:tcPr>
          <w:p w:rsidR="00AE50BA" w:rsidRPr="00237A2C" w:rsidRDefault="00AE50BA">
            <w:pPr>
              <w:rPr>
                <w:sz w:val="18"/>
              </w:rPr>
            </w:pPr>
            <w:r w:rsidRPr="00237A2C">
              <w:rPr>
                <w:sz w:val="18"/>
              </w:rPr>
              <w:t>1999/2000:1</w:t>
            </w:r>
          </w:p>
        </w:tc>
        <w:tc>
          <w:tcPr>
            <w:tcW w:w="567" w:type="dxa"/>
            <w:tcBorders>
              <w:top w:val="nil"/>
              <w:left w:val="nil"/>
              <w:bottom w:val="nil"/>
              <w:right w:val="nil"/>
            </w:tcBorders>
          </w:tcPr>
          <w:p w:rsidR="00AE50BA" w:rsidRPr="00237A2C" w:rsidRDefault="00AE50BA">
            <w:pPr>
              <w:jc w:val="right"/>
              <w:rPr>
                <w:sz w:val="18"/>
              </w:rPr>
            </w:pPr>
          </w:p>
        </w:tc>
        <w:tc>
          <w:tcPr>
            <w:tcW w:w="624" w:type="dxa"/>
            <w:tcBorders>
              <w:top w:val="nil"/>
              <w:left w:val="nil"/>
              <w:bottom w:val="nil"/>
              <w:right w:val="nil"/>
            </w:tcBorders>
          </w:tcPr>
          <w:p w:rsidR="00AE50BA" w:rsidRPr="00237A2C" w:rsidRDefault="00AE50BA">
            <w:pPr>
              <w:jc w:val="right"/>
              <w:rPr>
                <w:sz w:val="18"/>
              </w:rPr>
            </w:pPr>
          </w:p>
        </w:tc>
        <w:tc>
          <w:tcPr>
            <w:tcW w:w="680" w:type="dxa"/>
            <w:tcBorders>
              <w:top w:val="nil"/>
              <w:left w:val="nil"/>
              <w:bottom w:val="nil"/>
              <w:right w:val="nil"/>
            </w:tcBorders>
          </w:tcPr>
          <w:p w:rsidR="00AE50BA" w:rsidRPr="00237A2C" w:rsidRDefault="00AE50BA">
            <w:pPr>
              <w:jc w:val="right"/>
              <w:rPr>
                <w:b/>
                <w:sz w:val="18"/>
              </w:rPr>
            </w:pPr>
          </w:p>
        </w:tc>
        <w:tc>
          <w:tcPr>
            <w:tcW w:w="680" w:type="dxa"/>
            <w:tcBorders>
              <w:top w:val="nil"/>
              <w:left w:val="nil"/>
              <w:bottom w:val="nil"/>
              <w:right w:val="nil"/>
            </w:tcBorders>
          </w:tcPr>
          <w:p w:rsidR="00AE50BA" w:rsidRPr="00237A2C" w:rsidRDefault="00AE50BA">
            <w:pPr>
              <w:jc w:val="right"/>
              <w:rPr>
                <w:b/>
                <w:sz w:val="18"/>
              </w:rPr>
            </w:pPr>
          </w:p>
        </w:tc>
        <w:tc>
          <w:tcPr>
            <w:tcW w:w="680" w:type="dxa"/>
            <w:tcBorders>
              <w:top w:val="nil"/>
              <w:left w:val="nil"/>
              <w:bottom w:val="nil"/>
              <w:right w:val="nil"/>
            </w:tcBorders>
          </w:tcPr>
          <w:p w:rsidR="00AE50BA" w:rsidRPr="00237A2C" w:rsidRDefault="00AE50BA">
            <w:pPr>
              <w:jc w:val="right"/>
              <w:rPr>
                <w:b/>
                <w:sz w:val="18"/>
              </w:rPr>
            </w:pPr>
            <w:r w:rsidRPr="00237A2C">
              <w:rPr>
                <w:b/>
                <w:sz w:val="18"/>
              </w:rPr>
              <w:t>1091,5</w:t>
            </w:r>
          </w:p>
        </w:tc>
        <w:tc>
          <w:tcPr>
            <w:tcW w:w="624" w:type="dxa"/>
            <w:tcBorders>
              <w:top w:val="nil"/>
              <w:left w:val="nil"/>
              <w:bottom w:val="nil"/>
              <w:right w:val="nil"/>
            </w:tcBorders>
          </w:tcPr>
          <w:p w:rsidR="00AE50BA" w:rsidRPr="00237A2C" w:rsidRDefault="00AE50BA">
            <w:pPr>
              <w:jc w:val="right"/>
              <w:rPr>
                <w:sz w:val="18"/>
              </w:rPr>
            </w:pPr>
            <w:r w:rsidRPr="00237A2C">
              <w:rPr>
                <w:sz w:val="18"/>
              </w:rPr>
              <w:t>(1771)</w:t>
            </w:r>
          </w:p>
        </w:tc>
        <w:tc>
          <w:tcPr>
            <w:tcW w:w="624" w:type="dxa"/>
            <w:tcBorders>
              <w:top w:val="nil"/>
              <w:left w:val="nil"/>
              <w:bottom w:val="nil"/>
              <w:right w:val="nil"/>
            </w:tcBorders>
          </w:tcPr>
          <w:p w:rsidR="00AE50BA" w:rsidRPr="00237A2C" w:rsidRDefault="00AE50BA">
            <w:pPr>
              <w:jc w:val="right"/>
              <w:rPr>
                <w:sz w:val="18"/>
              </w:rPr>
            </w:pPr>
            <w:r w:rsidRPr="00237A2C">
              <w:rPr>
                <w:sz w:val="18"/>
              </w:rPr>
              <w:t>(671)</w:t>
            </w:r>
          </w:p>
        </w:tc>
        <w:tc>
          <w:tcPr>
            <w:tcW w:w="624" w:type="dxa"/>
            <w:tcBorders>
              <w:top w:val="nil"/>
              <w:left w:val="nil"/>
              <w:bottom w:val="nil"/>
              <w:right w:val="nil"/>
            </w:tcBorders>
          </w:tcPr>
          <w:p w:rsidR="00AE50BA" w:rsidRPr="00237A2C" w:rsidRDefault="00AE50BA">
            <w:pPr>
              <w:jc w:val="right"/>
              <w:rPr>
                <w:sz w:val="18"/>
              </w:rPr>
            </w:pPr>
          </w:p>
        </w:tc>
      </w:tr>
      <w:tr w:rsidR="00000000" w:rsidRPr="00237A2C">
        <w:tblPrEx>
          <w:tblCellMar>
            <w:top w:w="0" w:type="dxa"/>
            <w:bottom w:w="0" w:type="dxa"/>
          </w:tblCellMar>
        </w:tblPrEx>
        <w:trPr>
          <w:trHeight w:hRule="exact" w:val="360"/>
        </w:trPr>
        <w:tc>
          <w:tcPr>
            <w:tcW w:w="1077" w:type="dxa"/>
            <w:tcBorders>
              <w:top w:val="nil"/>
              <w:left w:val="nil"/>
              <w:bottom w:val="nil"/>
              <w:right w:val="nil"/>
            </w:tcBorders>
          </w:tcPr>
          <w:p w:rsidR="00AE50BA" w:rsidRPr="00237A2C" w:rsidRDefault="00AE50BA">
            <w:pPr>
              <w:rPr>
                <w:sz w:val="18"/>
              </w:rPr>
            </w:pPr>
            <w:r w:rsidRPr="00237A2C">
              <w:rPr>
                <w:sz w:val="18"/>
              </w:rPr>
              <w:t>S:a anslag</w:t>
            </w:r>
          </w:p>
        </w:tc>
        <w:tc>
          <w:tcPr>
            <w:tcW w:w="567" w:type="dxa"/>
            <w:tcBorders>
              <w:top w:val="nil"/>
              <w:left w:val="nil"/>
              <w:bottom w:val="nil"/>
              <w:right w:val="nil"/>
            </w:tcBorders>
          </w:tcPr>
          <w:p w:rsidR="00AE50BA" w:rsidRPr="00237A2C" w:rsidRDefault="00AE50BA">
            <w:pPr>
              <w:jc w:val="right"/>
              <w:rPr>
                <w:b/>
                <w:sz w:val="18"/>
              </w:rPr>
            </w:pPr>
            <w:r w:rsidRPr="00237A2C">
              <w:rPr>
                <w:b/>
                <w:sz w:val="18"/>
              </w:rPr>
              <w:t>400</w:t>
            </w:r>
          </w:p>
        </w:tc>
        <w:tc>
          <w:tcPr>
            <w:tcW w:w="624" w:type="dxa"/>
            <w:tcBorders>
              <w:top w:val="nil"/>
              <w:left w:val="nil"/>
              <w:bottom w:val="nil"/>
              <w:right w:val="nil"/>
            </w:tcBorders>
          </w:tcPr>
          <w:p w:rsidR="00AE50BA" w:rsidRPr="00237A2C" w:rsidRDefault="00AE50BA">
            <w:pPr>
              <w:jc w:val="right"/>
              <w:rPr>
                <w:b/>
                <w:sz w:val="18"/>
              </w:rPr>
            </w:pPr>
            <w:r w:rsidRPr="00237A2C">
              <w:rPr>
                <w:b/>
                <w:sz w:val="18"/>
              </w:rPr>
              <w:t>600</w:t>
            </w:r>
          </w:p>
        </w:tc>
        <w:tc>
          <w:tcPr>
            <w:tcW w:w="680" w:type="dxa"/>
            <w:tcBorders>
              <w:top w:val="nil"/>
              <w:left w:val="nil"/>
              <w:bottom w:val="nil"/>
              <w:right w:val="nil"/>
            </w:tcBorders>
          </w:tcPr>
          <w:p w:rsidR="00AE50BA" w:rsidRPr="00237A2C" w:rsidRDefault="00AE50BA">
            <w:pPr>
              <w:jc w:val="right"/>
              <w:rPr>
                <w:b/>
                <w:sz w:val="18"/>
              </w:rPr>
            </w:pPr>
            <w:r w:rsidRPr="00237A2C">
              <w:rPr>
                <w:b/>
                <w:sz w:val="18"/>
              </w:rPr>
              <w:t>1136,6</w:t>
            </w:r>
          </w:p>
        </w:tc>
        <w:tc>
          <w:tcPr>
            <w:tcW w:w="680" w:type="dxa"/>
            <w:tcBorders>
              <w:top w:val="nil"/>
              <w:left w:val="nil"/>
              <w:bottom w:val="nil"/>
              <w:right w:val="nil"/>
            </w:tcBorders>
          </w:tcPr>
          <w:p w:rsidR="00AE50BA" w:rsidRPr="00237A2C" w:rsidRDefault="00AE50BA">
            <w:pPr>
              <w:jc w:val="right"/>
              <w:rPr>
                <w:b/>
                <w:sz w:val="18"/>
              </w:rPr>
            </w:pPr>
            <w:r w:rsidRPr="00237A2C">
              <w:rPr>
                <w:b/>
                <w:sz w:val="18"/>
              </w:rPr>
              <w:t>974</w:t>
            </w:r>
          </w:p>
        </w:tc>
        <w:tc>
          <w:tcPr>
            <w:tcW w:w="680" w:type="dxa"/>
            <w:tcBorders>
              <w:top w:val="nil"/>
              <w:left w:val="nil"/>
              <w:bottom w:val="nil"/>
              <w:right w:val="nil"/>
            </w:tcBorders>
          </w:tcPr>
          <w:p w:rsidR="00AE50BA" w:rsidRPr="00237A2C" w:rsidRDefault="00AE50BA">
            <w:pPr>
              <w:jc w:val="right"/>
              <w:rPr>
                <w:b/>
                <w:sz w:val="18"/>
              </w:rPr>
            </w:pPr>
            <w:r w:rsidRPr="00237A2C">
              <w:rPr>
                <w:b/>
                <w:sz w:val="18"/>
              </w:rPr>
              <w:t>1091,5</w:t>
            </w:r>
          </w:p>
        </w:tc>
        <w:tc>
          <w:tcPr>
            <w:tcW w:w="624" w:type="dxa"/>
            <w:tcBorders>
              <w:top w:val="nil"/>
              <w:left w:val="nil"/>
              <w:bottom w:val="nil"/>
              <w:right w:val="nil"/>
            </w:tcBorders>
          </w:tcPr>
          <w:p w:rsidR="00AE50BA" w:rsidRPr="00237A2C" w:rsidRDefault="00AE50BA">
            <w:pPr>
              <w:jc w:val="right"/>
              <w:rPr>
                <w:sz w:val="18"/>
              </w:rPr>
            </w:pPr>
            <w:r w:rsidRPr="00237A2C">
              <w:rPr>
                <w:sz w:val="18"/>
              </w:rPr>
              <w:t>(1771)</w:t>
            </w:r>
          </w:p>
        </w:tc>
        <w:tc>
          <w:tcPr>
            <w:tcW w:w="624" w:type="dxa"/>
            <w:tcBorders>
              <w:top w:val="nil"/>
              <w:left w:val="nil"/>
              <w:bottom w:val="nil"/>
              <w:right w:val="nil"/>
            </w:tcBorders>
          </w:tcPr>
          <w:p w:rsidR="00AE50BA" w:rsidRPr="00237A2C" w:rsidRDefault="00AE50BA">
            <w:pPr>
              <w:jc w:val="right"/>
              <w:rPr>
                <w:sz w:val="18"/>
              </w:rPr>
            </w:pPr>
            <w:r w:rsidRPr="00237A2C">
              <w:rPr>
                <w:sz w:val="18"/>
              </w:rPr>
              <w:t>(671)</w:t>
            </w:r>
          </w:p>
        </w:tc>
        <w:tc>
          <w:tcPr>
            <w:tcW w:w="624" w:type="dxa"/>
            <w:tcBorders>
              <w:top w:val="nil"/>
              <w:left w:val="nil"/>
              <w:bottom w:val="nil"/>
              <w:right w:val="nil"/>
            </w:tcBorders>
          </w:tcPr>
          <w:p w:rsidR="00AE50BA" w:rsidRPr="00237A2C" w:rsidRDefault="00AE50BA">
            <w:pPr>
              <w:jc w:val="right"/>
              <w:rPr>
                <w:b/>
                <w:sz w:val="18"/>
              </w:rPr>
            </w:pPr>
            <w:r w:rsidRPr="00237A2C">
              <w:rPr>
                <w:b/>
                <w:sz w:val="18"/>
              </w:rPr>
              <w:t>4 202</w:t>
            </w:r>
          </w:p>
        </w:tc>
      </w:tr>
    </w:tbl>
    <w:p w:rsidR="00AE50BA" w:rsidRPr="00237A2C" w:rsidRDefault="00AE50BA">
      <w:pPr>
        <w:spacing w:before="123"/>
        <w:rPr>
          <w:i/>
        </w:rPr>
      </w:pPr>
      <w:r w:rsidRPr="00237A2C">
        <w:rPr>
          <w:i/>
        </w:rPr>
        <w:t>Genomförandefrågor</w:t>
      </w:r>
    </w:p>
    <w:p w:rsidR="00AE50BA" w:rsidRPr="00237A2C" w:rsidRDefault="00AE50BA">
      <w:pPr>
        <w:spacing w:before="123"/>
      </w:pPr>
      <w:r w:rsidRPr="00237A2C">
        <w:t>Genom riksdagens beslut i juli 1996 avsattes högst 200 miljoner kronor av de medel som anvisats för särskilda insatser för projekt i kommuner och land</w:t>
      </w:r>
      <w:r w:rsidRPr="00237A2C">
        <w:t>s</w:t>
      </w:r>
      <w:r w:rsidRPr="00237A2C">
        <w:t>ting (prop. 1995/96:222, bet. 1995/95:FiU15). I samband därmed förordade regeringen att dessa medel skulle fördelas av en kommitté. I en motion från Folkpartiet ställdes krav på att medlen i stället skulle fördelas direkt av reg</w:t>
      </w:r>
      <w:r w:rsidRPr="00237A2C">
        <w:t>e</w:t>
      </w:r>
      <w:r w:rsidRPr="00237A2C">
        <w:t>ringen. Någon särskild kommitté för att fördela pengarna behövdes inte, menade motionärerna (bet. 1995/96:FiU15 s. 88). Ramarna för kommitténs arbete angavs av regeringen i kommittédirektiv (dir. 1996:67). Resultatet av kommitténs arbete avrapporterades i betänkandet Nya grepp – ko</w:t>
      </w:r>
      <w:r w:rsidRPr="00237A2C">
        <w:t>mmunal förnyelse och kompetensutveckling (SOU 1998:91).</w:t>
      </w:r>
    </w:p>
    <w:p w:rsidR="00AE50BA" w:rsidRPr="00237A2C" w:rsidRDefault="00AE50BA">
      <w:pPr>
        <w:pStyle w:val="Normaltindrag"/>
      </w:pPr>
      <w:r w:rsidRPr="00237A2C">
        <w:t>Anslaget är ett reservationsanslag och reservationer har regelmässigt förts över till nästkommande budgetår. Medlen disponerades inledningsvis av Riksskatteverket i enlighet med förskrifter som regeringen meddelade. Av regleringsbrevet för år 1998 framgår att dispositionsrätten detta år överfördes till regeringen. Där framgår också att vissa medel (2 miljoner kronor) får disponeras för utredningar av förutsättningar för och utformningen av stödå</w:t>
      </w:r>
      <w:r w:rsidRPr="00237A2C">
        <w:t>t</w:t>
      </w:r>
      <w:r w:rsidRPr="00237A2C">
        <w:t>gärderna (a</w:t>
      </w:r>
      <w:r w:rsidRPr="00237A2C">
        <w:t>n</w:t>
      </w:r>
      <w:r w:rsidRPr="00237A2C">
        <w:t>slagsposten 2).</w:t>
      </w:r>
    </w:p>
    <w:p w:rsidR="00AE50BA" w:rsidRPr="00237A2C" w:rsidRDefault="00AE50BA">
      <w:pPr>
        <w:pStyle w:val="Normaltindrag"/>
      </w:pPr>
      <w:r w:rsidRPr="00237A2C">
        <w:t>I och med inrättandet av Bostadsdelegationen disponerade denna deleg</w:t>
      </w:r>
      <w:r w:rsidRPr="00237A2C">
        <w:t>a</w:t>
      </w:r>
      <w:r w:rsidRPr="00237A2C">
        <w:t>tion år 1999 enligt regleringsbrevet för samma år 600 miljoner kronor för bidrag till stöd till vissa kommuner med bostadsåtaganden. Resterande b</w:t>
      </w:r>
      <w:r w:rsidRPr="00237A2C">
        <w:t>e</w:t>
      </w:r>
      <w:r w:rsidRPr="00237A2C">
        <w:t>lopp på anslaget förfogade regeringen över, varav 2 miljoner kronor för utredningsverksamhet (anslagsposten 2).  Motsvarande gäller även för bu</w:t>
      </w:r>
      <w:r w:rsidRPr="00237A2C">
        <w:t>d</w:t>
      </w:r>
      <w:r w:rsidRPr="00237A2C">
        <w:t>getåret 2000, då även detta år 600 miljoner kronor disponeras av Bostadsd</w:t>
      </w:r>
      <w:r w:rsidRPr="00237A2C">
        <w:t>e</w:t>
      </w:r>
      <w:r w:rsidRPr="00237A2C">
        <w:t>legationen. Enligt regleringsbrevet skall 2,7 miljoner kronor för Kommu</w:t>
      </w:r>
      <w:r w:rsidRPr="00237A2C">
        <w:t>n</w:t>
      </w:r>
      <w:r w:rsidRPr="00237A2C">
        <w:t>delegationens administr</w:t>
      </w:r>
      <w:r w:rsidRPr="00237A2C">
        <w:t>a</w:t>
      </w:r>
      <w:r w:rsidRPr="00237A2C">
        <w:t>tion.</w:t>
      </w:r>
    </w:p>
    <w:p w:rsidR="00AE50BA" w:rsidRPr="00237A2C" w:rsidRDefault="00AE50BA">
      <w:pPr>
        <w:pStyle w:val="Normaltindrag"/>
      </w:pPr>
      <w:r w:rsidRPr="00237A2C">
        <w:t>Bostadsdelegationens verksamhet regleras i en</w:t>
      </w:r>
      <w:r w:rsidRPr="00237A2C">
        <w:t xml:space="preserve"> särskild förordning (1998:667) med instruktion för myndigheten. Frågor om stödets omfattning, inriktning m.m. behandlas i förordningen (1998:666) om statligt stöd för vissa kommunala åtaganden för boendet. Bostadsdelegationen inrättades den 1 juli 1998 och Kommundelegationen den 19 augusti 1999. Kommundeleg</w:t>
      </w:r>
      <w:r w:rsidRPr="00237A2C">
        <w:t>a</w:t>
      </w:r>
      <w:r w:rsidRPr="00237A2C">
        <w:t>tionen är en kommitté och dess uppgifter framgår av direktiven (dir. 1999:65). Delegationen kan endast bereda ärenden som överlämnas till den efter särskilt beslut av regeringen. Före det att delegation</w:t>
      </w:r>
      <w:r w:rsidRPr="00237A2C">
        <w:t>erna inrättades fördelades pengarna på anslaget direkt av regeringen. Till ledning för besl</w:t>
      </w:r>
      <w:r w:rsidRPr="00237A2C">
        <w:t>u</w:t>
      </w:r>
      <w:r w:rsidRPr="00237A2C">
        <w:t>ten låg vissa allmänna uttalanden från regeringen i propositioner och från riksd</w:t>
      </w:r>
      <w:r w:rsidRPr="00237A2C">
        <w:t>a</w:t>
      </w:r>
      <w:r w:rsidRPr="00237A2C">
        <w:t xml:space="preserve">gen i utskottsbetänkanden. </w:t>
      </w:r>
    </w:p>
    <w:p w:rsidR="00AE50BA" w:rsidRPr="00237A2C" w:rsidRDefault="00AE50BA">
      <w:pPr>
        <w:rPr>
          <w:i/>
        </w:rPr>
      </w:pPr>
      <w:r w:rsidRPr="00237A2C">
        <w:rPr>
          <w:i/>
        </w:rPr>
        <w:t>Uppföljning och  utvärdering</w:t>
      </w:r>
    </w:p>
    <w:p w:rsidR="00AE50BA" w:rsidRPr="00237A2C" w:rsidRDefault="00AE50BA">
      <w:r w:rsidRPr="00237A2C">
        <w:t>I anslutning till riksdagsbehandlingen hösten 1999 av budgetförslaget (prop. 1999/2000:1) restes i motioner från Moderaterna, Centerpartiet och Folkpa</w:t>
      </w:r>
      <w:r w:rsidRPr="00237A2C">
        <w:t>r</w:t>
      </w:r>
      <w:r w:rsidRPr="00237A2C">
        <w:t>tiet krav på att anslaget A2 Bidrag till särskilda insatser i vissa kommuner och landsting skulle avskaffas. I motionerna hävdades bl.a. att bidragsgi</w:t>
      </w:r>
      <w:r w:rsidRPr="00237A2C">
        <w:t>v</w:t>
      </w:r>
      <w:r w:rsidRPr="00237A2C">
        <w:t>ningen var slumpartad och godtycklig. Finansutskottet avstyrkte motionerna och ansåg att problemen i de mest utsatta kommunerna på kort sikt knappast kan lösas inom ramen för utjämningssystemet. Utskottet pekade också på att regeringen inrättat Kommundelegationen för att bereda ansökningar om stöd och förutsatte att regeringen vid lämpligt tillfälle återkomm</w:t>
      </w:r>
      <w:r w:rsidRPr="00237A2C">
        <w:t>er till riksdagen med en mer utförlig återrapportering om hur de anvisade medlen har använts (bet. 1999/2000:FiU3 s. 14).</w:t>
      </w:r>
    </w:p>
    <w:p w:rsidR="00AE50BA" w:rsidRPr="00237A2C" w:rsidRDefault="00AE50BA">
      <w:pPr>
        <w:rPr>
          <w:i/>
        </w:rPr>
      </w:pPr>
      <w:r w:rsidRPr="00237A2C">
        <w:rPr>
          <w:i/>
        </w:rPr>
        <w:t>Resultatrapportering till riksdagen</w:t>
      </w:r>
    </w:p>
    <w:p w:rsidR="00AE50BA" w:rsidRPr="00237A2C" w:rsidRDefault="00AE50BA">
      <w:r w:rsidRPr="00237A2C">
        <w:t>I budgetpropositionen för år 1999 (prop. 1998/99:1) rapporterade regeringen om resultatet av den projektverksamhet som finansierats med 200 miljoner kronor av 1996 års anslag till särskilda insatser i kommuner och landsting och som redovisats i betänkandet Nya grepp (SOU 1998:91). Enligt reg</w:t>
      </w:r>
      <w:r w:rsidRPr="00237A2C">
        <w:t>e</w:t>
      </w:r>
      <w:r w:rsidRPr="00237A2C">
        <w:t>ringenss uppfattning hade de genomförda projekten utgjort ett värdefullt bidrag för att underlätta omstruktureringen av verksamhet i kommuner och landsting. Där sades också att uppskattningsvis ca 13 000 personer fått ko</w:t>
      </w:r>
      <w:r w:rsidRPr="00237A2C">
        <w:t>m</w:t>
      </w:r>
      <w:r w:rsidRPr="00237A2C">
        <w:t>petensutvec</w:t>
      </w:r>
      <w:r w:rsidRPr="00237A2C">
        <w:t>k</w:t>
      </w:r>
      <w:r w:rsidRPr="00237A2C">
        <w:t xml:space="preserve">ling genom de olika projekten. </w:t>
      </w:r>
    </w:p>
    <w:p w:rsidR="00AE50BA" w:rsidRPr="00237A2C" w:rsidRDefault="00AE50BA">
      <w:pPr>
        <w:pStyle w:val="Normaltindrag"/>
      </w:pPr>
      <w:r w:rsidRPr="00237A2C">
        <w:t>I budgetpropositionen för år 2000 (prop. 1999/2000:1) anmälde regeringen att den fram till hösten 1999 tagit emot 89 ansökningar om bidrag från ko</w:t>
      </w:r>
      <w:r w:rsidRPr="00237A2C">
        <w:t>m</w:t>
      </w:r>
      <w:r w:rsidRPr="00237A2C">
        <w:t>muner och fem ansökningar från landsting och fattat beslut om bidrag till 13 kommuner. Bland de faktorer som legat till grund för beslut om bidrag nämns särskilt negativ befolkningsutveckling och hög arbetslöshet. Av pr</w:t>
      </w:r>
      <w:r w:rsidRPr="00237A2C">
        <w:t>o</w:t>
      </w:r>
      <w:r w:rsidRPr="00237A2C">
        <w:t>positionen framgår också att Bostadsdelegationen till samma tidpunkt tagit emot 72 ansökningar och träffat överenskommelser om stöd med 15 ko</w:t>
      </w:r>
      <w:r w:rsidRPr="00237A2C">
        <w:t>m</w:t>
      </w:r>
      <w:r w:rsidRPr="00237A2C">
        <w:t>muner. En utgångspunkt när det gäller omstruktureringsåtgärder enligt avt</w:t>
      </w:r>
      <w:r w:rsidRPr="00237A2C">
        <w:t>a</w:t>
      </w:r>
      <w:r w:rsidRPr="00237A2C">
        <w:t>len är, heter det, att dessa inte får motverka de miljökvalitetsmål som rik</w:t>
      </w:r>
      <w:r w:rsidRPr="00237A2C">
        <w:t>sd</w:t>
      </w:r>
      <w:r w:rsidRPr="00237A2C">
        <w:t>a</w:t>
      </w:r>
      <w:r w:rsidRPr="00237A2C">
        <w:t>gen antagit. Något försök att bedöma effekterna av insatserna redovisas inte i propositionen.</w:t>
      </w:r>
    </w:p>
    <w:p w:rsidR="00AE50BA" w:rsidRPr="00237A2C" w:rsidRDefault="00AE50BA">
      <w:pPr>
        <w:pStyle w:val="Normaltindrag"/>
      </w:pPr>
      <w:r w:rsidRPr="00237A2C">
        <w:t>I budgetpropositionen för år 2001 redovisar regeringen att Kommundel</w:t>
      </w:r>
      <w:r w:rsidRPr="00237A2C">
        <w:t>e</w:t>
      </w:r>
      <w:r w:rsidRPr="00237A2C">
        <w:t>gationen avslutat sitt arbete den 1 juli 2000 och till regeringen överlämnat förslag till överenskommelser med 36 kommuner och tre landsting. Det totala bidrag som av Kommundelegationen föreslås utbetalas uppgår enligt propositionen till 1 127 miljoner kronor. Regeringen anmäler också att B</w:t>
      </w:r>
      <w:r w:rsidRPr="00237A2C">
        <w:t>o</w:t>
      </w:r>
      <w:r w:rsidRPr="00237A2C">
        <w:t>stadsdelegationens uppdrag beräknas ku</w:t>
      </w:r>
      <w:r w:rsidRPr="00237A2C">
        <w:t>n</w:t>
      </w:r>
      <w:r w:rsidRPr="00237A2C">
        <w:t>na avslutas under år 2001.</w:t>
      </w:r>
    </w:p>
    <w:p w:rsidR="00AE50BA" w:rsidRPr="00237A2C" w:rsidRDefault="00AE50BA">
      <w:pPr>
        <w:pStyle w:val="Rubrik3"/>
      </w:pPr>
      <w:bookmarkStart w:id="213" w:name="_Toc509125605"/>
      <w:bookmarkStart w:id="214" w:name="_Toc509738037"/>
      <w:bookmarkStart w:id="215" w:name="_Toc516991657"/>
      <w:r w:rsidRPr="00237A2C">
        <w:t>2. 2 Särskilda insatser i utsatta bostadsområden (Blommanpengarna)</w:t>
      </w:r>
      <w:bookmarkEnd w:id="213"/>
      <w:bookmarkEnd w:id="214"/>
      <w:bookmarkEnd w:id="215"/>
    </w:p>
    <w:p w:rsidR="00AE50BA" w:rsidRPr="00237A2C" w:rsidRDefault="00AE50BA">
      <w:pPr>
        <w:rPr>
          <w:i/>
        </w:rPr>
      </w:pPr>
      <w:r w:rsidRPr="00237A2C">
        <w:rPr>
          <w:i/>
        </w:rPr>
        <w:t>Bakgrund, motiv och mål</w:t>
      </w:r>
    </w:p>
    <w:p w:rsidR="00AE50BA" w:rsidRPr="00237A2C" w:rsidRDefault="00AE50BA">
      <w:r w:rsidRPr="00237A2C">
        <w:t>Ett särskilt statligt stöd till kommunerna infördes budgetåret 1995/96 för att stimulera metodutveckling vad gäller invandrartäta och eftersatta bostadso</w:t>
      </w:r>
      <w:r w:rsidRPr="00237A2C">
        <w:t>m</w:t>
      </w:r>
      <w:r w:rsidRPr="00237A2C">
        <w:t>råden. Syftet angavs vara att stärka kompetensen hos och öka arbetskraft</w:t>
      </w:r>
      <w:r w:rsidRPr="00237A2C">
        <w:t>s</w:t>
      </w:r>
      <w:r w:rsidRPr="00237A2C">
        <w:t>deltagandet bland de boende i dessa områden för att konkret bidra till en god social utveckling och motverka utanförskap (prop. 1994/95:100, bil. 11, s. 160). Medlen borde enligt propositionen ställas till regeringens förfogande och fördelas på insatser av projektkara</w:t>
      </w:r>
      <w:r w:rsidRPr="00237A2C">
        <w:t>k</w:t>
      </w:r>
      <w:r w:rsidRPr="00237A2C">
        <w:t>tär.</w:t>
      </w:r>
    </w:p>
    <w:p w:rsidR="00AE50BA" w:rsidRPr="00237A2C" w:rsidRDefault="00AE50BA">
      <w:pPr>
        <w:rPr>
          <w:i/>
        </w:rPr>
      </w:pPr>
      <w:r w:rsidRPr="00237A2C">
        <w:rPr>
          <w:i/>
        </w:rPr>
        <w:t>Anslagen</w:t>
      </w:r>
    </w:p>
    <w:p w:rsidR="00AE50BA" w:rsidRPr="00237A2C" w:rsidRDefault="00AE50BA">
      <w:r w:rsidRPr="00237A2C">
        <w:t xml:space="preserve">Ett nytt anslag, </w:t>
      </w:r>
      <w:r w:rsidRPr="00237A2C">
        <w:rPr>
          <w:i/>
        </w:rPr>
        <w:t>Särskilda insatser i invandrartäta bostadsområden</w:t>
      </w:r>
      <w:r w:rsidRPr="00237A2C">
        <w:t>, inrätt</w:t>
      </w:r>
      <w:r w:rsidRPr="00237A2C">
        <w:t>a</w:t>
      </w:r>
      <w:r w:rsidRPr="00237A2C">
        <w:t>des således för budgetåret 1995/96 efter förslag i budgetpropositionen. 125 milj.kr. anvisades för ändamålet, de s.k. Blommanpengarna.</w:t>
      </w:r>
    </w:p>
    <w:p w:rsidR="00AE50BA" w:rsidRPr="00237A2C" w:rsidRDefault="00AE50BA">
      <w:pPr>
        <w:pStyle w:val="Normaltindrag"/>
      </w:pPr>
      <w:r w:rsidRPr="00237A2C">
        <w:t>I budgetförslaget för år 1997 (prop. 1996/97:1) underströk regeringen att det är viktigt med ett långsiktigt och kontinuerligt arbete. Det var därför angeläget att den inledda satsningen fortsatte. Ytterligare 125 miljoner kr</w:t>
      </w:r>
      <w:r w:rsidRPr="00237A2C">
        <w:t>o</w:t>
      </w:r>
      <w:r w:rsidRPr="00237A2C">
        <w:t>nor  borde därför avsättas och samtidigt betonades att också kommuner uta</w:t>
      </w:r>
      <w:r w:rsidRPr="00237A2C">
        <w:t>n</w:t>
      </w:r>
      <w:r w:rsidRPr="00237A2C">
        <w:t>för storstadsområdena i viss omfattning skulle ges möjlighet att ansöka om medel för metodutveckling. I förslaget till tilläggsbudget hösten 1997 (prop. 1997/98:1) föreslogs att de ökade kostnaderna för kommunernas flyktin</w:t>
      </w:r>
      <w:r w:rsidRPr="00237A2C">
        <w:t>g</w:t>
      </w:r>
      <w:r w:rsidRPr="00237A2C">
        <w:t>mottagande bl.a. skulle finansieras med en minskning med 70 miljoner kr</w:t>
      </w:r>
      <w:r w:rsidRPr="00237A2C">
        <w:t>o</w:t>
      </w:r>
      <w:r w:rsidRPr="00237A2C">
        <w:t xml:space="preserve">nor på anslaget till särskilda insatser i invandrartäta områden. Efter denna reducering uppgick således anslaget för budgetåret 1997  till 55 </w:t>
      </w:r>
      <w:r w:rsidRPr="00237A2C">
        <w:t>miljoner kronor.</w:t>
      </w:r>
    </w:p>
    <w:p w:rsidR="00AE50BA" w:rsidRPr="00237A2C" w:rsidRDefault="00AE50BA">
      <w:pPr>
        <w:pStyle w:val="Normaltindrag"/>
      </w:pPr>
      <w:r w:rsidRPr="00237A2C">
        <w:t>I budgetpropositionen för år 1998 föreslogs en delvis ändrad anslag</w:t>
      </w:r>
      <w:r w:rsidRPr="00237A2C">
        <w:t>s</w:t>
      </w:r>
      <w:r w:rsidRPr="00237A2C">
        <w:t xml:space="preserve">struktur inom verksamhetsområdet Integrationspolitik. I samband därmed ändrades anslagets benämning till </w:t>
      </w:r>
      <w:r w:rsidRPr="00237A2C">
        <w:rPr>
          <w:i/>
        </w:rPr>
        <w:t>Särskilda insatser i utsatta bostadsomr</w:t>
      </w:r>
      <w:r w:rsidRPr="00237A2C">
        <w:rPr>
          <w:i/>
        </w:rPr>
        <w:t>å</w:t>
      </w:r>
      <w:r w:rsidRPr="00237A2C">
        <w:rPr>
          <w:i/>
        </w:rPr>
        <w:t>den</w:t>
      </w:r>
      <w:r w:rsidRPr="00237A2C">
        <w:t xml:space="preserve"> och 200 miljoner kronor begärdes för budgetåret 1998. I propositionen hävdas att den indragning på 70 miljoner kronor för år 1997 som föreslogs vid samma tillfälle inte borde påverka kommunernas insatser under året. I stället förordades en omfördelning av anslagsnivåerna för åren 1998 och 1999 och en förlängning av utvecklingsarbetet till att också omfatta år </w:t>
      </w:r>
      <w:r w:rsidRPr="00237A2C">
        <w:t>2000. Därigenom skulle långsi</w:t>
      </w:r>
      <w:r w:rsidRPr="00237A2C">
        <w:t>k</w:t>
      </w:r>
      <w:r w:rsidRPr="00237A2C">
        <w:t xml:space="preserve">tigheten i utvecklingsarbete befrämjas. </w:t>
      </w:r>
    </w:p>
    <w:p w:rsidR="00AE50BA" w:rsidRPr="00237A2C" w:rsidRDefault="00AE50BA">
      <w:pPr>
        <w:pStyle w:val="Normaltindrag"/>
      </w:pPr>
      <w:r w:rsidRPr="00237A2C">
        <w:t>I samband med behandling i riksdagen av anslaget för år 1998 (bet. 1997/98:SfU2 s. 14</w:t>
      </w:r>
      <w:r w:rsidRPr="00237A2C">
        <w:sym w:font="Symbol" w:char="F02D"/>
      </w:r>
      <w:r w:rsidRPr="00237A2C">
        <w:t>15) genomfördes en minskning av anslaget med drygt 10 miljoner kronor för att finansiera en fortsatt utgivning av Invandrarti</w:t>
      </w:r>
      <w:r w:rsidRPr="00237A2C">
        <w:t>d</w:t>
      </w:r>
      <w:r w:rsidRPr="00237A2C">
        <w:t>ningen. Riksdagen anvisade mot denna bakgrund till anslaget B2 på utgift</w:t>
      </w:r>
      <w:r w:rsidRPr="00237A2C">
        <w:t>s</w:t>
      </w:r>
      <w:r w:rsidRPr="00237A2C">
        <w:t>område 8 knappt 190 miljoner kronor.</w:t>
      </w:r>
    </w:p>
    <w:p w:rsidR="00AE50BA" w:rsidRPr="00237A2C" w:rsidRDefault="00AE50BA">
      <w:pPr>
        <w:pStyle w:val="Normaltindrag"/>
      </w:pPr>
      <w:r w:rsidRPr="00237A2C">
        <w:t>Liksom föregående år reducerades anslaget för budgetåret 1998 till sä</w:t>
      </w:r>
      <w:r w:rsidRPr="00237A2C">
        <w:t>r</w:t>
      </w:r>
      <w:r w:rsidRPr="00237A2C">
        <w:t>skilda insatser till följd av ökade kostnader till kommunersättningar vid flyktingmottagande. Anslagsminskningen var 25 miljoner kronor och besl</w:t>
      </w:r>
      <w:r w:rsidRPr="00237A2C">
        <w:t>u</w:t>
      </w:r>
      <w:r w:rsidRPr="00237A2C">
        <w:t>tades av riksdagen efter förslag på tilläggsbudget i budgetpropositionen för år 1999. Efter de förändringar som genomfördes vid detta tillfälle tillsa</w:t>
      </w:r>
      <w:r w:rsidRPr="00237A2C">
        <w:t>m</w:t>
      </w:r>
      <w:r w:rsidRPr="00237A2C">
        <w:t>mans med den tidigare beslutade reduceringen disponerades sammantaget knappt 165 miljoner kronor för ändamålet.</w:t>
      </w:r>
    </w:p>
    <w:p w:rsidR="00AE50BA" w:rsidRPr="00237A2C" w:rsidRDefault="00AE50BA">
      <w:pPr>
        <w:pStyle w:val="Normaltindrag"/>
      </w:pPr>
      <w:r w:rsidRPr="00237A2C">
        <w:t xml:space="preserve">För budgetåret 1999 föreslogs i budgetpropositionen ett anslag på 142 miljoner kronor. I propositionen </w:t>
      </w:r>
      <w:r w:rsidRPr="00237A2C">
        <w:t>anför regeringen att särskilda insatser på utbildningsområdet föreslås i samma proposition som en del i den s.k. Sto</w:t>
      </w:r>
      <w:r w:rsidRPr="00237A2C">
        <w:t>r</w:t>
      </w:r>
      <w:r w:rsidRPr="00237A2C">
        <w:t>stadssatsningen. Det gäller här 220 miljoner kronor per helår under en treår</w:t>
      </w:r>
      <w:r w:rsidRPr="00237A2C">
        <w:t>s</w:t>
      </w:r>
      <w:r w:rsidRPr="00237A2C">
        <w:t>period med början den 1 juli 1999. Medlen skall användas till förskola i utsatta bostadsområden, till språkutveckling i skolan och till utbildningspla</w:t>
      </w:r>
      <w:r w:rsidRPr="00237A2C">
        <w:t>t</w:t>
      </w:r>
      <w:r w:rsidRPr="00237A2C">
        <w:t xml:space="preserve">ser för vuxna. </w:t>
      </w:r>
    </w:p>
    <w:p w:rsidR="00AE50BA" w:rsidRPr="00237A2C" w:rsidRDefault="00AE50BA">
      <w:pPr>
        <w:pStyle w:val="Normaltindrag"/>
      </w:pPr>
      <w:r w:rsidRPr="00237A2C">
        <w:t>I samband med riksdagsbehandlingen hösten 1998 av budgetförslaget y</w:t>
      </w:r>
      <w:r w:rsidRPr="00237A2C">
        <w:t>r</w:t>
      </w:r>
      <w:r w:rsidRPr="00237A2C">
        <w:t xml:space="preserve">kades i en motion från Moderaterna att det inte skulle anslås några medel till anslaget B2 Särskilda insatser i utsatta bostadsområden. Enligt motionärerna borde i stället en utredning tillsättas om möjligheterna att inrätta s.k. frizoner i syfte att åstadkomma mer avreglerade ekonomiska aktiviteter. </w:t>
      </w:r>
    </w:p>
    <w:p w:rsidR="00AE50BA" w:rsidRPr="00237A2C" w:rsidRDefault="00AE50BA">
      <w:pPr>
        <w:pStyle w:val="Normaltindrag"/>
      </w:pPr>
      <w:r w:rsidRPr="00237A2C">
        <w:t xml:space="preserve">I budgetpropositionen för år 2000 anför regeringen att eftersom anslaget i första hand skall ses som ett stöd för storstadsregionerna bör det fr.o.m. år 2000 benämnas </w:t>
      </w:r>
      <w:r w:rsidRPr="00237A2C">
        <w:rPr>
          <w:i/>
        </w:rPr>
        <w:t>Utvecklingsinsatser i storstadsregionerna</w:t>
      </w:r>
      <w:r w:rsidRPr="00237A2C">
        <w:t xml:space="preserve">. För budgetåret 2000 föreslogs det uppgå till 260 miljoner kronor och för de två påföljande budgetåren beräknades anslaget till 565 respektive 116 miljoner kronor. </w:t>
      </w:r>
    </w:p>
    <w:p w:rsidR="00AE50BA" w:rsidRPr="00237A2C" w:rsidRDefault="00AE50BA">
      <w:pPr>
        <w:pStyle w:val="Normaltindrag"/>
      </w:pPr>
      <w:r w:rsidRPr="00237A2C">
        <w:t>Moderaterna återkom hösten 1999 i en motion och förordade att riksdagen skulle anvisa 200 miljoner kronor mindre än regeringen föreslagit och avv</w:t>
      </w:r>
      <w:r w:rsidRPr="00237A2C">
        <w:t>i</w:t>
      </w:r>
      <w:r w:rsidRPr="00237A2C">
        <w:t>sade de föreslagna satsningarna på storstadsregionerna. I stället borde andra vägar prövas. Även Folkpartiet föreslog en motsvarande minskning och framhöll att tidigare gjorda projektsatsningar inte hade varit framgångsrika. Kommunerna borde i stället ges bättre generella förutsättningar. Utskottet avstyrkte motionerna och ansåg det befogat med särskilda satsningar i sto</w:t>
      </w:r>
      <w:r w:rsidRPr="00237A2C">
        <w:t>r</w:t>
      </w:r>
      <w:r w:rsidRPr="00237A2C">
        <w:t xml:space="preserve">stadsregionerna men betonade att dessa satsningar måste vara långsiktiga och kunna införlivas i kommunernas ordinarie verksamheter (bet. </w:t>
      </w:r>
      <w:r w:rsidRPr="00237A2C">
        <w:t>1999/2000:SfU2 s. 20).</w:t>
      </w:r>
    </w:p>
    <w:p w:rsidR="00AE50BA" w:rsidRPr="00237A2C" w:rsidRDefault="00AE50BA">
      <w:pPr>
        <w:pStyle w:val="Normaltindrag"/>
      </w:pPr>
      <w:r w:rsidRPr="00237A2C">
        <w:t>Beslutade och beräknade anslag för perioden 1996</w:t>
      </w:r>
      <w:r w:rsidRPr="00237A2C">
        <w:sym w:font="Symbol" w:char="F02D"/>
      </w:r>
      <w:r w:rsidRPr="00237A2C">
        <w:t>2002 framgår av fö</w:t>
      </w:r>
      <w:r w:rsidRPr="00237A2C">
        <w:t>l</w:t>
      </w:r>
      <w:r w:rsidRPr="00237A2C">
        <w:t>jande tabell. De anvisade anslagen för perioden 1996</w:t>
      </w:r>
      <w:r w:rsidRPr="00237A2C">
        <w:sym w:font="Symbol" w:char="F02D"/>
      </w:r>
      <w:r w:rsidRPr="00237A2C">
        <w:t>2000 uppgår till sa</w:t>
      </w:r>
      <w:r w:rsidRPr="00237A2C">
        <w:t>m</w:t>
      </w:r>
      <w:r w:rsidRPr="00237A2C">
        <w:t>manlagt 747 milj. kr. och de beräknade beloppen för åren 2001 och 2002 till 565 respektive 116 miljoner kronor eller totalt 1 428 miljoner kronor för hela peri</w:t>
      </w:r>
      <w:r w:rsidRPr="00237A2C">
        <w:t>o</w:t>
      </w:r>
      <w:r w:rsidRPr="00237A2C">
        <w:t>den.</w:t>
      </w:r>
    </w:p>
    <w:p w:rsidR="00AE50BA" w:rsidRPr="00237A2C" w:rsidRDefault="00AE50BA">
      <w:pPr>
        <w:rPr>
          <w:b/>
        </w:rPr>
      </w:pPr>
      <w:r w:rsidRPr="00237A2C">
        <w:rPr>
          <w:b/>
        </w:rPr>
        <w:t>Anslag för bidrag till särskilda insatser i utsatta bostadsområden</w:t>
      </w:r>
    </w:p>
    <w:p w:rsidR="00AE50BA" w:rsidRPr="00237A2C" w:rsidRDefault="00AE50BA">
      <w:pPr>
        <w:spacing w:after="40"/>
      </w:pPr>
      <w:r w:rsidRPr="00237A2C">
        <w:t>Miljoner kronor (Beräknade anslag inom parentes)</w:t>
      </w:r>
    </w:p>
    <w:tbl>
      <w:tblPr>
        <w:tblW w:w="0" w:type="auto"/>
        <w:jc w:val="right"/>
        <w:tblBorders>
          <w:top w:val="single" w:sz="4" w:space="0" w:color="auto"/>
        </w:tblBorders>
        <w:tblLayout w:type="fixed"/>
        <w:tblCellMar>
          <w:left w:w="70" w:type="dxa"/>
          <w:right w:w="70" w:type="dxa"/>
        </w:tblCellMar>
        <w:tblLook w:val="0000" w:firstRow="0" w:lastRow="0" w:firstColumn="0" w:lastColumn="0" w:noHBand="0" w:noVBand="0"/>
      </w:tblPr>
      <w:tblGrid>
        <w:gridCol w:w="1134"/>
        <w:gridCol w:w="567"/>
        <w:gridCol w:w="567"/>
        <w:gridCol w:w="624"/>
        <w:gridCol w:w="624"/>
        <w:gridCol w:w="624"/>
        <w:gridCol w:w="624"/>
        <w:gridCol w:w="624"/>
        <w:gridCol w:w="624"/>
      </w:tblGrid>
      <w:tr w:rsidR="00000000" w:rsidRPr="00237A2C">
        <w:tblPrEx>
          <w:tblCellMar>
            <w:top w:w="0" w:type="dxa"/>
            <w:bottom w:w="0" w:type="dxa"/>
          </w:tblCellMar>
        </w:tblPrEx>
        <w:trPr>
          <w:trHeight w:hRule="exact" w:val="600"/>
          <w:jc w:val="right"/>
        </w:trPr>
        <w:tc>
          <w:tcPr>
            <w:tcW w:w="1134" w:type="dxa"/>
            <w:tcBorders>
              <w:top w:val="single" w:sz="4" w:space="0" w:color="auto"/>
              <w:bottom w:val="single" w:sz="4" w:space="0" w:color="auto"/>
            </w:tcBorders>
          </w:tcPr>
          <w:p w:rsidR="00AE50BA" w:rsidRPr="00237A2C" w:rsidRDefault="00AE50BA">
            <w:pPr>
              <w:jc w:val="left"/>
              <w:rPr>
                <w:sz w:val="18"/>
              </w:rPr>
            </w:pPr>
            <w:r w:rsidRPr="00237A2C">
              <w:rPr>
                <w:sz w:val="18"/>
              </w:rPr>
              <w:t>Prop.</w:t>
            </w:r>
          </w:p>
        </w:tc>
        <w:tc>
          <w:tcPr>
            <w:tcW w:w="567" w:type="dxa"/>
            <w:tcBorders>
              <w:top w:val="single" w:sz="4" w:space="0" w:color="auto"/>
              <w:bottom w:val="single" w:sz="4" w:space="0" w:color="auto"/>
            </w:tcBorders>
          </w:tcPr>
          <w:p w:rsidR="00AE50BA" w:rsidRPr="00237A2C" w:rsidRDefault="00AE50BA">
            <w:pPr>
              <w:jc w:val="right"/>
              <w:rPr>
                <w:sz w:val="18"/>
              </w:rPr>
            </w:pPr>
            <w:r w:rsidRPr="00237A2C">
              <w:rPr>
                <w:sz w:val="18"/>
              </w:rPr>
              <w:t>1996</w:t>
            </w:r>
          </w:p>
        </w:tc>
        <w:tc>
          <w:tcPr>
            <w:tcW w:w="567" w:type="dxa"/>
            <w:tcBorders>
              <w:top w:val="single" w:sz="4" w:space="0" w:color="auto"/>
              <w:bottom w:val="single" w:sz="4" w:space="0" w:color="auto"/>
            </w:tcBorders>
          </w:tcPr>
          <w:p w:rsidR="00AE50BA" w:rsidRPr="00237A2C" w:rsidRDefault="00AE50BA">
            <w:pPr>
              <w:jc w:val="right"/>
              <w:rPr>
                <w:sz w:val="18"/>
              </w:rPr>
            </w:pPr>
            <w:r w:rsidRPr="00237A2C">
              <w:rPr>
                <w:sz w:val="18"/>
              </w:rPr>
              <w:t>1997</w:t>
            </w:r>
          </w:p>
        </w:tc>
        <w:tc>
          <w:tcPr>
            <w:tcW w:w="624" w:type="dxa"/>
            <w:tcBorders>
              <w:top w:val="single" w:sz="4" w:space="0" w:color="auto"/>
              <w:bottom w:val="single" w:sz="4" w:space="0" w:color="auto"/>
            </w:tcBorders>
          </w:tcPr>
          <w:p w:rsidR="00AE50BA" w:rsidRPr="00237A2C" w:rsidRDefault="00AE50BA">
            <w:pPr>
              <w:jc w:val="right"/>
              <w:rPr>
                <w:sz w:val="18"/>
              </w:rPr>
            </w:pPr>
            <w:r w:rsidRPr="00237A2C">
              <w:rPr>
                <w:sz w:val="18"/>
              </w:rPr>
              <w:t>1998</w:t>
            </w:r>
          </w:p>
        </w:tc>
        <w:tc>
          <w:tcPr>
            <w:tcW w:w="624" w:type="dxa"/>
            <w:tcBorders>
              <w:top w:val="single" w:sz="4" w:space="0" w:color="auto"/>
              <w:bottom w:val="single" w:sz="4" w:space="0" w:color="auto"/>
            </w:tcBorders>
          </w:tcPr>
          <w:p w:rsidR="00AE50BA" w:rsidRPr="00237A2C" w:rsidRDefault="00AE50BA">
            <w:pPr>
              <w:jc w:val="right"/>
              <w:rPr>
                <w:sz w:val="18"/>
              </w:rPr>
            </w:pPr>
            <w:r w:rsidRPr="00237A2C">
              <w:rPr>
                <w:sz w:val="18"/>
              </w:rPr>
              <w:t>1999</w:t>
            </w:r>
          </w:p>
        </w:tc>
        <w:tc>
          <w:tcPr>
            <w:tcW w:w="624" w:type="dxa"/>
            <w:tcBorders>
              <w:top w:val="single" w:sz="4" w:space="0" w:color="auto"/>
              <w:bottom w:val="single" w:sz="4" w:space="0" w:color="auto"/>
            </w:tcBorders>
          </w:tcPr>
          <w:p w:rsidR="00AE50BA" w:rsidRPr="00237A2C" w:rsidRDefault="00AE50BA">
            <w:pPr>
              <w:jc w:val="right"/>
              <w:rPr>
                <w:sz w:val="18"/>
              </w:rPr>
            </w:pPr>
            <w:r w:rsidRPr="00237A2C">
              <w:rPr>
                <w:sz w:val="18"/>
              </w:rPr>
              <w:t>2000</w:t>
            </w:r>
          </w:p>
        </w:tc>
        <w:tc>
          <w:tcPr>
            <w:tcW w:w="624" w:type="dxa"/>
            <w:tcBorders>
              <w:top w:val="single" w:sz="4" w:space="0" w:color="auto"/>
              <w:bottom w:val="single" w:sz="4" w:space="0" w:color="auto"/>
            </w:tcBorders>
          </w:tcPr>
          <w:p w:rsidR="00AE50BA" w:rsidRPr="00237A2C" w:rsidRDefault="00AE50BA">
            <w:pPr>
              <w:jc w:val="right"/>
              <w:rPr>
                <w:sz w:val="18"/>
              </w:rPr>
            </w:pPr>
            <w:r w:rsidRPr="00237A2C">
              <w:rPr>
                <w:sz w:val="18"/>
              </w:rPr>
              <w:t>2001</w:t>
            </w:r>
          </w:p>
        </w:tc>
        <w:tc>
          <w:tcPr>
            <w:tcW w:w="624" w:type="dxa"/>
            <w:tcBorders>
              <w:top w:val="single" w:sz="4" w:space="0" w:color="auto"/>
              <w:bottom w:val="single" w:sz="4" w:space="0" w:color="auto"/>
            </w:tcBorders>
          </w:tcPr>
          <w:p w:rsidR="00AE50BA" w:rsidRPr="00237A2C" w:rsidRDefault="00AE50BA">
            <w:pPr>
              <w:jc w:val="right"/>
              <w:rPr>
                <w:sz w:val="18"/>
              </w:rPr>
            </w:pPr>
            <w:r w:rsidRPr="00237A2C">
              <w:rPr>
                <w:sz w:val="18"/>
              </w:rPr>
              <w:t>2002</w:t>
            </w:r>
          </w:p>
        </w:tc>
        <w:tc>
          <w:tcPr>
            <w:tcW w:w="624" w:type="dxa"/>
            <w:tcBorders>
              <w:top w:val="single" w:sz="4" w:space="0" w:color="auto"/>
              <w:bottom w:val="single" w:sz="4" w:space="0" w:color="auto"/>
            </w:tcBorders>
          </w:tcPr>
          <w:p w:rsidR="00AE50BA" w:rsidRPr="00237A2C" w:rsidRDefault="00AE50BA">
            <w:pPr>
              <w:jc w:val="right"/>
              <w:rPr>
                <w:sz w:val="18"/>
              </w:rPr>
            </w:pPr>
            <w:r w:rsidRPr="00237A2C">
              <w:rPr>
                <w:sz w:val="18"/>
              </w:rPr>
              <w:t>Totalt</w:t>
            </w:r>
          </w:p>
        </w:tc>
      </w:tr>
      <w:tr w:rsidR="00000000" w:rsidRPr="00237A2C">
        <w:tblPrEx>
          <w:tblCellMar>
            <w:top w:w="0" w:type="dxa"/>
            <w:bottom w:w="0" w:type="dxa"/>
          </w:tblCellMar>
        </w:tblPrEx>
        <w:trPr>
          <w:jc w:val="right"/>
        </w:trPr>
        <w:tc>
          <w:tcPr>
            <w:tcW w:w="1134" w:type="dxa"/>
            <w:tcBorders>
              <w:top w:val="nil"/>
            </w:tcBorders>
          </w:tcPr>
          <w:p w:rsidR="00AE50BA" w:rsidRPr="00237A2C" w:rsidRDefault="00AE50BA">
            <w:pPr>
              <w:jc w:val="left"/>
              <w:rPr>
                <w:sz w:val="18"/>
              </w:rPr>
            </w:pPr>
            <w:r w:rsidRPr="00237A2C">
              <w:rPr>
                <w:sz w:val="18"/>
              </w:rPr>
              <w:t>1994/95:10</w:t>
            </w:r>
          </w:p>
        </w:tc>
        <w:tc>
          <w:tcPr>
            <w:tcW w:w="567" w:type="dxa"/>
            <w:tcBorders>
              <w:top w:val="nil"/>
            </w:tcBorders>
          </w:tcPr>
          <w:p w:rsidR="00AE50BA" w:rsidRPr="00237A2C" w:rsidRDefault="00AE50BA">
            <w:pPr>
              <w:jc w:val="right"/>
              <w:rPr>
                <w:sz w:val="18"/>
              </w:rPr>
            </w:pPr>
            <w:r w:rsidRPr="00237A2C">
              <w:rPr>
                <w:b/>
                <w:sz w:val="18"/>
              </w:rPr>
              <w:t>125</w:t>
            </w:r>
          </w:p>
        </w:tc>
        <w:tc>
          <w:tcPr>
            <w:tcW w:w="567" w:type="dxa"/>
            <w:tcBorders>
              <w:top w:val="nil"/>
            </w:tcBorders>
          </w:tcPr>
          <w:p w:rsidR="00AE50BA" w:rsidRPr="00237A2C" w:rsidRDefault="00AE50BA">
            <w:pPr>
              <w:jc w:val="right"/>
              <w:rPr>
                <w:sz w:val="18"/>
              </w:rPr>
            </w:pPr>
          </w:p>
        </w:tc>
        <w:tc>
          <w:tcPr>
            <w:tcW w:w="624" w:type="dxa"/>
            <w:tcBorders>
              <w:top w:val="nil"/>
            </w:tcBorders>
          </w:tcPr>
          <w:p w:rsidR="00AE50BA" w:rsidRPr="00237A2C" w:rsidRDefault="00AE50BA">
            <w:pPr>
              <w:jc w:val="right"/>
              <w:rPr>
                <w:sz w:val="18"/>
              </w:rPr>
            </w:pPr>
          </w:p>
        </w:tc>
        <w:tc>
          <w:tcPr>
            <w:tcW w:w="624" w:type="dxa"/>
            <w:tcBorders>
              <w:top w:val="nil"/>
            </w:tcBorders>
          </w:tcPr>
          <w:p w:rsidR="00AE50BA" w:rsidRPr="00237A2C" w:rsidRDefault="00AE50BA">
            <w:pPr>
              <w:jc w:val="right"/>
              <w:rPr>
                <w:sz w:val="18"/>
              </w:rPr>
            </w:pPr>
          </w:p>
        </w:tc>
        <w:tc>
          <w:tcPr>
            <w:tcW w:w="624" w:type="dxa"/>
            <w:tcBorders>
              <w:top w:val="nil"/>
            </w:tcBorders>
          </w:tcPr>
          <w:p w:rsidR="00AE50BA" w:rsidRPr="00237A2C" w:rsidRDefault="00AE50BA">
            <w:pPr>
              <w:jc w:val="right"/>
              <w:rPr>
                <w:sz w:val="18"/>
              </w:rPr>
            </w:pPr>
          </w:p>
        </w:tc>
        <w:tc>
          <w:tcPr>
            <w:tcW w:w="624" w:type="dxa"/>
            <w:tcBorders>
              <w:top w:val="nil"/>
            </w:tcBorders>
          </w:tcPr>
          <w:p w:rsidR="00AE50BA" w:rsidRPr="00237A2C" w:rsidRDefault="00AE50BA">
            <w:pPr>
              <w:jc w:val="right"/>
              <w:rPr>
                <w:sz w:val="18"/>
              </w:rPr>
            </w:pPr>
          </w:p>
        </w:tc>
        <w:tc>
          <w:tcPr>
            <w:tcW w:w="624" w:type="dxa"/>
            <w:tcBorders>
              <w:top w:val="nil"/>
            </w:tcBorders>
          </w:tcPr>
          <w:p w:rsidR="00AE50BA" w:rsidRPr="00237A2C" w:rsidRDefault="00AE50BA">
            <w:pPr>
              <w:jc w:val="right"/>
              <w:rPr>
                <w:sz w:val="18"/>
              </w:rPr>
            </w:pPr>
          </w:p>
        </w:tc>
        <w:tc>
          <w:tcPr>
            <w:tcW w:w="624" w:type="dxa"/>
            <w:tcBorders>
              <w:top w:val="nil"/>
            </w:tcBorders>
          </w:tcPr>
          <w:p w:rsidR="00AE50BA" w:rsidRPr="00237A2C" w:rsidRDefault="00AE50BA">
            <w:pPr>
              <w:jc w:val="right"/>
              <w:rPr>
                <w:sz w:val="18"/>
              </w:rPr>
            </w:pPr>
          </w:p>
        </w:tc>
      </w:tr>
      <w:tr w:rsidR="00000000" w:rsidRPr="00237A2C">
        <w:tblPrEx>
          <w:tblCellMar>
            <w:top w:w="0" w:type="dxa"/>
            <w:bottom w:w="0" w:type="dxa"/>
          </w:tblCellMar>
        </w:tblPrEx>
        <w:trPr>
          <w:jc w:val="right"/>
        </w:trPr>
        <w:tc>
          <w:tcPr>
            <w:tcW w:w="1134" w:type="dxa"/>
          </w:tcPr>
          <w:p w:rsidR="00AE50BA" w:rsidRPr="00237A2C" w:rsidRDefault="00AE50BA">
            <w:pPr>
              <w:jc w:val="left"/>
              <w:rPr>
                <w:sz w:val="18"/>
              </w:rPr>
            </w:pPr>
            <w:r w:rsidRPr="00237A2C">
              <w:rPr>
                <w:sz w:val="18"/>
              </w:rPr>
              <w:t>1996/97:1</w:t>
            </w:r>
          </w:p>
        </w:tc>
        <w:tc>
          <w:tcPr>
            <w:tcW w:w="567" w:type="dxa"/>
          </w:tcPr>
          <w:p w:rsidR="00AE50BA" w:rsidRPr="00237A2C" w:rsidRDefault="00AE50BA">
            <w:pPr>
              <w:jc w:val="right"/>
              <w:rPr>
                <w:sz w:val="18"/>
              </w:rPr>
            </w:pPr>
          </w:p>
        </w:tc>
        <w:tc>
          <w:tcPr>
            <w:tcW w:w="567" w:type="dxa"/>
          </w:tcPr>
          <w:p w:rsidR="00AE50BA" w:rsidRPr="00237A2C" w:rsidRDefault="00AE50BA">
            <w:pPr>
              <w:jc w:val="right"/>
              <w:rPr>
                <w:sz w:val="18"/>
              </w:rPr>
            </w:pPr>
            <w:r w:rsidRPr="00237A2C">
              <w:rPr>
                <w:b/>
                <w:sz w:val="18"/>
              </w:rPr>
              <w:t>125</w:t>
            </w:r>
          </w:p>
        </w:tc>
        <w:tc>
          <w:tcPr>
            <w:tcW w:w="624" w:type="dxa"/>
          </w:tcPr>
          <w:p w:rsidR="00AE50BA" w:rsidRPr="00237A2C" w:rsidRDefault="00AE50BA">
            <w:pPr>
              <w:jc w:val="right"/>
              <w:rPr>
                <w:sz w:val="18"/>
              </w:rPr>
            </w:pPr>
            <w:r w:rsidRPr="00237A2C">
              <w:rPr>
                <w:sz w:val="18"/>
              </w:rPr>
              <w:t>(100)</w:t>
            </w:r>
          </w:p>
        </w:tc>
        <w:tc>
          <w:tcPr>
            <w:tcW w:w="624" w:type="dxa"/>
          </w:tcPr>
          <w:p w:rsidR="00AE50BA" w:rsidRPr="00237A2C" w:rsidRDefault="00AE50BA">
            <w:pPr>
              <w:jc w:val="right"/>
              <w:rPr>
                <w:sz w:val="18"/>
              </w:rPr>
            </w:pPr>
            <w:r w:rsidRPr="00237A2C">
              <w:rPr>
                <w:sz w:val="18"/>
              </w:rPr>
              <w:t>(100)</w:t>
            </w:r>
          </w:p>
        </w:tc>
        <w:tc>
          <w:tcPr>
            <w:tcW w:w="624" w:type="dxa"/>
          </w:tcPr>
          <w:p w:rsidR="00AE50BA" w:rsidRPr="00237A2C" w:rsidRDefault="00AE50BA">
            <w:pPr>
              <w:jc w:val="right"/>
              <w:rPr>
                <w:sz w:val="18"/>
              </w:rPr>
            </w:pPr>
          </w:p>
        </w:tc>
        <w:tc>
          <w:tcPr>
            <w:tcW w:w="624" w:type="dxa"/>
          </w:tcPr>
          <w:p w:rsidR="00AE50BA" w:rsidRPr="00237A2C" w:rsidRDefault="00AE50BA">
            <w:pPr>
              <w:jc w:val="right"/>
              <w:rPr>
                <w:sz w:val="18"/>
              </w:rPr>
            </w:pPr>
          </w:p>
        </w:tc>
        <w:tc>
          <w:tcPr>
            <w:tcW w:w="624" w:type="dxa"/>
          </w:tcPr>
          <w:p w:rsidR="00AE50BA" w:rsidRPr="00237A2C" w:rsidRDefault="00AE50BA">
            <w:pPr>
              <w:jc w:val="right"/>
              <w:rPr>
                <w:sz w:val="18"/>
              </w:rPr>
            </w:pPr>
          </w:p>
        </w:tc>
        <w:tc>
          <w:tcPr>
            <w:tcW w:w="624" w:type="dxa"/>
          </w:tcPr>
          <w:p w:rsidR="00AE50BA" w:rsidRPr="00237A2C" w:rsidRDefault="00AE50BA">
            <w:pPr>
              <w:jc w:val="right"/>
              <w:rPr>
                <w:sz w:val="18"/>
              </w:rPr>
            </w:pPr>
          </w:p>
        </w:tc>
      </w:tr>
      <w:tr w:rsidR="00000000" w:rsidRPr="00237A2C">
        <w:tblPrEx>
          <w:tblCellMar>
            <w:top w:w="0" w:type="dxa"/>
            <w:bottom w:w="0" w:type="dxa"/>
          </w:tblCellMar>
        </w:tblPrEx>
        <w:trPr>
          <w:jc w:val="right"/>
        </w:trPr>
        <w:tc>
          <w:tcPr>
            <w:tcW w:w="1134" w:type="dxa"/>
          </w:tcPr>
          <w:p w:rsidR="00AE50BA" w:rsidRPr="00237A2C" w:rsidRDefault="00AE50BA">
            <w:pPr>
              <w:jc w:val="left"/>
              <w:rPr>
                <w:sz w:val="18"/>
              </w:rPr>
            </w:pPr>
            <w:r w:rsidRPr="00237A2C">
              <w:rPr>
                <w:sz w:val="18"/>
              </w:rPr>
              <w:t>1997/98:1</w:t>
            </w:r>
          </w:p>
        </w:tc>
        <w:tc>
          <w:tcPr>
            <w:tcW w:w="567" w:type="dxa"/>
          </w:tcPr>
          <w:p w:rsidR="00AE50BA" w:rsidRPr="00237A2C" w:rsidRDefault="00AE50BA">
            <w:pPr>
              <w:jc w:val="right"/>
              <w:rPr>
                <w:sz w:val="18"/>
              </w:rPr>
            </w:pPr>
          </w:p>
        </w:tc>
        <w:tc>
          <w:tcPr>
            <w:tcW w:w="567" w:type="dxa"/>
          </w:tcPr>
          <w:p w:rsidR="00AE50BA" w:rsidRPr="00237A2C" w:rsidRDefault="00AE50BA">
            <w:pPr>
              <w:jc w:val="right"/>
              <w:rPr>
                <w:sz w:val="18"/>
              </w:rPr>
            </w:pPr>
            <w:r w:rsidRPr="00237A2C">
              <w:rPr>
                <w:b/>
                <w:sz w:val="18"/>
              </w:rPr>
              <w:t>-70</w:t>
            </w:r>
          </w:p>
        </w:tc>
        <w:tc>
          <w:tcPr>
            <w:tcW w:w="624" w:type="dxa"/>
          </w:tcPr>
          <w:p w:rsidR="00AE50BA" w:rsidRPr="00237A2C" w:rsidRDefault="00AE50BA">
            <w:pPr>
              <w:jc w:val="right"/>
              <w:rPr>
                <w:sz w:val="18"/>
              </w:rPr>
            </w:pPr>
          </w:p>
        </w:tc>
        <w:tc>
          <w:tcPr>
            <w:tcW w:w="624" w:type="dxa"/>
          </w:tcPr>
          <w:p w:rsidR="00AE50BA" w:rsidRPr="00237A2C" w:rsidRDefault="00AE50BA">
            <w:pPr>
              <w:jc w:val="right"/>
              <w:rPr>
                <w:sz w:val="18"/>
              </w:rPr>
            </w:pPr>
          </w:p>
        </w:tc>
        <w:tc>
          <w:tcPr>
            <w:tcW w:w="624" w:type="dxa"/>
          </w:tcPr>
          <w:p w:rsidR="00AE50BA" w:rsidRPr="00237A2C" w:rsidRDefault="00AE50BA">
            <w:pPr>
              <w:jc w:val="right"/>
              <w:rPr>
                <w:sz w:val="18"/>
              </w:rPr>
            </w:pPr>
          </w:p>
        </w:tc>
        <w:tc>
          <w:tcPr>
            <w:tcW w:w="624" w:type="dxa"/>
          </w:tcPr>
          <w:p w:rsidR="00AE50BA" w:rsidRPr="00237A2C" w:rsidRDefault="00AE50BA">
            <w:pPr>
              <w:jc w:val="right"/>
              <w:rPr>
                <w:sz w:val="18"/>
              </w:rPr>
            </w:pPr>
          </w:p>
        </w:tc>
        <w:tc>
          <w:tcPr>
            <w:tcW w:w="624" w:type="dxa"/>
          </w:tcPr>
          <w:p w:rsidR="00AE50BA" w:rsidRPr="00237A2C" w:rsidRDefault="00AE50BA">
            <w:pPr>
              <w:jc w:val="right"/>
              <w:rPr>
                <w:sz w:val="18"/>
              </w:rPr>
            </w:pPr>
          </w:p>
        </w:tc>
        <w:tc>
          <w:tcPr>
            <w:tcW w:w="624" w:type="dxa"/>
          </w:tcPr>
          <w:p w:rsidR="00AE50BA" w:rsidRPr="00237A2C" w:rsidRDefault="00AE50BA">
            <w:pPr>
              <w:jc w:val="right"/>
              <w:rPr>
                <w:sz w:val="18"/>
              </w:rPr>
            </w:pPr>
          </w:p>
        </w:tc>
      </w:tr>
      <w:tr w:rsidR="00000000" w:rsidRPr="00237A2C">
        <w:tblPrEx>
          <w:tblCellMar>
            <w:top w:w="0" w:type="dxa"/>
            <w:bottom w:w="0" w:type="dxa"/>
          </w:tblCellMar>
        </w:tblPrEx>
        <w:trPr>
          <w:jc w:val="right"/>
        </w:trPr>
        <w:tc>
          <w:tcPr>
            <w:tcW w:w="1134" w:type="dxa"/>
          </w:tcPr>
          <w:p w:rsidR="00AE50BA" w:rsidRPr="00237A2C" w:rsidRDefault="00AE50BA">
            <w:pPr>
              <w:jc w:val="left"/>
              <w:rPr>
                <w:sz w:val="18"/>
              </w:rPr>
            </w:pPr>
            <w:r w:rsidRPr="00237A2C">
              <w:rPr>
                <w:sz w:val="18"/>
              </w:rPr>
              <w:t>1997/98:1</w:t>
            </w:r>
          </w:p>
        </w:tc>
        <w:tc>
          <w:tcPr>
            <w:tcW w:w="567" w:type="dxa"/>
          </w:tcPr>
          <w:p w:rsidR="00AE50BA" w:rsidRPr="00237A2C" w:rsidRDefault="00AE50BA">
            <w:pPr>
              <w:jc w:val="right"/>
              <w:rPr>
                <w:sz w:val="18"/>
              </w:rPr>
            </w:pPr>
          </w:p>
        </w:tc>
        <w:tc>
          <w:tcPr>
            <w:tcW w:w="567" w:type="dxa"/>
          </w:tcPr>
          <w:p w:rsidR="00AE50BA" w:rsidRPr="00237A2C" w:rsidRDefault="00AE50BA">
            <w:pPr>
              <w:jc w:val="right"/>
              <w:rPr>
                <w:sz w:val="18"/>
              </w:rPr>
            </w:pPr>
          </w:p>
        </w:tc>
        <w:tc>
          <w:tcPr>
            <w:tcW w:w="624" w:type="dxa"/>
          </w:tcPr>
          <w:p w:rsidR="00AE50BA" w:rsidRPr="00237A2C" w:rsidRDefault="00AE50BA">
            <w:pPr>
              <w:jc w:val="right"/>
              <w:rPr>
                <w:sz w:val="18"/>
              </w:rPr>
            </w:pPr>
            <w:r w:rsidRPr="00237A2C">
              <w:rPr>
                <w:b/>
                <w:sz w:val="18"/>
              </w:rPr>
              <w:t>190</w:t>
            </w:r>
          </w:p>
        </w:tc>
        <w:tc>
          <w:tcPr>
            <w:tcW w:w="624" w:type="dxa"/>
          </w:tcPr>
          <w:p w:rsidR="00AE50BA" w:rsidRPr="00237A2C" w:rsidRDefault="00AE50BA">
            <w:pPr>
              <w:jc w:val="right"/>
              <w:rPr>
                <w:sz w:val="18"/>
              </w:rPr>
            </w:pPr>
            <w:r w:rsidRPr="00237A2C">
              <w:rPr>
                <w:sz w:val="18"/>
              </w:rPr>
              <w:t>(150)</w:t>
            </w:r>
          </w:p>
        </w:tc>
        <w:tc>
          <w:tcPr>
            <w:tcW w:w="624" w:type="dxa"/>
          </w:tcPr>
          <w:p w:rsidR="00AE50BA" w:rsidRPr="00237A2C" w:rsidRDefault="00AE50BA">
            <w:pPr>
              <w:jc w:val="right"/>
              <w:rPr>
                <w:sz w:val="18"/>
              </w:rPr>
            </w:pPr>
            <w:r w:rsidRPr="00237A2C">
              <w:rPr>
                <w:sz w:val="18"/>
              </w:rPr>
              <w:t>(150)</w:t>
            </w:r>
          </w:p>
        </w:tc>
        <w:tc>
          <w:tcPr>
            <w:tcW w:w="624" w:type="dxa"/>
          </w:tcPr>
          <w:p w:rsidR="00AE50BA" w:rsidRPr="00237A2C" w:rsidRDefault="00AE50BA">
            <w:pPr>
              <w:jc w:val="right"/>
              <w:rPr>
                <w:sz w:val="18"/>
              </w:rPr>
            </w:pPr>
          </w:p>
        </w:tc>
        <w:tc>
          <w:tcPr>
            <w:tcW w:w="624" w:type="dxa"/>
          </w:tcPr>
          <w:p w:rsidR="00AE50BA" w:rsidRPr="00237A2C" w:rsidRDefault="00AE50BA">
            <w:pPr>
              <w:jc w:val="right"/>
              <w:rPr>
                <w:sz w:val="18"/>
              </w:rPr>
            </w:pPr>
          </w:p>
        </w:tc>
        <w:tc>
          <w:tcPr>
            <w:tcW w:w="624" w:type="dxa"/>
          </w:tcPr>
          <w:p w:rsidR="00AE50BA" w:rsidRPr="00237A2C" w:rsidRDefault="00AE50BA">
            <w:pPr>
              <w:jc w:val="right"/>
              <w:rPr>
                <w:sz w:val="18"/>
              </w:rPr>
            </w:pPr>
          </w:p>
        </w:tc>
      </w:tr>
      <w:tr w:rsidR="00000000" w:rsidRPr="00237A2C">
        <w:tblPrEx>
          <w:tblCellMar>
            <w:top w:w="0" w:type="dxa"/>
            <w:bottom w:w="0" w:type="dxa"/>
          </w:tblCellMar>
        </w:tblPrEx>
        <w:trPr>
          <w:jc w:val="right"/>
        </w:trPr>
        <w:tc>
          <w:tcPr>
            <w:tcW w:w="1134" w:type="dxa"/>
          </w:tcPr>
          <w:p w:rsidR="00AE50BA" w:rsidRPr="00237A2C" w:rsidRDefault="00AE50BA">
            <w:pPr>
              <w:jc w:val="left"/>
              <w:rPr>
                <w:sz w:val="18"/>
              </w:rPr>
            </w:pPr>
            <w:r w:rsidRPr="00237A2C">
              <w:rPr>
                <w:sz w:val="18"/>
              </w:rPr>
              <w:t>1998/99:1</w:t>
            </w:r>
          </w:p>
        </w:tc>
        <w:tc>
          <w:tcPr>
            <w:tcW w:w="567" w:type="dxa"/>
          </w:tcPr>
          <w:p w:rsidR="00AE50BA" w:rsidRPr="00237A2C" w:rsidRDefault="00AE50BA">
            <w:pPr>
              <w:jc w:val="right"/>
              <w:rPr>
                <w:sz w:val="18"/>
              </w:rPr>
            </w:pPr>
          </w:p>
        </w:tc>
        <w:tc>
          <w:tcPr>
            <w:tcW w:w="567" w:type="dxa"/>
          </w:tcPr>
          <w:p w:rsidR="00AE50BA" w:rsidRPr="00237A2C" w:rsidRDefault="00AE50BA">
            <w:pPr>
              <w:jc w:val="right"/>
              <w:rPr>
                <w:sz w:val="18"/>
              </w:rPr>
            </w:pPr>
          </w:p>
        </w:tc>
        <w:tc>
          <w:tcPr>
            <w:tcW w:w="624" w:type="dxa"/>
          </w:tcPr>
          <w:p w:rsidR="00AE50BA" w:rsidRPr="00237A2C" w:rsidRDefault="00AE50BA">
            <w:pPr>
              <w:jc w:val="right"/>
              <w:rPr>
                <w:sz w:val="18"/>
              </w:rPr>
            </w:pPr>
            <w:r w:rsidRPr="00237A2C">
              <w:rPr>
                <w:b/>
                <w:sz w:val="18"/>
              </w:rPr>
              <w:t>-25</w:t>
            </w:r>
          </w:p>
        </w:tc>
        <w:tc>
          <w:tcPr>
            <w:tcW w:w="624" w:type="dxa"/>
          </w:tcPr>
          <w:p w:rsidR="00AE50BA" w:rsidRPr="00237A2C" w:rsidRDefault="00AE50BA">
            <w:pPr>
              <w:jc w:val="right"/>
              <w:rPr>
                <w:sz w:val="18"/>
              </w:rPr>
            </w:pPr>
          </w:p>
        </w:tc>
        <w:tc>
          <w:tcPr>
            <w:tcW w:w="624" w:type="dxa"/>
          </w:tcPr>
          <w:p w:rsidR="00AE50BA" w:rsidRPr="00237A2C" w:rsidRDefault="00AE50BA">
            <w:pPr>
              <w:jc w:val="right"/>
              <w:rPr>
                <w:sz w:val="18"/>
              </w:rPr>
            </w:pPr>
          </w:p>
        </w:tc>
        <w:tc>
          <w:tcPr>
            <w:tcW w:w="624" w:type="dxa"/>
          </w:tcPr>
          <w:p w:rsidR="00AE50BA" w:rsidRPr="00237A2C" w:rsidRDefault="00AE50BA">
            <w:pPr>
              <w:jc w:val="right"/>
              <w:rPr>
                <w:sz w:val="18"/>
              </w:rPr>
            </w:pPr>
          </w:p>
        </w:tc>
        <w:tc>
          <w:tcPr>
            <w:tcW w:w="624" w:type="dxa"/>
          </w:tcPr>
          <w:p w:rsidR="00AE50BA" w:rsidRPr="00237A2C" w:rsidRDefault="00AE50BA">
            <w:pPr>
              <w:jc w:val="right"/>
              <w:rPr>
                <w:sz w:val="18"/>
              </w:rPr>
            </w:pPr>
          </w:p>
        </w:tc>
        <w:tc>
          <w:tcPr>
            <w:tcW w:w="624" w:type="dxa"/>
          </w:tcPr>
          <w:p w:rsidR="00AE50BA" w:rsidRPr="00237A2C" w:rsidRDefault="00AE50BA">
            <w:pPr>
              <w:jc w:val="right"/>
              <w:rPr>
                <w:sz w:val="18"/>
              </w:rPr>
            </w:pPr>
          </w:p>
        </w:tc>
      </w:tr>
      <w:tr w:rsidR="00000000" w:rsidRPr="00237A2C">
        <w:tblPrEx>
          <w:tblCellMar>
            <w:top w:w="0" w:type="dxa"/>
            <w:bottom w:w="0" w:type="dxa"/>
          </w:tblCellMar>
        </w:tblPrEx>
        <w:trPr>
          <w:jc w:val="right"/>
        </w:trPr>
        <w:tc>
          <w:tcPr>
            <w:tcW w:w="1134" w:type="dxa"/>
          </w:tcPr>
          <w:p w:rsidR="00AE50BA" w:rsidRPr="00237A2C" w:rsidRDefault="00AE50BA">
            <w:pPr>
              <w:jc w:val="left"/>
              <w:rPr>
                <w:sz w:val="18"/>
              </w:rPr>
            </w:pPr>
            <w:r w:rsidRPr="00237A2C">
              <w:rPr>
                <w:sz w:val="18"/>
              </w:rPr>
              <w:t>1998/99:1</w:t>
            </w:r>
          </w:p>
        </w:tc>
        <w:tc>
          <w:tcPr>
            <w:tcW w:w="567" w:type="dxa"/>
          </w:tcPr>
          <w:p w:rsidR="00AE50BA" w:rsidRPr="00237A2C" w:rsidRDefault="00AE50BA">
            <w:pPr>
              <w:jc w:val="right"/>
              <w:rPr>
                <w:sz w:val="18"/>
              </w:rPr>
            </w:pPr>
          </w:p>
        </w:tc>
        <w:tc>
          <w:tcPr>
            <w:tcW w:w="567" w:type="dxa"/>
          </w:tcPr>
          <w:p w:rsidR="00AE50BA" w:rsidRPr="00237A2C" w:rsidRDefault="00AE50BA">
            <w:pPr>
              <w:jc w:val="right"/>
              <w:rPr>
                <w:sz w:val="18"/>
              </w:rPr>
            </w:pPr>
          </w:p>
        </w:tc>
        <w:tc>
          <w:tcPr>
            <w:tcW w:w="624" w:type="dxa"/>
          </w:tcPr>
          <w:p w:rsidR="00AE50BA" w:rsidRPr="00237A2C" w:rsidRDefault="00AE50BA">
            <w:pPr>
              <w:jc w:val="right"/>
              <w:rPr>
                <w:sz w:val="18"/>
              </w:rPr>
            </w:pPr>
          </w:p>
        </w:tc>
        <w:tc>
          <w:tcPr>
            <w:tcW w:w="624" w:type="dxa"/>
          </w:tcPr>
          <w:p w:rsidR="00AE50BA" w:rsidRPr="00237A2C" w:rsidRDefault="00AE50BA">
            <w:pPr>
              <w:jc w:val="right"/>
              <w:rPr>
                <w:sz w:val="18"/>
              </w:rPr>
            </w:pPr>
            <w:r w:rsidRPr="00237A2C">
              <w:rPr>
                <w:b/>
                <w:sz w:val="18"/>
              </w:rPr>
              <w:t>142</w:t>
            </w:r>
          </w:p>
        </w:tc>
        <w:tc>
          <w:tcPr>
            <w:tcW w:w="624" w:type="dxa"/>
          </w:tcPr>
          <w:p w:rsidR="00AE50BA" w:rsidRPr="00237A2C" w:rsidRDefault="00AE50BA">
            <w:pPr>
              <w:jc w:val="right"/>
              <w:rPr>
                <w:sz w:val="18"/>
              </w:rPr>
            </w:pPr>
            <w:r w:rsidRPr="00237A2C">
              <w:rPr>
                <w:sz w:val="18"/>
              </w:rPr>
              <w:t>(260)</w:t>
            </w:r>
          </w:p>
        </w:tc>
        <w:tc>
          <w:tcPr>
            <w:tcW w:w="624" w:type="dxa"/>
          </w:tcPr>
          <w:p w:rsidR="00AE50BA" w:rsidRPr="00237A2C" w:rsidRDefault="00AE50BA">
            <w:pPr>
              <w:jc w:val="right"/>
              <w:rPr>
                <w:sz w:val="18"/>
              </w:rPr>
            </w:pPr>
            <w:r w:rsidRPr="00237A2C">
              <w:rPr>
                <w:sz w:val="18"/>
              </w:rPr>
              <w:t>(565)</w:t>
            </w:r>
          </w:p>
        </w:tc>
        <w:tc>
          <w:tcPr>
            <w:tcW w:w="624" w:type="dxa"/>
          </w:tcPr>
          <w:p w:rsidR="00AE50BA" w:rsidRPr="00237A2C" w:rsidRDefault="00AE50BA">
            <w:pPr>
              <w:jc w:val="right"/>
              <w:rPr>
                <w:sz w:val="18"/>
              </w:rPr>
            </w:pPr>
          </w:p>
        </w:tc>
        <w:tc>
          <w:tcPr>
            <w:tcW w:w="624" w:type="dxa"/>
          </w:tcPr>
          <w:p w:rsidR="00AE50BA" w:rsidRPr="00237A2C" w:rsidRDefault="00AE50BA">
            <w:pPr>
              <w:jc w:val="right"/>
              <w:rPr>
                <w:sz w:val="18"/>
              </w:rPr>
            </w:pPr>
          </w:p>
        </w:tc>
      </w:tr>
      <w:tr w:rsidR="00000000" w:rsidRPr="00237A2C">
        <w:tblPrEx>
          <w:tblCellMar>
            <w:top w:w="0" w:type="dxa"/>
            <w:bottom w:w="0" w:type="dxa"/>
          </w:tblCellMar>
        </w:tblPrEx>
        <w:trPr>
          <w:jc w:val="right"/>
        </w:trPr>
        <w:tc>
          <w:tcPr>
            <w:tcW w:w="1134" w:type="dxa"/>
          </w:tcPr>
          <w:p w:rsidR="00AE50BA" w:rsidRPr="00237A2C" w:rsidRDefault="00AE50BA">
            <w:pPr>
              <w:jc w:val="left"/>
              <w:rPr>
                <w:sz w:val="18"/>
              </w:rPr>
            </w:pPr>
            <w:r w:rsidRPr="00237A2C">
              <w:rPr>
                <w:sz w:val="18"/>
              </w:rPr>
              <w:t>1999/2000:1</w:t>
            </w:r>
          </w:p>
        </w:tc>
        <w:tc>
          <w:tcPr>
            <w:tcW w:w="567" w:type="dxa"/>
          </w:tcPr>
          <w:p w:rsidR="00AE50BA" w:rsidRPr="00237A2C" w:rsidRDefault="00AE50BA">
            <w:pPr>
              <w:jc w:val="right"/>
              <w:rPr>
                <w:sz w:val="18"/>
              </w:rPr>
            </w:pPr>
          </w:p>
        </w:tc>
        <w:tc>
          <w:tcPr>
            <w:tcW w:w="567" w:type="dxa"/>
          </w:tcPr>
          <w:p w:rsidR="00AE50BA" w:rsidRPr="00237A2C" w:rsidRDefault="00AE50BA">
            <w:pPr>
              <w:jc w:val="right"/>
              <w:rPr>
                <w:sz w:val="18"/>
              </w:rPr>
            </w:pPr>
          </w:p>
        </w:tc>
        <w:tc>
          <w:tcPr>
            <w:tcW w:w="624" w:type="dxa"/>
          </w:tcPr>
          <w:p w:rsidR="00AE50BA" w:rsidRPr="00237A2C" w:rsidRDefault="00AE50BA">
            <w:pPr>
              <w:jc w:val="right"/>
              <w:rPr>
                <w:sz w:val="18"/>
              </w:rPr>
            </w:pPr>
          </w:p>
        </w:tc>
        <w:tc>
          <w:tcPr>
            <w:tcW w:w="624" w:type="dxa"/>
          </w:tcPr>
          <w:p w:rsidR="00AE50BA" w:rsidRPr="00237A2C" w:rsidRDefault="00AE50BA">
            <w:pPr>
              <w:jc w:val="right"/>
              <w:rPr>
                <w:sz w:val="18"/>
              </w:rPr>
            </w:pPr>
          </w:p>
        </w:tc>
        <w:tc>
          <w:tcPr>
            <w:tcW w:w="624" w:type="dxa"/>
          </w:tcPr>
          <w:p w:rsidR="00AE50BA" w:rsidRPr="00237A2C" w:rsidRDefault="00AE50BA">
            <w:pPr>
              <w:jc w:val="right"/>
              <w:rPr>
                <w:sz w:val="18"/>
              </w:rPr>
            </w:pPr>
            <w:r w:rsidRPr="00237A2C">
              <w:rPr>
                <w:b/>
                <w:sz w:val="18"/>
              </w:rPr>
              <w:t>260</w:t>
            </w:r>
          </w:p>
        </w:tc>
        <w:tc>
          <w:tcPr>
            <w:tcW w:w="624" w:type="dxa"/>
          </w:tcPr>
          <w:p w:rsidR="00AE50BA" w:rsidRPr="00237A2C" w:rsidRDefault="00AE50BA">
            <w:pPr>
              <w:jc w:val="right"/>
              <w:rPr>
                <w:sz w:val="18"/>
              </w:rPr>
            </w:pPr>
            <w:r w:rsidRPr="00237A2C">
              <w:rPr>
                <w:i/>
                <w:sz w:val="18"/>
              </w:rPr>
              <w:t>(565)</w:t>
            </w:r>
          </w:p>
        </w:tc>
        <w:tc>
          <w:tcPr>
            <w:tcW w:w="624" w:type="dxa"/>
          </w:tcPr>
          <w:p w:rsidR="00AE50BA" w:rsidRPr="00237A2C" w:rsidRDefault="00AE50BA">
            <w:pPr>
              <w:jc w:val="right"/>
              <w:rPr>
                <w:sz w:val="18"/>
              </w:rPr>
            </w:pPr>
            <w:r w:rsidRPr="00237A2C">
              <w:rPr>
                <w:i/>
                <w:sz w:val="18"/>
              </w:rPr>
              <w:t>(116)</w:t>
            </w:r>
          </w:p>
        </w:tc>
        <w:tc>
          <w:tcPr>
            <w:tcW w:w="624" w:type="dxa"/>
          </w:tcPr>
          <w:p w:rsidR="00AE50BA" w:rsidRPr="00237A2C" w:rsidRDefault="00AE50BA">
            <w:pPr>
              <w:jc w:val="right"/>
              <w:rPr>
                <w:sz w:val="18"/>
              </w:rPr>
            </w:pPr>
          </w:p>
        </w:tc>
      </w:tr>
      <w:tr w:rsidR="00000000" w:rsidRPr="00237A2C">
        <w:tblPrEx>
          <w:tblCellMar>
            <w:top w:w="0" w:type="dxa"/>
            <w:bottom w:w="0" w:type="dxa"/>
          </w:tblCellMar>
        </w:tblPrEx>
        <w:trPr>
          <w:jc w:val="right"/>
        </w:trPr>
        <w:tc>
          <w:tcPr>
            <w:tcW w:w="1134" w:type="dxa"/>
          </w:tcPr>
          <w:p w:rsidR="00AE50BA" w:rsidRPr="00237A2C" w:rsidRDefault="00AE50BA">
            <w:pPr>
              <w:jc w:val="left"/>
              <w:rPr>
                <w:sz w:val="18"/>
              </w:rPr>
            </w:pPr>
            <w:r w:rsidRPr="00237A2C">
              <w:rPr>
                <w:sz w:val="18"/>
              </w:rPr>
              <w:t>S:a a</w:t>
            </w:r>
            <w:r w:rsidRPr="00237A2C">
              <w:rPr>
                <w:sz w:val="18"/>
              </w:rPr>
              <w:t>n</w:t>
            </w:r>
            <w:r w:rsidRPr="00237A2C">
              <w:rPr>
                <w:sz w:val="18"/>
              </w:rPr>
              <w:t>slag</w:t>
            </w:r>
          </w:p>
        </w:tc>
        <w:tc>
          <w:tcPr>
            <w:tcW w:w="567" w:type="dxa"/>
          </w:tcPr>
          <w:p w:rsidR="00AE50BA" w:rsidRPr="00237A2C" w:rsidRDefault="00AE50BA">
            <w:pPr>
              <w:jc w:val="right"/>
              <w:rPr>
                <w:sz w:val="18"/>
              </w:rPr>
            </w:pPr>
            <w:r w:rsidRPr="00237A2C">
              <w:rPr>
                <w:b/>
                <w:sz w:val="18"/>
              </w:rPr>
              <w:t>125</w:t>
            </w:r>
          </w:p>
        </w:tc>
        <w:tc>
          <w:tcPr>
            <w:tcW w:w="567" w:type="dxa"/>
          </w:tcPr>
          <w:p w:rsidR="00AE50BA" w:rsidRPr="00237A2C" w:rsidRDefault="00AE50BA">
            <w:pPr>
              <w:jc w:val="right"/>
              <w:rPr>
                <w:sz w:val="18"/>
              </w:rPr>
            </w:pPr>
            <w:r w:rsidRPr="00237A2C">
              <w:rPr>
                <w:b/>
                <w:sz w:val="18"/>
              </w:rPr>
              <w:t>55</w:t>
            </w:r>
          </w:p>
        </w:tc>
        <w:tc>
          <w:tcPr>
            <w:tcW w:w="624" w:type="dxa"/>
          </w:tcPr>
          <w:p w:rsidR="00AE50BA" w:rsidRPr="00237A2C" w:rsidRDefault="00AE50BA">
            <w:pPr>
              <w:jc w:val="right"/>
              <w:rPr>
                <w:sz w:val="18"/>
              </w:rPr>
            </w:pPr>
            <w:r w:rsidRPr="00237A2C">
              <w:rPr>
                <w:b/>
                <w:sz w:val="18"/>
              </w:rPr>
              <w:t>165</w:t>
            </w:r>
          </w:p>
        </w:tc>
        <w:tc>
          <w:tcPr>
            <w:tcW w:w="624" w:type="dxa"/>
          </w:tcPr>
          <w:p w:rsidR="00AE50BA" w:rsidRPr="00237A2C" w:rsidRDefault="00AE50BA">
            <w:pPr>
              <w:jc w:val="right"/>
              <w:rPr>
                <w:sz w:val="18"/>
              </w:rPr>
            </w:pPr>
            <w:r w:rsidRPr="00237A2C">
              <w:rPr>
                <w:b/>
                <w:sz w:val="18"/>
              </w:rPr>
              <w:t>142</w:t>
            </w:r>
          </w:p>
        </w:tc>
        <w:tc>
          <w:tcPr>
            <w:tcW w:w="624" w:type="dxa"/>
          </w:tcPr>
          <w:p w:rsidR="00AE50BA" w:rsidRPr="00237A2C" w:rsidRDefault="00AE50BA">
            <w:pPr>
              <w:jc w:val="right"/>
              <w:rPr>
                <w:b/>
                <w:sz w:val="18"/>
              </w:rPr>
            </w:pPr>
            <w:r w:rsidRPr="00237A2C">
              <w:rPr>
                <w:b/>
                <w:sz w:val="18"/>
              </w:rPr>
              <w:t>260</w:t>
            </w:r>
          </w:p>
        </w:tc>
        <w:tc>
          <w:tcPr>
            <w:tcW w:w="624" w:type="dxa"/>
          </w:tcPr>
          <w:p w:rsidR="00AE50BA" w:rsidRPr="00237A2C" w:rsidRDefault="00AE50BA">
            <w:pPr>
              <w:jc w:val="right"/>
              <w:rPr>
                <w:i/>
                <w:sz w:val="18"/>
              </w:rPr>
            </w:pPr>
            <w:r w:rsidRPr="00237A2C">
              <w:rPr>
                <w:sz w:val="18"/>
              </w:rPr>
              <w:t>(565)</w:t>
            </w:r>
          </w:p>
        </w:tc>
        <w:tc>
          <w:tcPr>
            <w:tcW w:w="624" w:type="dxa"/>
          </w:tcPr>
          <w:p w:rsidR="00AE50BA" w:rsidRPr="00237A2C" w:rsidRDefault="00AE50BA">
            <w:pPr>
              <w:jc w:val="right"/>
              <w:rPr>
                <w:i/>
                <w:sz w:val="18"/>
              </w:rPr>
            </w:pPr>
            <w:r w:rsidRPr="00237A2C">
              <w:rPr>
                <w:sz w:val="18"/>
              </w:rPr>
              <w:t>(116)</w:t>
            </w:r>
          </w:p>
        </w:tc>
        <w:tc>
          <w:tcPr>
            <w:tcW w:w="624" w:type="dxa"/>
          </w:tcPr>
          <w:p w:rsidR="00AE50BA" w:rsidRPr="00237A2C" w:rsidRDefault="00AE50BA">
            <w:pPr>
              <w:jc w:val="right"/>
              <w:rPr>
                <w:sz w:val="18"/>
              </w:rPr>
            </w:pPr>
            <w:r w:rsidRPr="00237A2C">
              <w:rPr>
                <w:b/>
                <w:sz w:val="18"/>
              </w:rPr>
              <w:t>747</w:t>
            </w:r>
          </w:p>
        </w:tc>
      </w:tr>
    </w:tbl>
    <w:p w:rsidR="00AE50BA" w:rsidRPr="00237A2C" w:rsidRDefault="00AE50BA">
      <w:pPr>
        <w:rPr>
          <w:i/>
        </w:rPr>
      </w:pPr>
      <w:r w:rsidRPr="00237A2C">
        <w:rPr>
          <w:i/>
        </w:rPr>
        <w:t>Genomförandefrågor</w:t>
      </w:r>
    </w:p>
    <w:p w:rsidR="00AE50BA" w:rsidRPr="00237A2C" w:rsidRDefault="00AE50BA">
      <w:r w:rsidRPr="00237A2C">
        <w:t>Redan i samband med att anslaget introducerades (prop. 1994/95:100) anfö</w:t>
      </w:r>
      <w:r w:rsidRPr="00237A2C">
        <w:t>r</w:t>
      </w:r>
      <w:r w:rsidRPr="00237A2C">
        <w:t>de regeringen att medlen borde ställas till regeringens förfogande. Insatserna borde bygga på lokala initiativ och respektive kommun förutsattes ha det operativa ansvaret för genomförande av projekten. Fördelningen av medel borde vidare ske efter ansökan och det skulle ankomma på regeringen att utforma närmare riktlinjer för medlens fördelning. Regeringen framhöll att ett alternativ för fördelning kan vara att inrätta en särskild delegation för ändamålet under regeringen. Samtidig underströks att det var m</w:t>
      </w:r>
      <w:r w:rsidRPr="00237A2C">
        <w:t>ycket angel</w:t>
      </w:r>
      <w:r w:rsidRPr="00237A2C">
        <w:t>ä</w:t>
      </w:r>
      <w:r w:rsidRPr="00237A2C">
        <w:t>get att inte bygga upp en onödig administration kring medelsfördelningen (prop. s. 161).</w:t>
      </w:r>
    </w:p>
    <w:p w:rsidR="00AE50BA" w:rsidRPr="00237A2C" w:rsidRDefault="00AE50BA">
      <w:pPr>
        <w:pStyle w:val="Normaltindrag"/>
      </w:pPr>
      <w:r w:rsidRPr="00237A2C">
        <w:t>I regleringsbrevet för budgetåret 1995/96 anges att anslaget disponeras av Arbetsmarknadsdepartementet och att departementet får använda 0,8 milj</w:t>
      </w:r>
      <w:r w:rsidRPr="00237A2C">
        <w:t>o</w:t>
      </w:r>
      <w:r w:rsidRPr="00237A2C">
        <w:t>ner kronor för administrativa utgifter.</w:t>
      </w:r>
    </w:p>
    <w:p w:rsidR="00AE50BA" w:rsidRPr="00237A2C" w:rsidRDefault="00AE50BA">
      <w:pPr>
        <w:pStyle w:val="Normaltindrag"/>
      </w:pPr>
      <w:r w:rsidRPr="00237A2C">
        <w:t>Av budgetpropositionen för år 1997 (prop. 1996/97:1) framgår att reg</w:t>
      </w:r>
      <w:r w:rsidRPr="00237A2C">
        <w:t>e</w:t>
      </w:r>
      <w:r w:rsidRPr="00237A2C">
        <w:t>ringen dragit upp riktlinjer för anslagsanvändningen och utsett åtta komm</w:t>
      </w:r>
      <w:r w:rsidRPr="00237A2C">
        <w:t>u</w:t>
      </w:r>
      <w:r w:rsidRPr="00237A2C">
        <w:t>ner att upprätta särskilda handlingsplaner. Kommunerna förutsattes t.ex. finansiera minst hälften av en handlingsplans totala kostnad. Enligt regl</w:t>
      </w:r>
      <w:r w:rsidRPr="00237A2C">
        <w:t>e</w:t>
      </w:r>
      <w:r w:rsidRPr="00237A2C">
        <w:t>ringsbrevet för år 1997 disponeras anslaget av Regeringskansliet efter beslut av regeringen. Där framgår också att Inrikesdepartementet för central adm</w:t>
      </w:r>
      <w:r w:rsidRPr="00237A2C">
        <w:t>i</w:t>
      </w:r>
      <w:r w:rsidRPr="00237A2C">
        <w:t>nistration av stödet kan bekosta bl.a. personal- och resekostnader. Någon beloppsmässig begränsning för de administrativa utgifterna anges</w:t>
      </w:r>
      <w:r w:rsidRPr="00237A2C">
        <w:t xml:space="preserve"> inte. I motsvarande regleringsbrev för år 1998 anges däremot att högst 1,5 miljoner kronor får användas för central administration av stödet.</w:t>
      </w:r>
    </w:p>
    <w:p w:rsidR="00AE50BA" w:rsidRPr="00237A2C" w:rsidRDefault="00AE50BA">
      <w:pPr>
        <w:pStyle w:val="Normaltindrag"/>
      </w:pPr>
      <w:r w:rsidRPr="00237A2C">
        <w:t>I regeringens s.k. Storstadsproposition (prop. 1997/98:165) föreslogs att en särskild Storstadsdelegation skulle tillsättas med uppgift att bl.a. ansvara för överläggningar med kommunerna om lokala utvecklingsavtal. Delegationen skulle också fungera som ett beredningsorgan till regeringen. Storstadsdel</w:t>
      </w:r>
      <w:r w:rsidRPr="00237A2C">
        <w:t>e</w:t>
      </w:r>
      <w:r w:rsidRPr="00237A2C">
        <w:t>gationen tillsattes därefter under våren 1999.</w:t>
      </w:r>
    </w:p>
    <w:p w:rsidR="00AE50BA" w:rsidRPr="00237A2C" w:rsidRDefault="00AE50BA">
      <w:pPr>
        <w:pStyle w:val="Normaltindrag"/>
      </w:pPr>
      <w:r w:rsidRPr="00237A2C">
        <w:t>Tillkomsten av Storstadsdelegationen avspeglas i regleringsbrevet för år 1999 där det anges att medlen skall fördelas av regeringen efter förslag av delegationen för insatser inom ramen för lokala utvecklingsavtal. Där anges också att medel ur anslaget får användas för utvärdering, dock utan att någon beloppsmässig gräns anges. Av regleringsbrevet för år 2000 framgår att högst 1,3 miljoner kronor får användas för information, utredningsinsatser och till storst</w:t>
      </w:r>
      <w:r w:rsidRPr="00237A2C">
        <w:t>ad</w:t>
      </w:r>
      <w:r w:rsidRPr="00237A2C">
        <w:t>s</w:t>
      </w:r>
      <w:r w:rsidRPr="00237A2C">
        <w:t>förhandlingar.</w:t>
      </w:r>
    </w:p>
    <w:p w:rsidR="00AE50BA" w:rsidRPr="00237A2C" w:rsidRDefault="00AE50BA">
      <w:pPr>
        <w:rPr>
          <w:i/>
        </w:rPr>
      </w:pPr>
      <w:r w:rsidRPr="00237A2C">
        <w:rPr>
          <w:i/>
        </w:rPr>
        <w:t>Uppföljning och  utvärdering</w:t>
      </w:r>
    </w:p>
    <w:p w:rsidR="00AE50BA" w:rsidRPr="00237A2C" w:rsidRDefault="00AE50BA">
      <w:r w:rsidRPr="00237A2C">
        <w:t>I budgetpropositionen för år 1997 betonas att uppföljning, utvärdering och erfarenhetsspridning av planerade och genomförda insatser kommer att vara av stor bet</w:t>
      </w:r>
      <w:r w:rsidRPr="00237A2C">
        <w:t>y</w:t>
      </w:r>
      <w:r w:rsidRPr="00237A2C">
        <w:t>delse för den fortsatta utformningen av fortsatta satsningar.</w:t>
      </w:r>
    </w:p>
    <w:p w:rsidR="00AE50BA" w:rsidRPr="00237A2C" w:rsidRDefault="00AE50BA">
      <w:pPr>
        <w:pStyle w:val="Normaltindrag"/>
      </w:pPr>
      <w:r w:rsidRPr="00237A2C">
        <w:t xml:space="preserve">Av budgetpropositionen för år 1998 framgår att en del av anslaget skall avsättas för uppföljning, utvärdering och erfarenhetsspridning. </w:t>
      </w:r>
    </w:p>
    <w:p w:rsidR="00AE50BA" w:rsidRPr="00237A2C" w:rsidRDefault="00AE50BA">
      <w:pPr>
        <w:pStyle w:val="Normaltindrag"/>
      </w:pPr>
      <w:r w:rsidRPr="00237A2C">
        <w:t>I oktober 1997 arrangerade socialförsäkringsutskottet en offentlig utfrå</w:t>
      </w:r>
      <w:r w:rsidRPr="00237A2C">
        <w:t>g</w:t>
      </w:r>
      <w:r w:rsidRPr="00237A2C">
        <w:t>ning om Storstadssatsningen (se bet. 1997/98:SfU6).  Integrationsverket har i rapporten 2000:10 utvärderat ”Blommanpengarna”.</w:t>
      </w:r>
    </w:p>
    <w:p w:rsidR="00AE50BA" w:rsidRPr="00237A2C" w:rsidRDefault="00AE50BA">
      <w:pPr>
        <w:rPr>
          <w:i/>
        </w:rPr>
      </w:pPr>
      <w:r w:rsidRPr="00237A2C">
        <w:rPr>
          <w:i/>
        </w:rPr>
        <w:t>Resultatrapportering till riksdagen</w:t>
      </w:r>
    </w:p>
    <w:p w:rsidR="00AE50BA" w:rsidRPr="00237A2C" w:rsidRDefault="00AE50BA">
      <w:r w:rsidRPr="00237A2C">
        <w:t>Av budgetpropositionen för år 1997 framgår att 108 miljoner kronor hösten 1996 hade fördelats till sammanlagt tolv bostadsområden i åtta olika ko</w:t>
      </w:r>
      <w:r w:rsidRPr="00237A2C">
        <w:t>m</w:t>
      </w:r>
      <w:r w:rsidRPr="00237A2C">
        <w:t>muner. Dessa kommuner var Botkyrka, Göteborg, Haninge, Huddinge, Ma</w:t>
      </w:r>
      <w:r w:rsidRPr="00237A2C">
        <w:t>l</w:t>
      </w:r>
      <w:r w:rsidRPr="00237A2C">
        <w:t>mö, Solna, Stockholm och Södertälje.</w:t>
      </w:r>
    </w:p>
    <w:p w:rsidR="00AE50BA" w:rsidRPr="00237A2C" w:rsidRDefault="00AE50BA">
      <w:pPr>
        <w:pStyle w:val="Normaltindrag"/>
      </w:pPr>
      <w:r w:rsidRPr="00237A2C">
        <w:t>I påföljande års budgetförslag rapporterade regeringen att ytterligare fyra kommuner våren 1997 utsetts att ingå i stödkretsen, nämligen Eskilstuna, Landskrona, Norrköpings och Trollhättans kommuner. Regeringen anmäler också att särskilda handlingsplaner upprättats. Däremot framgår inte vilka resultat som uppnåtts eller förväntas av de insatta resurserna.</w:t>
      </w:r>
    </w:p>
    <w:p w:rsidR="00AE50BA" w:rsidRPr="00237A2C" w:rsidRDefault="00AE50BA">
      <w:pPr>
        <w:pStyle w:val="Normaltindrag"/>
      </w:pPr>
      <w:r w:rsidRPr="00237A2C">
        <w:t>I budgetpropositionen för år 1999 ges en relativt ambitiös återrapportering till riksdagen om vad som dittills åstadkommits inom området. När det gäller effekterna av de statliga insatserna inom integrationsområdet understryks att bidraget till utsatta bostadsområden måste ses i ett långsiktigt och strategiskt perspektiv. Ett antal aktiviteter och åtgärder som satts in beskrivs samtidigt som regeringen i propositionen betonar att det är för tidigt att avgöra vilka direkta effekter den statliga satsningen h</w:t>
      </w:r>
      <w:r w:rsidRPr="00237A2C">
        <w:t>aft för de människor som bor i o</w:t>
      </w:r>
      <w:r w:rsidRPr="00237A2C">
        <w:t>m</w:t>
      </w:r>
      <w:r w:rsidRPr="00237A2C">
        <w:t>rådena. Det är Integrationsverket som har till uppgift att utvärdera satsningen på nationell nivå, och regeringen anmäler i propositionen att man avser att återkomma till riksdagen med resultatinformation.</w:t>
      </w:r>
    </w:p>
    <w:p w:rsidR="00AE50BA" w:rsidRPr="00237A2C" w:rsidRDefault="00AE50BA">
      <w:pPr>
        <w:pStyle w:val="Normaltindrag"/>
      </w:pPr>
      <w:r w:rsidRPr="00237A2C">
        <w:t>Enligt vad regeringen framhåller i budgetpropositionen för år 2000 har det statliga bidraget i utsatta bostadsområden gett kommunerna ökade möjligh</w:t>
      </w:r>
      <w:r w:rsidRPr="00237A2C">
        <w:t>e</w:t>
      </w:r>
      <w:r w:rsidRPr="00237A2C">
        <w:t>ter att bedriva ett långsiktigt lokalt utvecklingsarbete. Det framhålls också att Integrationsverkets uppdrag att analysera statens satsning under perioden 1995</w:t>
      </w:r>
      <w:r w:rsidRPr="00237A2C">
        <w:sym w:font="Symbol" w:char="F02D"/>
      </w:r>
      <w:r w:rsidRPr="00237A2C">
        <w:t>1998 skall redovisas senast under juni år 2000. Regeringen anger att den avser att återkomma med en första resultatbedömning i budgetpropos</w:t>
      </w:r>
      <w:r w:rsidRPr="00237A2C">
        <w:t>i</w:t>
      </w:r>
      <w:r w:rsidRPr="00237A2C">
        <w:t>tionen för år 2001.</w:t>
      </w:r>
    </w:p>
    <w:p w:rsidR="00AE50BA" w:rsidRPr="00237A2C" w:rsidRDefault="00AE50BA">
      <w:pPr>
        <w:pStyle w:val="Normaltindrag"/>
      </w:pPr>
      <w:r w:rsidRPr="00237A2C">
        <w:t>Av budgetpropositionen för år 2001 framgår att Integrationsverket under våren och sommaren 2000 redovisat dels två utvärderingar av Blomma</w:t>
      </w:r>
      <w:r w:rsidRPr="00237A2C">
        <w:t>n</w:t>
      </w:r>
      <w:r w:rsidRPr="00237A2C">
        <w:t>pengarna, dels en första rapport rörande de lokala utvecklingsavtalen. En slutsats som dras angående Blommanpengarna är att det är svårt att ge en övergripande bild av insatserna och att göra rättvisa jämförelser mellan de lokala insatserna. Några direkta resultat i form av ökad sysselsättning till följd av just Blommanpengarna eller de lokala utvecklingsavtalen kan inte redovisas. Regeringens sammanfattande slutsats mot bakgrund av gjorda utvärderingar är att storstadspolitiken bör fortsätta att utvecklas</w:t>
      </w:r>
      <w:r w:rsidRPr="00237A2C">
        <w:t xml:space="preserve"> över tiden genom en lär- och förbättringsprocess där nya erfarenheter tillåts påverka den kommande inriktningen av politiken.</w:t>
      </w:r>
    </w:p>
    <w:p w:rsidR="00AE50BA" w:rsidRPr="00237A2C" w:rsidRDefault="00AE50BA">
      <w:pPr>
        <w:pStyle w:val="Rubrik3"/>
        <w:ind w:left="284" w:hanging="284"/>
      </w:pPr>
      <w:bookmarkStart w:id="216" w:name="_Toc509125606"/>
      <w:bookmarkStart w:id="217" w:name="_Toc509738038"/>
      <w:bookmarkStart w:id="218" w:name="_Toc516991658"/>
      <w:r w:rsidRPr="00237A2C">
        <w:t>2.3 Samarbete och utveckling i Östersjöregionen m.m. (Östersjömiljarderna)</w:t>
      </w:r>
      <w:bookmarkEnd w:id="216"/>
      <w:bookmarkEnd w:id="217"/>
      <w:bookmarkEnd w:id="218"/>
    </w:p>
    <w:p w:rsidR="00AE50BA" w:rsidRPr="00237A2C" w:rsidRDefault="00AE50BA">
      <w:pPr>
        <w:rPr>
          <w:i/>
        </w:rPr>
      </w:pPr>
      <w:r w:rsidRPr="00237A2C">
        <w:rPr>
          <w:i/>
        </w:rPr>
        <w:t>Bakgrund, motiv och mål</w:t>
      </w:r>
    </w:p>
    <w:p w:rsidR="00AE50BA" w:rsidRPr="00237A2C" w:rsidRDefault="00AE50BA">
      <w:r w:rsidRPr="00237A2C">
        <w:t>För att stimulera tillväxt och sysselsättning anslog riksdagen sommaren 1996, efter förslag i sysselsättningspropositionen om halvering av arbetslö</w:t>
      </w:r>
      <w:r w:rsidRPr="00237A2C">
        <w:t>s</w:t>
      </w:r>
      <w:r w:rsidRPr="00237A2C">
        <w:t>heten till år 2000 (prop. 1995/96:222), 1 000 miljoner kronor under fem år för åtgärder avseende bl.a. svensk livsmedelsexport, energisystem, ömses</w:t>
      </w:r>
      <w:r w:rsidRPr="00237A2C">
        <w:t>i</w:t>
      </w:r>
      <w:r w:rsidRPr="00237A2C">
        <w:t>digt kunskapsutbyte, stärkt infrastruktur samt samarbete för att skydda mi</w:t>
      </w:r>
      <w:r w:rsidRPr="00237A2C">
        <w:t>l</w:t>
      </w:r>
      <w:r w:rsidRPr="00237A2C">
        <w:t xml:space="preserve">jön runt Östersjön. Regeringen skulle besluta om anslagets användning efter förslag från det s.k. Östersjörådet. </w:t>
      </w:r>
    </w:p>
    <w:p w:rsidR="00AE50BA" w:rsidRPr="00237A2C" w:rsidRDefault="00AE50BA">
      <w:pPr>
        <w:pStyle w:val="Normaltindrag"/>
      </w:pPr>
      <w:r w:rsidRPr="00237A2C">
        <w:t>I 1998 års ekonomiska vårproposition (prop. 1997/98:150) förordade reg</w:t>
      </w:r>
      <w:r w:rsidRPr="00237A2C">
        <w:t>e</w:t>
      </w:r>
      <w:r w:rsidRPr="00237A2C">
        <w:t>ringen en fortsättning av den verksamhet som bedrivits inom ramen för den första Östersjömiljarden genom att ytterligare 1 000 miljoner kronor skulle tillföras under den kommande femårsperioden 1999</w:t>
      </w:r>
      <w:r w:rsidRPr="00237A2C">
        <w:sym w:font="Symbol" w:char="F02D"/>
      </w:r>
      <w:r w:rsidRPr="00237A2C">
        <w:t>2003. Det övergripande syftet med den andra miljarden skulle enligt regeringen vara att, utifrån svenskt intresse, stimulera näringslivsutveckling i och handel med länderna i Östersjöregionen. Regeringen återkom därefter i den påföljande budgetpr</w:t>
      </w:r>
      <w:r w:rsidRPr="00237A2C">
        <w:t>o</w:t>
      </w:r>
      <w:r w:rsidRPr="00237A2C">
        <w:t>positionen med ett konkret förslag till medelsa</w:t>
      </w:r>
      <w:r w:rsidRPr="00237A2C">
        <w:t>n</w:t>
      </w:r>
      <w:r w:rsidRPr="00237A2C">
        <w:t>visning för år 19</w:t>
      </w:r>
      <w:r w:rsidRPr="00237A2C">
        <w:t>99.</w:t>
      </w:r>
    </w:p>
    <w:p w:rsidR="00AE50BA" w:rsidRPr="00237A2C" w:rsidRDefault="00AE50BA">
      <w:pPr>
        <w:rPr>
          <w:i/>
        </w:rPr>
      </w:pPr>
    </w:p>
    <w:p w:rsidR="00AE50BA" w:rsidRPr="00237A2C" w:rsidRDefault="00AE50BA">
      <w:pPr>
        <w:rPr>
          <w:i/>
        </w:rPr>
      </w:pPr>
      <w:r w:rsidRPr="00237A2C">
        <w:rPr>
          <w:i/>
        </w:rPr>
        <w:t>Anslagen</w:t>
      </w:r>
    </w:p>
    <w:p w:rsidR="00AE50BA" w:rsidRPr="00237A2C" w:rsidRDefault="00AE50BA">
      <w:r w:rsidRPr="00237A2C">
        <w:t>I sysselsättningspropositionen sommaren 1996 föreslog regeringen således att 200 miljoner kronor per år skulle avsättas för Östersjösamarbetet under en femårsperiod (prop. 1995/96:222, bet. 1995/96:FiU15). Medlen föreslogs bli anvisade som ett reservationsanslag om 1 000 miljoner kronor på tillägg</w:t>
      </w:r>
      <w:r w:rsidRPr="00237A2C">
        <w:t>s</w:t>
      </w:r>
      <w:r w:rsidRPr="00237A2C">
        <w:t>budget för budgetåret 1995/96 under första huvudtiteln. Anslaget har benä</w:t>
      </w:r>
      <w:r w:rsidRPr="00237A2C">
        <w:t>m</w:t>
      </w:r>
      <w:r w:rsidRPr="00237A2C">
        <w:t xml:space="preserve">ningen </w:t>
      </w:r>
      <w:r w:rsidRPr="00237A2C">
        <w:rPr>
          <w:i/>
        </w:rPr>
        <w:t>B2 Samarbete och utveckling inom Östersjöområdet</w:t>
      </w:r>
      <w:r w:rsidRPr="00237A2C">
        <w:t>.</w:t>
      </w:r>
    </w:p>
    <w:p w:rsidR="00AE50BA" w:rsidRPr="00237A2C" w:rsidRDefault="00AE50BA">
      <w:pPr>
        <w:pStyle w:val="Normaltindrag"/>
      </w:pPr>
      <w:r w:rsidRPr="00237A2C">
        <w:t>I samband med riksdagsbehandlingen yrkade Moderata samlingspartiet i en motion att regeringens förslag om en Östersjömiljard skulle avslås. Ko</w:t>
      </w:r>
      <w:r w:rsidRPr="00237A2C">
        <w:t>n</w:t>
      </w:r>
      <w:r w:rsidRPr="00237A2C">
        <w:t>struktionen av stödet kunde enligt motionärerna ifrågasättas. Folkpartiet tog i en motion upp frågan om medlens fördelning och föreslog en delvis annan prioritering av insatserna. Miljöpartiet föreslog att programmet för Östersj</w:t>
      </w:r>
      <w:r w:rsidRPr="00237A2C">
        <w:t>ö</w:t>
      </w:r>
      <w:r w:rsidRPr="00237A2C">
        <w:t>miljarden skulle genomföras på tre i stället för fem år och ges en tydlig mi</w:t>
      </w:r>
      <w:r w:rsidRPr="00237A2C">
        <w:t>l</w:t>
      </w:r>
      <w:r w:rsidRPr="00237A2C">
        <w:t>jöi</w:t>
      </w:r>
      <w:r w:rsidRPr="00237A2C">
        <w:t>n</w:t>
      </w:r>
      <w:r w:rsidRPr="00237A2C">
        <w:t>riktning.</w:t>
      </w:r>
    </w:p>
    <w:p w:rsidR="00AE50BA" w:rsidRPr="00237A2C" w:rsidRDefault="00AE50BA">
      <w:pPr>
        <w:pStyle w:val="Normaltindrag"/>
      </w:pPr>
      <w:r w:rsidRPr="00237A2C">
        <w:t>Utrikesutskottet och näringsutskottet tillstyrkte regeringens förslag. Utr</w:t>
      </w:r>
      <w:r w:rsidRPr="00237A2C">
        <w:t>i</w:t>
      </w:r>
      <w:r w:rsidRPr="00237A2C">
        <w:t xml:space="preserve">kesutskottet framförde i anslutning därtill synpunkter på ansvarsfördelningen för olika samarbetsområden, medan näringsutskottet bl.a. påpekade att någon precisering av hur medlen skulle fördelas på de angivna områdena inte hade gjorts. Finansutskottet tillstyrkte i likhet med övriga utskott propositionens förslag men erinrade samtidigt om att medlen enligt förslaget skulle anvisas i form av reservationsanslag. Det innebar att outnyttjade medel fick användas längst tre år efter det att anslaget senast var </w:t>
      </w:r>
      <w:r w:rsidRPr="00237A2C">
        <w:t>uppfört på statsbudgeten, d.v.s. till utgån</w:t>
      </w:r>
      <w:r w:rsidRPr="00237A2C">
        <w:t>g</w:t>
      </w:r>
      <w:r w:rsidRPr="00237A2C">
        <w:t>en av år 1999.</w:t>
      </w:r>
    </w:p>
    <w:p w:rsidR="00AE50BA" w:rsidRPr="00237A2C" w:rsidRDefault="00AE50BA">
      <w:pPr>
        <w:pStyle w:val="Normaltindrag"/>
      </w:pPr>
      <w:r w:rsidRPr="00237A2C">
        <w:t>I budgetpropositionen för år 1997 (prop. 1996/97:1) föreslogs att 50 milj</w:t>
      </w:r>
      <w:r w:rsidRPr="00237A2C">
        <w:t>o</w:t>
      </w:r>
      <w:r w:rsidRPr="00237A2C">
        <w:t>ner kronor av Östersjömiljarden för år 1997 skulle användas för finansiering av miljöprogram för jordbruket (bevarande av odlingslandskap, insatser i miljökänsliga områden m.m.) och medlen fördes till anslaget B12 Komple</w:t>
      </w:r>
      <w:r w:rsidRPr="00237A2C">
        <w:t>t</w:t>
      </w:r>
      <w:r w:rsidRPr="00237A2C">
        <w:t>terande åtgärder inom jordbruket på utgiftsområde 23.</w:t>
      </w:r>
    </w:p>
    <w:p w:rsidR="00AE50BA" w:rsidRPr="00237A2C" w:rsidRDefault="00AE50BA">
      <w:pPr>
        <w:pStyle w:val="Normaltindrag"/>
      </w:pPr>
      <w:r w:rsidRPr="00237A2C">
        <w:t>Frågan om en andra Östersjömiljard aviserades som framgått ovan våren 1998 i den ekonomiska vårpropositionen. I budgetförslaget för år 1999 fra</w:t>
      </w:r>
      <w:r w:rsidRPr="00237A2C">
        <w:t>m</w:t>
      </w:r>
      <w:r w:rsidRPr="00237A2C">
        <w:t>höll regeringen att en miljard kronor skulle tillföras under fem år, varav 150 milj. kr. för år 1999, till näringslivsinriktade insatser i Östersjöregionen. Medel skulle beviljas ett år i taget under de fem åren. Riksdagen beslöt i enlighet med propositionens förslag att anvisa 150 miljoner kronor för bu</w:t>
      </w:r>
      <w:r w:rsidRPr="00237A2C">
        <w:t>d</w:t>
      </w:r>
      <w:r w:rsidRPr="00237A2C">
        <w:t xml:space="preserve">getåret 1999 på ett ramanslag benämnt </w:t>
      </w:r>
      <w:r w:rsidRPr="00237A2C">
        <w:rPr>
          <w:i/>
        </w:rPr>
        <w:t>E5 Näringslivsutveckling i Östersj</w:t>
      </w:r>
      <w:r w:rsidRPr="00237A2C">
        <w:rPr>
          <w:i/>
        </w:rPr>
        <w:t>ö</w:t>
      </w:r>
      <w:r w:rsidRPr="00237A2C">
        <w:rPr>
          <w:i/>
        </w:rPr>
        <w:t>regionen</w:t>
      </w:r>
      <w:r w:rsidRPr="00237A2C">
        <w:t xml:space="preserve"> (bet. 1998/99:NU1).</w:t>
      </w:r>
    </w:p>
    <w:p w:rsidR="00AE50BA" w:rsidRPr="00237A2C" w:rsidRDefault="00AE50BA">
      <w:pPr>
        <w:pStyle w:val="Normaltindrag"/>
      </w:pPr>
      <w:r w:rsidRPr="00237A2C">
        <w:t>I ett antal motioner framfördes kritik mot den andra Östersjömiljarden. I en motion från Moderata samli</w:t>
      </w:r>
      <w:r w:rsidRPr="00237A2C">
        <w:t>ngspartiet föreslogs att riksdagen helt skulle avvisa anslagstilldelningen och att motsvarande medel skulle tillföras b</w:t>
      </w:r>
      <w:r w:rsidRPr="00237A2C">
        <w:t>i</w:t>
      </w:r>
      <w:r w:rsidRPr="00237A2C">
        <w:t xml:space="preserve">ståndsbudgeten för Baltikum. I två motioner från Folkpartiet och i en motion från Kristdemokraterna föreslogs att anslaget skulle dras in. </w:t>
      </w:r>
    </w:p>
    <w:p w:rsidR="00AE50BA" w:rsidRPr="00237A2C" w:rsidRDefault="00AE50BA">
      <w:pPr>
        <w:pStyle w:val="Normaltindrag"/>
      </w:pPr>
      <w:r w:rsidRPr="00237A2C">
        <w:t>I budgetpropositionen för år 2000 lämnades två förslag rörande de särski</w:t>
      </w:r>
      <w:r w:rsidRPr="00237A2C">
        <w:t>l</w:t>
      </w:r>
      <w:r w:rsidRPr="00237A2C">
        <w:t xml:space="preserve">da medlen till Östersjösamarbetet. För det första föreslogs att anslaget </w:t>
      </w:r>
      <w:r w:rsidRPr="00237A2C">
        <w:rPr>
          <w:i/>
        </w:rPr>
        <w:t>Sa</w:t>
      </w:r>
      <w:r w:rsidRPr="00237A2C">
        <w:rPr>
          <w:i/>
        </w:rPr>
        <w:t>m</w:t>
      </w:r>
      <w:r w:rsidRPr="00237A2C">
        <w:rPr>
          <w:i/>
        </w:rPr>
        <w:t>arbete och utveckling inom Östersjöregionen</w:t>
      </w:r>
      <w:r w:rsidRPr="00237A2C">
        <w:t>, dvs. den första Östersjömilja</w:t>
      </w:r>
      <w:r w:rsidRPr="00237A2C">
        <w:t>r</w:t>
      </w:r>
      <w:r w:rsidRPr="00237A2C">
        <w:t>den, skulle föras upp på nytt på statsbudget för år 1999 med 1 miljon kronor under utgiftsområde 1 Rikets styrelse. Därigenom kan reservationer som finns under anslaget utnyttjas under ytterligare en treårsperiod. För det andra föreslogs att för år 2000  ytterligare 100 miljoner kronor skulle avsättas inom ramen för den andra Östersjömiljarden. Dessutom före</w:t>
      </w:r>
      <w:r w:rsidRPr="00237A2C">
        <w:t>slogs att riksdagen skall bemyndiga regeringen att få göra utfästelser som medför utgifter efter år 2000 om högst 300 miljoner kronor.</w:t>
      </w:r>
    </w:p>
    <w:p w:rsidR="00AE50BA" w:rsidRPr="00237A2C" w:rsidRDefault="00AE50BA">
      <w:pPr>
        <w:pStyle w:val="Normaltindrag"/>
      </w:pPr>
      <w:r w:rsidRPr="00237A2C">
        <w:t>Beslutade och beräknade anslag för perioden 1996-2002 framgår av ne</w:t>
      </w:r>
      <w:r w:rsidRPr="00237A2C">
        <w:t>d</w:t>
      </w:r>
      <w:r w:rsidRPr="00237A2C">
        <w:t>anstående tabell. De anvisade anslagen budgetåren 1995/96, 1999 och 2000 uppgår till sammanlagt 1 200 miljoner kronor och de beräknade beloppen för åren 2001 och 2002 till 300 respektive 250 miljoner kronor eller sammant</w:t>
      </w:r>
      <w:r w:rsidRPr="00237A2C">
        <w:t>a</w:t>
      </w:r>
      <w:r w:rsidRPr="00237A2C">
        <w:t>get 1 750 miljoner kronor. Då skall samtidigt erinras om att sista året i fe</w:t>
      </w:r>
      <w:r w:rsidRPr="00237A2C">
        <w:t>m</w:t>
      </w:r>
      <w:r w:rsidRPr="00237A2C">
        <w:t>årsperioden för den andra Ö</w:t>
      </w:r>
      <w:r w:rsidRPr="00237A2C">
        <w:t>s</w:t>
      </w:r>
      <w:r w:rsidRPr="00237A2C">
        <w:t>tersjömiljarden är år 2003.</w:t>
      </w:r>
    </w:p>
    <w:p w:rsidR="00AE50BA" w:rsidRPr="00237A2C" w:rsidRDefault="00AE50BA">
      <w:pPr>
        <w:pStyle w:val="Rubrik5"/>
      </w:pPr>
      <w:r w:rsidRPr="00237A2C">
        <w:rPr>
          <w:b/>
        </w:rPr>
        <w:t>Anslag till samarbete och utveckling i Östersjöregionen</w:t>
      </w:r>
      <w:r w:rsidRPr="00237A2C">
        <w:t xml:space="preserve"> (Östersjömiljarderna)</w:t>
      </w:r>
    </w:p>
    <w:p w:rsidR="00AE50BA" w:rsidRPr="00237A2C" w:rsidRDefault="00AE50BA">
      <w:pPr>
        <w:pBdr>
          <w:top w:val="single" w:sz="12" w:space="1" w:color="auto"/>
          <w:bottom w:val="single" w:sz="12" w:space="1" w:color="auto"/>
        </w:pBdr>
        <w:tabs>
          <w:tab w:val="right" w:pos="1276"/>
          <w:tab w:val="right" w:pos="1985"/>
          <w:tab w:val="right" w:pos="2694"/>
          <w:tab w:val="right" w:pos="3402"/>
          <w:tab w:val="right" w:pos="3969"/>
          <w:tab w:val="right" w:pos="4536"/>
          <w:tab w:val="right" w:pos="5103"/>
          <w:tab w:val="right" w:pos="5812"/>
        </w:tabs>
        <w:jc w:val="left"/>
      </w:pPr>
      <w:r w:rsidRPr="00237A2C">
        <w:t>Prop.</w:t>
      </w:r>
      <w:r w:rsidRPr="00237A2C">
        <w:tab/>
        <w:t>1995/96</w:t>
      </w:r>
      <w:r w:rsidRPr="00237A2C">
        <w:tab/>
        <w:t>1997</w:t>
      </w:r>
      <w:r w:rsidRPr="00237A2C">
        <w:tab/>
        <w:t>1998</w:t>
      </w:r>
      <w:r w:rsidRPr="00237A2C">
        <w:tab/>
        <w:t>1999</w:t>
      </w:r>
      <w:r w:rsidRPr="00237A2C">
        <w:tab/>
        <w:t>2000</w:t>
      </w:r>
      <w:r w:rsidRPr="00237A2C">
        <w:tab/>
        <w:t>2001</w:t>
      </w:r>
      <w:r w:rsidRPr="00237A2C">
        <w:tab/>
        <w:t>2002</w:t>
      </w:r>
      <w:r w:rsidRPr="00237A2C">
        <w:tab/>
        <w:t>Totalt</w:t>
      </w:r>
    </w:p>
    <w:p w:rsidR="00AE50BA" w:rsidRPr="00237A2C" w:rsidRDefault="00AE50BA">
      <w:pPr>
        <w:tabs>
          <w:tab w:val="right" w:pos="1560"/>
          <w:tab w:val="right" w:pos="1985"/>
          <w:tab w:val="right" w:pos="2694"/>
          <w:tab w:val="right" w:pos="3402"/>
          <w:tab w:val="right" w:pos="3969"/>
          <w:tab w:val="right" w:pos="4536"/>
          <w:tab w:val="right" w:pos="5103"/>
          <w:tab w:val="right" w:pos="5812"/>
        </w:tabs>
        <w:jc w:val="left"/>
        <w:rPr>
          <w:b/>
        </w:rPr>
      </w:pPr>
      <w:r w:rsidRPr="00237A2C">
        <w:t>1995/96:222</w:t>
      </w:r>
      <w:r w:rsidRPr="00237A2C">
        <w:rPr>
          <w:i/>
        </w:rPr>
        <w:tab/>
      </w:r>
      <w:r w:rsidRPr="00237A2C">
        <w:rPr>
          <w:b/>
        </w:rPr>
        <w:t>1000</w:t>
      </w:r>
    </w:p>
    <w:p w:rsidR="00AE50BA" w:rsidRPr="00237A2C" w:rsidRDefault="00AE50BA">
      <w:pPr>
        <w:tabs>
          <w:tab w:val="right" w:pos="1560"/>
          <w:tab w:val="right" w:pos="1985"/>
          <w:tab w:val="right" w:pos="2694"/>
          <w:tab w:val="right" w:pos="3402"/>
          <w:tab w:val="right" w:pos="3969"/>
          <w:tab w:val="right" w:pos="4536"/>
          <w:tab w:val="right" w:pos="5103"/>
          <w:tab w:val="right" w:pos="5812"/>
        </w:tabs>
        <w:jc w:val="left"/>
      </w:pPr>
      <w:r w:rsidRPr="00237A2C">
        <w:t>1996/97:1</w:t>
      </w:r>
      <w:r w:rsidRPr="00237A2C">
        <w:tab/>
      </w:r>
      <w:r w:rsidRPr="00237A2C">
        <w:rPr>
          <w:b/>
        </w:rPr>
        <w:t>-50</w:t>
      </w:r>
    </w:p>
    <w:p w:rsidR="00AE50BA" w:rsidRPr="00237A2C" w:rsidRDefault="00AE50BA">
      <w:pPr>
        <w:pStyle w:val="Brdtext2"/>
        <w:tabs>
          <w:tab w:val="right" w:pos="1560"/>
          <w:tab w:val="right" w:pos="1985"/>
          <w:tab w:val="right" w:pos="2694"/>
          <w:tab w:val="right" w:pos="3402"/>
          <w:tab w:val="right" w:pos="3969"/>
          <w:tab w:val="right" w:pos="4536"/>
          <w:tab w:val="right" w:pos="5103"/>
          <w:tab w:val="right" w:pos="5812"/>
        </w:tabs>
      </w:pPr>
      <w:r w:rsidRPr="00237A2C">
        <w:t>1998/99:1</w:t>
      </w:r>
      <w:r w:rsidRPr="00237A2C">
        <w:tab/>
      </w:r>
      <w:r w:rsidRPr="00237A2C">
        <w:tab/>
      </w:r>
      <w:r w:rsidRPr="00237A2C">
        <w:tab/>
      </w:r>
      <w:r w:rsidRPr="00237A2C">
        <w:tab/>
      </w:r>
      <w:r w:rsidRPr="00237A2C">
        <w:rPr>
          <w:b/>
        </w:rPr>
        <w:t>150</w:t>
      </w:r>
      <w:r w:rsidRPr="00237A2C">
        <w:rPr>
          <w:b/>
        </w:rPr>
        <w:tab/>
      </w:r>
      <w:r w:rsidRPr="00237A2C">
        <w:t>(150)</w:t>
      </w:r>
      <w:r w:rsidRPr="00237A2C">
        <w:tab/>
        <w:t>(250)</w:t>
      </w:r>
    </w:p>
    <w:p w:rsidR="00AE50BA" w:rsidRPr="00237A2C" w:rsidRDefault="00AE50BA">
      <w:pPr>
        <w:tabs>
          <w:tab w:val="right" w:pos="1560"/>
          <w:tab w:val="right" w:pos="1985"/>
          <w:tab w:val="right" w:pos="2694"/>
          <w:tab w:val="right" w:pos="3402"/>
          <w:tab w:val="right" w:pos="3969"/>
          <w:tab w:val="right" w:pos="4536"/>
          <w:tab w:val="right" w:pos="5103"/>
          <w:tab w:val="right" w:pos="5812"/>
        </w:tabs>
        <w:jc w:val="left"/>
      </w:pPr>
      <w:r w:rsidRPr="00237A2C">
        <w:t>1999/2000:1</w:t>
      </w:r>
      <w:r w:rsidRPr="00237A2C">
        <w:tab/>
      </w:r>
      <w:r w:rsidRPr="00237A2C">
        <w:tab/>
      </w:r>
      <w:r w:rsidRPr="00237A2C">
        <w:tab/>
      </w:r>
      <w:r w:rsidRPr="00237A2C">
        <w:tab/>
      </w:r>
      <w:r w:rsidRPr="00237A2C">
        <w:tab/>
      </w:r>
      <w:r w:rsidRPr="00237A2C">
        <w:rPr>
          <w:b/>
        </w:rPr>
        <w:t>100</w:t>
      </w:r>
      <w:r w:rsidRPr="00237A2C">
        <w:rPr>
          <w:b/>
        </w:rPr>
        <w:tab/>
      </w:r>
      <w:r w:rsidRPr="00237A2C">
        <w:t>(300)</w:t>
      </w:r>
      <w:r w:rsidRPr="00237A2C">
        <w:tab/>
        <w:t>(250)</w:t>
      </w:r>
    </w:p>
    <w:p w:rsidR="00AE50BA" w:rsidRPr="00237A2C" w:rsidRDefault="00AE50BA">
      <w:pPr>
        <w:tabs>
          <w:tab w:val="right" w:pos="1560"/>
          <w:tab w:val="right" w:pos="1985"/>
          <w:tab w:val="right" w:pos="2694"/>
          <w:tab w:val="right" w:pos="3402"/>
          <w:tab w:val="right" w:pos="3969"/>
          <w:tab w:val="right" w:pos="4536"/>
          <w:tab w:val="right" w:pos="5103"/>
          <w:tab w:val="right" w:pos="5812"/>
        </w:tabs>
        <w:jc w:val="left"/>
        <w:rPr>
          <w:b/>
        </w:rPr>
      </w:pPr>
      <w:r w:rsidRPr="00237A2C">
        <w:t>S:a anslag</w:t>
      </w:r>
      <w:r w:rsidRPr="00237A2C">
        <w:tab/>
      </w:r>
      <w:r w:rsidRPr="00237A2C">
        <w:rPr>
          <w:b/>
        </w:rPr>
        <w:t>950</w:t>
      </w:r>
      <w:r w:rsidRPr="00237A2C">
        <w:rPr>
          <w:b/>
        </w:rPr>
        <w:tab/>
      </w:r>
      <w:r w:rsidRPr="00237A2C">
        <w:rPr>
          <w:b/>
        </w:rPr>
        <w:tab/>
      </w:r>
      <w:r w:rsidRPr="00237A2C">
        <w:rPr>
          <w:b/>
        </w:rPr>
        <w:tab/>
        <w:t>150</w:t>
      </w:r>
      <w:r w:rsidRPr="00237A2C">
        <w:rPr>
          <w:b/>
        </w:rPr>
        <w:tab/>
        <w:t>100</w:t>
      </w:r>
      <w:r w:rsidRPr="00237A2C">
        <w:rPr>
          <w:b/>
        </w:rPr>
        <w:tab/>
      </w:r>
      <w:r w:rsidRPr="00237A2C">
        <w:t>(300)</w:t>
      </w:r>
      <w:r w:rsidRPr="00237A2C">
        <w:tab/>
        <w:t>(250)</w:t>
      </w:r>
      <w:r w:rsidRPr="00237A2C">
        <w:tab/>
      </w:r>
      <w:r w:rsidRPr="00237A2C">
        <w:rPr>
          <w:b/>
        </w:rPr>
        <w:t>1200</w:t>
      </w:r>
    </w:p>
    <w:p w:rsidR="00AE50BA" w:rsidRPr="00237A2C" w:rsidRDefault="00AE50BA">
      <w:pPr>
        <w:rPr>
          <w:i/>
        </w:rPr>
      </w:pPr>
      <w:r w:rsidRPr="00237A2C">
        <w:rPr>
          <w:i/>
        </w:rPr>
        <w:t>Genomförandefrågor</w:t>
      </w:r>
    </w:p>
    <w:p w:rsidR="00AE50BA" w:rsidRPr="00237A2C" w:rsidRDefault="00AE50BA">
      <w:r w:rsidRPr="00237A2C">
        <w:t>Genom särskilt regeringsbeslut den 18 juli 1996 (Dnr SB96/4696) beslutade regeringen om regleringsbrev för den första Östersjömiljarden. Av regl</w:t>
      </w:r>
      <w:r w:rsidRPr="00237A2C">
        <w:t>e</w:t>
      </w:r>
      <w:r w:rsidRPr="00237A2C">
        <w:t xml:space="preserve">ringsbrevet framgår endast att medlen disponeras enligt särskilda beslut av regeringen. </w:t>
      </w:r>
    </w:p>
    <w:p w:rsidR="00AE50BA" w:rsidRPr="00237A2C" w:rsidRDefault="00AE50BA">
      <w:pPr>
        <w:pStyle w:val="Normaltindrag"/>
      </w:pPr>
      <w:r w:rsidRPr="00237A2C">
        <w:t>I anslutning till att regeringen hösten 1998 i budgetförslaget för år 1999 begärde medel för den andra Östersjömiljarden under utgiftsområde 24 N</w:t>
      </w:r>
      <w:r w:rsidRPr="00237A2C">
        <w:t>ä</w:t>
      </w:r>
      <w:r w:rsidRPr="00237A2C">
        <w:t>ringsliv sades att ett antal departement och statliga myndigheter varit dela</w:t>
      </w:r>
      <w:r w:rsidRPr="00237A2C">
        <w:t>k</w:t>
      </w:r>
      <w:r w:rsidRPr="00237A2C">
        <w:t>tiga i beredningen av ärenden inom den första miljarden. Ansvaret för mi</w:t>
      </w:r>
      <w:r w:rsidRPr="00237A2C">
        <w:t>l</w:t>
      </w:r>
      <w:r w:rsidRPr="00237A2C">
        <w:t>jarden överfördes i december 1997 från Statsrådsberedningen till Närings- och handelsdepartementet. Därefter har ansvaret hösten 1998 övergått till Utr</w:t>
      </w:r>
      <w:r w:rsidRPr="00237A2C">
        <w:t>i</w:t>
      </w:r>
      <w:r w:rsidRPr="00237A2C">
        <w:t xml:space="preserve">kesdepartementet. </w:t>
      </w:r>
    </w:p>
    <w:p w:rsidR="00AE50BA" w:rsidRPr="00237A2C" w:rsidRDefault="00AE50BA">
      <w:pPr>
        <w:pStyle w:val="Normaltindrag"/>
      </w:pPr>
      <w:r w:rsidRPr="00237A2C">
        <w:t>Av regleringsbrevet för år 1999 framgår att anslaget (E5) har delats upp på två anslagsposter. Anslagspost 1 på 43 miljoner kronor disponeras av Ka</w:t>
      </w:r>
      <w:r w:rsidRPr="00237A2C">
        <w:t>m</w:t>
      </w:r>
      <w:r w:rsidRPr="00237A2C">
        <w:t>markollegiet för insatser som genomförs eller samordnas av Exportrådet. Resterande medel (107 miljoner kronor) disponeras av regeringen. En mo</w:t>
      </w:r>
      <w:r w:rsidRPr="00237A2C">
        <w:t>t</w:t>
      </w:r>
      <w:r w:rsidRPr="00237A2C">
        <w:t>svarande anslagspost finns även för budgetåret 2000 och uppgår där till 30 miljoner kronor (anslagspost 1). 66 miljoner kronor (anslagspost 4) dispon</w:t>
      </w:r>
      <w:r w:rsidRPr="00237A2C">
        <w:t>e</w:t>
      </w:r>
      <w:r w:rsidRPr="00237A2C">
        <w:t>ras av regeringen och sammanlagt 4 miljoner kronor (anslagsposterna 2 och 3) har avsatts för att förstärka Regeringskansliet (U</w:t>
      </w:r>
      <w:r w:rsidRPr="00237A2C">
        <w:t>t</w:t>
      </w:r>
      <w:r w:rsidRPr="00237A2C">
        <w:t xml:space="preserve">rikesdepartementet). </w:t>
      </w:r>
    </w:p>
    <w:p w:rsidR="00AE50BA" w:rsidRPr="00237A2C" w:rsidRDefault="00AE50BA">
      <w:pPr>
        <w:pStyle w:val="Normaltindrag"/>
      </w:pPr>
      <w:r w:rsidRPr="00237A2C">
        <w:t>I regeringens skrivelse hösten 1999 (skr. 1999/2000:7) lämnas en red</w:t>
      </w:r>
      <w:r w:rsidRPr="00237A2C">
        <w:t>og</w:t>
      </w:r>
      <w:r w:rsidRPr="00237A2C">
        <w:t>ö</w:t>
      </w:r>
      <w:r w:rsidRPr="00237A2C">
        <w:t>relse för utvecklingen av handel och ekonomiskt samarbete inom Östersjör</w:t>
      </w:r>
      <w:r w:rsidRPr="00237A2C">
        <w:t>e</w:t>
      </w:r>
      <w:r w:rsidRPr="00237A2C">
        <w:t>gionen. Bl.a. beskrivs satsningen i form av Östersjömiljard ett resp. två. Enligt regeringen har avsaknaden av en fast beredningsordning för den första Östersjömiljarden haft vissa nackdelar såsom icke relevanta eller ofullständ</w:t>
      </w:r>
      <w:r w:rsidRPr="00237A2C">
        <w:t>i</w:t>
      </w:r>
      <w:r w:rsidRPr="00237A2C">
        <w:t>ga ansökningar och ett relativt stort löpande upplysningsbehov. Samtidigt har, heter det, den informella strukturen i flera fall möjliggjort en flexibel ärende- och beslutshantering.</w:t>
      </w:r>
    </w:p>
    <w:p w:rsidR="00AE50BA" w:rsidRPr="00237A2C" w:rsidRDefault="00AE50BA">
      <w:pPr>
        <w:pStyle w:val="Normaltindrag"/>
      </w:pPr>
      <w:r w:rsidRPr="00237A2C">
        <w:t>Av regeringens skrivelse</w:t>
      </w:r>
      <w:r w:rsidRPr="00237A2C">
        <w:t xml:space="preserve"> framgår också att, mot bakgrund av erfarenhete</w:t>
      </w:r>
      <w:r w:rsidRPr="00237A2C">
        <w:t>r</w:t>
      </w:r>
      <w:r w:rsidRPr="00237A2C">
        <w:t>na från den första Östersjömiljarden, den s.k. Östersjödelegationen har til</w:t>
      </w:r>
      <w:r w:rsidRPr="00237A2C">
        <w:t>l</w:t>
      </w:r>
      <w:r w:rsidRPr="00237A2C">
        <w:t>kallats. En av huvuduppgifterna för denna kommitté har varit att föreslå riktlinjer, inriktning, beredningsordning och administration för insatser som finansieras inom ramen för den andra Östersjömiljarden. Delegationen lä</w:t>
      </w:r>
      <w:r w:rsidRPr="00237A2C">
        <w:t>m</w:t>
      </w:r>
      <w:r w:rsidRPr="00237A2C">
        <w:t>nade i maj 1999 en delrapport med förslag på inriktningen av det fortsatta arbetet.</w:t>
      </w:r>
    </w:p>
    <w:p w:rsidR="00AE50BA" w:rsidRPr="00237A2C" w:rsidRDefault="00AE50BA">
      <w:pPr>
        <w:rPr>
          <w:i/>
        </w:rPr>
      </w:pPr>
      <w:r w:rsidRPr="00237A2C">
        <w:rPr>
          <w:i/>
        </w:rPr>
        <w:t>Uppföljning och  utvärdering</w:t>
      </w:r>
    </w:p>
    <w:p w:rsidR="00AE50BA" w:rsidRPr="00237A2C" w:rsidRDefault="00AE50BA">
      <w:r w:rsidRPr="00237A2C">
        <w:t>Av regeringens redovisning i budgetpropositionen för år 1999 (prop. 1998/99:1 utg.omr. 24 anslag E5) framgår att den första Östersjömiljarden hösten 1998 i princip var intecknad. Samtidigt framhöll regeringen att det ännu var för tidigt att göra en utvärdering av de beslutade insatserna eftersom många projekt inte kommit särskilt långt. Samtidigt underströks att geno</w:t>
      </w:r>
      <w:r w:rsidRPr="00237A2C">
        <w:t>m</w:t>
      </w:r>
      <w:r w:rsidRPr="00237A2C">
        <w:t>förda projekt senare kommer att utvärderas och redovisas för riksd</w:t>
      </w:r>
      <w:r w:rsidRPr="00237A2C">
        <w:t>a</w:t>
      </w:r>
      <w:r w:rsidRPr="00237A2C">
        <w:t>gen.</w:t>
      </w:r>
    </w:p>
    <w:p w:rsidR="00AE50BA" w:rsidRPr="00237A2C" w:rsidRDefault="00AE50BA">
      <w:pPr>
        <w:pStyle w:val="Normaltindrag"/>
      </w:pPr>
      <w:r w:rsidRPr="00237A2C">
        <w:t>I sin skrivelse 1999/2000:7  Ekonomisk utveckling och samarbete i Öste</w:t>
      </w:r>
      <w:r w:rsidRPr="00237A2C">
        <w:t>r</w:t>
      </w:r>
      <w:r w:rsidRPr="00237A2C">
        <w:t>sjöregionen lämnar regeringen en redogörelse för utveckling och handel och ekonomiskt samarbete inom regionen. Där återfinns bl.a. en redovisning av de projekt som fått stöd inom ramen för första och andra Östersjömiljarden. I skrivelsen (s. 36) understryker regeringen att stora utvecklingsprojekt med höga kvalitetskrav tar tid att identifiera, bereda och genomföra. En fullstä</w:t>
      </w:r>
      <w:r w:rsidRPr="00237A2C">
        <w:t>n</w:t>
      </w:r>
      <w:r w:rsidRPr="00237A2C">
        <w:t>dig utvärdering av de beslutade insatsernas effekter låter sig, framhålls det, bäst göras när projekten kommit avsevärt längre.</w:t>
      </w:r>
    </w:p>
    <w:p w:rsidR="00AE50BA" w:rsidRPr="00237A2C" w:rsidRDefault="00AE50BA">
      <w:pPr>
        <w:rPr>
          <w:i/>
        </w:rPr>
      </w:pPr>
      <w:r w:rsidRPr="00237A2C">
        <w:rPr>
          <w:i/>
        </w:rPr>
        <w:t>Res</w:t>
      </w:r>
      <w:r w:rsidRPr="00237A2C">
        <w:rPr>
          <w:i/>
        </w:rPr>
        <w:t>ultatrapportering till riksdagen</w:t>
      </w:r>
    </w:p>
    <w:p w:rsidR="00AE50BA" w:rsidRPr="00237A2C" w:rsidRDefault="00AE50BA">
      <w:r w:rsidRPr="00237A2C">
        <w:t>I 1998 års ekonomiska vårproposition uttalade regeringen att verksamheten inom ramen för Östersjömiljarden varit framgångsrik och därför borde for</w:t>
      </w:r>
      <w:r w:rsidRPr="00237A2C">
        <w:t>t</w:t>
      </w:r>
      <w:r w:rsidRPr="00237A2C">
        <w:t>sätta. Regeringen förordade mot denna bakgrund att ytterligare en miljard kronor borde tillföras under den kommande femårsperioden.</w:t>
      </w:r>
    </w:p>
    <w:p w:rsidR="00AE50BA" w:rsidRPr="00237A2C" w:rsidRDefault="00AE50BA">
      <w:pPr>
        <w:pStyle w:val="Normaltindrag"/>
      </w:pPr>
      <w:r w:rsidRPr="00237A2C">
        <w:t>I den ovan nämnda skrivelsen från regeringen till riksdagen hösten 1999 lämnas en relativt ingående redovisning av de projekt och aktiviteter som bedrivits och planeras inom ramen för Östersjösatsningarna. Några resultat i form av t.ex. effekter på sy</w:t>
      </w:r>
      <w:r w:rsidRPr="00237A2C">
        <w:t>s</w:t>
      </w:r>
      <w:r w:rsidRPr="00237A2C">
        <w:t>selsättningen redovisas emellertid inte.</w:t>
      </w:r>
    </w:p>
    <w:p w:rsidR="00AE50BA" w:rsidRPr="00237A2C" w:rsidRDefault="00AE50BA">
      <w:pPr>
        <w:pStyle w:val="Normaltindrag"/>
      </w:pPr>
      <w:r w:rsidRPr="00237A2C">
        <w:t>Näringsutskottet har i sitt betänkande (bet. 2000/01:NU1) begärt att UD skall lämna en löpande (årlig) uppföljning  projekt för projekt och en utvä</w:t>
      </w:r>
      <w:r w:rsidRPr="00237A2C">
        <w:t>r</w:t>
      </w:r>
      <w:r w:rsidRPr="00237A2C">
        <w:t>dering av metoden som sådan när programmet är slutfört. En sådan utvärd</w:t>
      </w:r>
      <w:r w:rsidRPr="00237A2C">
        <w:t>e</w:t>
      </w:r>
      <w:r w:rsidRPr="00237A2C">
        <w:t>ring bör enligt utsko</w:t>
      </w:r>
      <w:r w:rsidRPr="00237A2C">
        <w:t>t</w:t>
      </w:r>
      <w:r w:rsidRPr="00237A2C">
        <w:t>tet göras av en extern utvärderare.</w:t>
      </w:r>
    </w:p>
    <w:p w:rsidR="00AE50BA" w:rsidRPr="00237A2C" w:rsidRDefault="00AE50BA">
      <w:pPr>
        <w:pStyle w:val="Rubrik3"/>
        <w:ind w:left="284" w:hanging="284"/>
      </w:pPr>
      <w:bookmarkStart w:id="219" w:name="_Toc509125607"/>
      <w:r w:rsidRPr="00237A2C">
        <w:br w:type="page"/>
      </w:r>
      <w:bookmarkStart w:id="220" w:name="_Toc509738039"/>
      <w:bookmarkStart w:id="221" w:name="_Toc516991659"/>
      <w:r w:rsidRPr="00237A2C">
        <w:t>2.4 Investeringsbidrag för främjande av omställning i ekologiskt hållbar riktning (Kretsloppsmiljarden)</w:t>
      </w:r>
      <w:bookmarkEnd w:id="219"/>
      <w:bookmarkEnd w:id="220"/>
      <w:bookmarkEnd w:id="221"/>
    </w:p>
    <w:p w:rsidR="00AE50BA" w:rsidRPr="00237A2C" w:rsidRDefault="00AE50BA">
      <w:pPr>
        <w:rPr>
          <w:i/>
        </w:rPr>
      </w:pPr>
      <w:r w:rsidRPr="00237A2C">
        <w:rPr>
          <w:i/>
        </w:rPr>
        <w:t>Bakgrund, motiv och mål</w:t>
      </w:r>
    </w:p>
    <w:p w:rsidR="00AE50BA" w:rsidRPr="00237A2C" w:rsidRDefault="00AE50BA">
      <w:r w:rsidRPr="00237A2C">
        <w:t>Regeringen föreslog i sysselsättningspropositionen sommaren 1996 ett fe</w:t>
      </w:r>
      <w:r w:rsidRPr="00237A2C">
        <w:t>m</w:t>
      </w:r>
      <w:r w:rsidRPr="00237A2C">
        <w:t>årigt program för omställning till hållbar utveckling (prop. 1995/96:222, bet. FiU15). Syftet var att driva på den tekniska utvecklingen och att skapa sy</w:t>
      </w:r>
      <w:r w:rsidRPr="00237A2C">
        <w:t>s</w:t>
      </w:r>
      <w:r w:rsidRPr="00237A2C">
        <w:t>selsättning, främst genom kretsloppsanpassning av byggnader och teknisk infrastruktur.</w:t>
      </w:r>
    </w:p>
    <w:p w:rsidR="00AE50BA" w:rsidRPr="00237A2C" w:rsidRDefault="00AE50BA">
      <w:pPr>
        <w:pStyle w:val="Normaltindrag"/>
      </w:pPr>
      <w:r w:rsidRPr="00237A2C">
        <w:t>I propositionen nämns insatser inom fyra områden som särskilt stödgru</w:t>
      </w:r>
      <w:r w:rsidRPr="00237A2C">
        <w:t>n</w:t>
      </w:r>
      <w:r w:rsidRPr="00237A2C">
        <w:t>dande. Det gäller insatser inom va-sektorn för bl.a. minskat utsläpp av kväve och fosfor från avloppsvatten, återanvändning av byggnadsmaterial, renov</w:t>
      </w:r>
      <w:r w:rsidRPr="00237A2C">
        <w:t>e</w:t>
      </w:r>
      <w:r w:rsidRPr="00237A2C">
        <w:t xml:space="preserve">ring med hälso- och miljöanpassade material samt inom avfallsområdet för bl.a. avskiljning av miljöfarligt avfall. </w:t>
      </w:r>
    </w:p>
    <w:p w:rsidR="00AE50BA" w:rsidRPr="00237A2C" w:rsidRDefault="00AE50BA">
      <w:pPr>
        <w:rPr>
          <w:i/>
        </w:rPr>
      </w:pPr>
      <w:r w:rsidRPr="00237A2C">
        <w:rPr>
          <w:i/>
        </w:rPr>
        <w:t>Anslagen</w:t>
      </w:r>
    </w:p>
    <w:p w:rsidR="00AE50BA" w:rsidRPr="00237A2C" w:rsidRDefault="00AE50BA">
      <w:r w:rsidRPr="00237A2C">
        <w:t>I propositionen föreslog regeringen att en miljard kronor skulle tillföras fjortonde huvudtitelns anslag A8 Investeringsbidrag för främjande av o</w:t>
      </w:r>
      <w:r w:rsidRPr="00237A2C">
        <w:t>m</w:t>
      </w:r>
      <w:r w:rsidRPr="00237A2C">
        <w:t xml:space="preserve">ställning i ekologiskt hållbar riktning i form av ett reservationsanslag, dvs. ett engångsbelopp som får användas under längst tre år efter det år som anslaget uppfördes på statsbudgeten. </w:t>
      </w:r>
    </w:p>
    <w:p w:rsidR="00AE50BA" w:rsidRPr="00237A2C" w:rsidRDefault="00AE50BA">
      <w:pPr>
        <w:pStyle w:val="Normaltindrag"/>
      </w:pPr>
      <w:r w:rsidRPr="00237A2C">
        <w:t>I samband med beredningen av propositionen i riksdagen förordade Mod</w:t>
      </w:r>
      <w:r w:rsidRPr="00237A2C">
        <w:t>e</w:t>
      </w:r>
      <w:r w:rsidRPr="00237A2C">
        <w:t>raterna i stället sänkta skatter och strukturella förändringar såsom medel att skapa nya jobb och fler investeringar i miljövänlig teknik. Vänsterpartiet menade å sin sida att det sannolikt skulle vara samhällsekonomiskt lönsamt med ett större anslag än 200 miljoner kronor per år under perioden. Riksd</w:t>
      </w:r>
      <w:r w:rsidRPr="00237A2C">
        <w:t>a</w:t>
      </w:r>
      <w:r w:rsidRPr="00237A2C">
        <w:t>gen beslutade i enlighet med förslaget i propos</w:t>
      </w:r>
      <w:r w:rsidRPr="00237A2C">
        <w:t>i</w:t>
      </w:r>
      <w:r w:rsidRPr="00237A2C">
        <w:t>tionen.</w:t>
      </w:r>
    </w:p>
    <w:p w:rsidR="00AE50BA" w:rsidRPr="00237A2C" w:rsidRDefault="00AE50BA">
      <w:pPr>
        <w:pStyle w:val="Normaltindrag"/>
      </w:pPr>
      <w:r w:rsidRPr="00237A2C">
        <w:t>I budgetpropositionen för år 2000 (prop. 1999/2000:1) anmäler regeringen att av anslaget har ca 578 miljoner kronor förbrukats eller bundits upp i beslu</w:t>
      </w:r>
      <w:r w:rsidRPr="00237A2C">
        <w:t>t om bidrag. Den 15 april 1999 beslutade regeringen att med omedelbar verkan dra in återstående medel. Regeringen konstaterar samtidigt att medel kommer att behövas för att betala ut beviljade bidrag. Därtill kommer kos</w:t>
      </w:r>
      <w:r w:rsidRPr="00237A2C">
        <w:t>t</w:t>
      </w:r>
      <w:r w:rsidRPr="00237A2C">
        <w:t>nader för administration och uppföljning – som skall genomföras såväl inom  Regeringskansliet som hos länsstyrelserna. Enligt regeringen är en system</w:t>
      </w:r>
      <w:r w:rsidRPr="00237A2C">
        <w:t>a</w:t>
      </w:r>
      <w:r w:rsidRPr="00237A2C">
        <w:t>tisk uppföljning mycket angelägen eftersom det är viktigt att dra lärdom av de nya erfarenheterna. Regeringen beräknar i propositionen behovet</w:t>
      </w:r>
      <w:r w:rsidRPr="00237A2C">
        <w:t xml:space="preserve"> av m</w:t>
      </w:r>
      <w:r w:rsidRPr="00237A2C">
        <w:t>e</w:t>
      </w:r>
      <w:r w:rsidRPr="00237A2C">
        <w:t xml:space="preserve">del för år 2000 till 131 miljoner kronor och förordar att riksdagen anslår dessa medel på ett nytt reservationsanslag. Riksdagen beslutade i enlighet med förslaget (bet. 1999/2000:MJU2). </w:t>
      </w:r>
    </w:p>
    <w:p w:rsidR="00AE50BA" w:rsidRPr="00237A2C" w:rsidRDefault="00AE50BA">
      <w:pPr>
        <w:pStyle w:val="Brdtext3"/>
      </w:pPr>
      <w:r w:rsidRPr="00237A2C">
        <w:br w:type="page"/>
        <w:t>Anslaget Investeringsbidrag för främjande av omställning i ekologiskt hål</w:t>
      </w:r>
      <w:r w:rsidRPr="00237A2C">
        <w:t>l</w:t>
      </w:r>
      <w:r w:rsidRPr="00237A2C">
        <w:t>bar riktning</w:t>
      </w:r>
    </w:p>
    <w:p w:rsidR="00AE50BA" w:rsidRPr="00237A2C" w:rsidRDefault="00AE50BA">
      <w:pPr>
        <w:pStyle w:val="Brdtext"/>
        <w:rPr>
          <w:b/>
        </w:rPr>
      </w:pPr>
      <w:r w:rsidRPr="00237A2C">
        <w:rPr>
          <w:b/>
        </w:rPr>
        <w:t>––––––––––––––––––––––––––––––––––––––––––––––––––––––––––––––</w:t>
      </w:r>
    </w:p>
    <w:p w:rsidR="00AE50BA" w:rsidRPr="00237A2C" w:rsidRDefault="00AE50BA">
      <w:pPr>
        <w:pStyle w:val="Brdtext"/>
        <w:tabs>
          <w:tab w:val="right" w:pos="1985"/>
          <w:tab w:val="right" w:pos="2835"/>
          <w:tab w:val="right" w:pos="3544"/>
          <w:tab w:val="right" w:pos="4253"/>
          <w:tab w:val="right" w:pos="4962"/>
          <w:tab w:val="right" w:pos="5812"/>
        </w:tabs>
        <w:jc w:val="left"/>
        <w:rPr>
          <w:b/>
        </w:rPr>
      </w:pPr>
      <w:r w:rsidRPr="00237A2C">
        <w:rPr>
          <w:b/>
        </w:rPr>
        <w:t>Prop.</w:t>
      </w:r>
      <w:r w:rsidRPr="00237A2C">
        <w:rPr>
          <w:b/>
        </w:rPr>
        <w:tab/>
        <w:t>1995/96</w:t>
      </w:r>
      <w:r w:rsidRPr="00237A2C">
        <w:rPr>
          <w:b/>
        </w:rPr>
        <w:tab/>
        <w:t>1997</w:t>
      </w:r>
      <w:r w:rsidRPr="00237A2C">
        <w:rPr>
          <w:b/>
        </w:rPr>
        <w:tab/>
        <w:t>1998</w:t>
      </w:r>
      <w:r w:rsidRPr="00237A2C">
        <w:rPr>
          <w:b/>
        </w:rPr>
        <w:tab/>
        <w:t>1999</w:t>
      </w:r>
      <w:r w:rsidRPr="00237A2C">
        <w:rPr>
          <w:b/>
        </w:rPr>
        <w:tab/>
        <w:t>2000</w:t>
      </w:r>
      <w:r w:rsidRPr="00237A2C">
        <w:rPr>
          <w:b/>
        </w:rPr>
        <w:tab/>
        <w:t>Totalt</w:t>
      </w:r>
    </w:p>
    <w:p w:rsidR="00AE50BA" w:rsidRPr="00237A2C" w:rsidRDefault="00AE50BA">
      <w:pPr>
        <w:pStyle w:val="Brdtext"/>
        <w:tabs>
          <w:tab w:val="right" w:pos="1985"/>
          <w:tab w:val="right" w:pos="2835"/>
          <w:tab w:val="right" w:pos="3544"/>
          <w:tab w:val="right" w:pos="4253"/>
          <w:tab w:val="right" w:pos="4962"/>
          <w:tab w:val="right" w:pos="5812"/>
        </w:tabs>
        <w:jc w:val="left"/>
        <w:rPr>
          <w:b/>
        </w:rPr>
      </w:pPr>
      <w:r w:rsidRPr="00237A2C">
        <w:rPr>
          <w:b/>
        </w:rPr>
        <w:t>______________________________________________________________</w:t>
      </w:r>
    </w:p>
    <w:p w:rsidR="00AE50BA" w:rsidRPr="00237A2C" w:rsidRDefault="00AE50BA">
      <w:pPr>
        <w:tabs>
          <w:tab w:val="right" w:pos="1985"/>
          <w:tab w:val="right" w:pos="2835"/>
          <w:tab w:val="right" w:pos="3544"/>
          <w:tab w:val="right" w:pos="4253"/>
          <w:tab w:val="right" w:pos="4962"/>
          <w:tab w:val="right" w:pos="5812"/>
        </w:tabs>
        <w:jc w:val="left"/>
        <w:rPr>
          <w:b/>
        </w:rPr>
      </w:pPr>
      <w:r w:rsidRPr="00237A2C">
        <w:t>1995/96:222</w:t>
      </w:r>
      <w:r w:rsidRPr="00237A2C">
        <w:tab/>
      </w:r>
      <w:r w:rsidRPr="00237A2C">
        <w:rPr>
          <w:b/>
        </w:rPr>
        <w:t>1 000</w:t>
      </w:r>
    </w:p>
    <w:p w:rsidR="00AE50BA" w:rsidRPr="00237A2C" w:rsidRDefault="00AE50BA">
      <w:pPr>
        <w:tabs>
          <w:tab w:val="right" w:pos="1985"/>
          <w:tab w:val="right" w:pos="2835"/>
          <w:tab w:val="right" w:pos="3544"/>
          <w:tab w:val="right" w:pos="4253"/>
          <w:tab w:val="right" w:pos="4962"/>
          <w:tab w:val="right" w:pos="5812"/>
        </w:tabs>
        <w:jc w:val="left"/>
        <w:rPr>
          <w:b/>
        </w:rPr>
      </w:pPr>
      <w:r w:rsidRPr="00237A2C">
        <w:t>1996/97:1</w:t>
      </w:r>
      <w:r w:rsidRPr="00237A2C">
        <w:tab/>
      </w:r>
      <w:r w:rsidRPr="00237A2C">
        <w:rPr>
          <w:b/>
        </w:rPr>
        <w:t>-50</w:t>
      </w:r>
    </w:p>
    <w:p w:rsidR="00AE50BA" w:rsidRPr="00237A2C" w:rsidRDefault="00AE50BA">
      <w:pPr>
        <w:tabs>
          <w:tab w:val="right" w:pos="1985"/>
          <w:tab w:val="right" w:pos="2835"/>
          <w:tab w:val="right" w:pos="3544"/>
          <w:tab w:val="right" w:pos="4253"/>
          <w:tab w:val="right" w:pos="4962"/>
          <w:tab w:val="right" w:pos="5812"/>
        </w:tabs>
        <w:jc w:val="left"/>
      </w:pPr>
      <w:r w:rsidRPr="00237A2C">
        <w:t>1999/2000:1</w:t>
      </w:r>
      <w:r w:rsidRPr="00237A2C">
        <w:tab/>
      </w:r>
      <w:r w:rsidRPr="00237A2C">
        <w:tab/>
      </w:r>
      <w:r w:rsidRPr="00237A2C">
        <w:tab/>
      </w:r>
      <w:r w:rsidRPr="00237A2C">
        <w:tab/>
      </w:r>
      <w:r w:rsidRPr="00237A2C">
        <w:tab/>
      </w:r>
      <w:r w:rsidRPr="00237A2C">
        <w:rPr>
          <w:b/>
        </w:rPr>
        <w:t>131</w:t>
      </w:r>
    </w:p>
    <w:p w:rsidR="00AE50BA" w:rsidRPr="00237A2C" w:rsidRDefault="00AE50BA">
      <w:pPr>
        <w:tabs>
          <w:tab w:val="right" w:pos="1985"/>
          <w:tab w:val="right" w:pos="2835"/>
          <w:tab w:val="right" w:pos="3544"/>
          <w:tab w:val="right" w:pos="4253"/>
          <w:tab w:val="right" w:pos="4962"/>
          <w:tab w:val="right" w:pos="5812"/>
        </w:tabs>
        <w:jc w:val="left"/>
      </w:pPr>
      <w:r w:rsidRPr="00237A2C">
        <w:t>S:a anslag</w:t>
      </w:r>
      <w:r w:rsidRPr="00237A2C">
        <w:tab/>
      </w:r>
      <w:r w:rsidRPr="00237A2C">
        <w:rPr>
          <w:b/>
        </w:rPr>
        <w:t>950</w:t>
      </w:r>
      <w:r w:rsidRPr="00237A2C">
        <w:rPr>
          <w:b/>
        </w:rPr>
        <w:tab/>
      </w:r>
      <w:r w:rsidRPr="00237A2C">
        <w:rPr>
          <w:b/>
        </w:rPr>
        <w:tab/>
      </w:r>
      <w:r w:rsidRPr="00237A2C">
        <w:rPr>
          <w:b/>
        </w:rPr>
        <w:tab/>
      </w:r>
      <w:r w:rsidRPr="00237A2C">
        <w:rPr>
          <w:b/>
        </w:rPr>
        <w:tab/>
        <w:t>131</w:t>
      </w:r>
      <w:r w:rsidRPr="00237A2C">
        <w:rPr>
          <w:b/>
        </w:rPr>
        <w:tab/>
        <w:t>1 081</w:t>
      </w:r>
    </w:p>
    <w:p w:rsidR="00AE50BA" w:rsidRPr="00237A2C" w:rsidRDefault="00AE50BA">
      <w:pPr>
        <w:rPr>
          <w:i/>
        </w:rPr>
      </w:pPr>
      <w:r w:rsidRPr="00237A2C">
        <w:rPr>
          <w:i/>
        </w:rPr>
        <w:t>Genomförandefrågor</w:t>
      </w:r>
    </w:p>
    <w:p w:rsidR="00AE50BA" w:rsidRPr="00237A2C" w:rsidRDefault="00AE50BA">
      <w:r w:rsidRPr="00237A2C">
        <w:t>Enligt propositionen borde pengarna fördelas av delegationen för ekologisk omställning vid Naturvårdsverket. Folkpartiet framhöll i en motion det som väsentligt att mandatet för delegationen fick en klar innebörd. Jordbruksu</w:t>
      </w:r>
      <w:r w:rsidRPr="00237A2C">
        <w:t>t</w:t>
      </w:r>
      <w:r w:rsidRPr="00237A2C">
        <w:t>skottet föreslog i sitt yttrande (1995/96:JoU8y) att såvitt gällde frågan om mandat för delegationen borde riksdagen göra ett tillkännagivande av inn</w:t>
      </w:r>
      <w:r w:rsidRPr="00237A2C">
        <w:t>e</w:t>
      </w:r>
      <w:r w:rsidRPr="00237A2C">
        <w:t>börd att regeringen i budgetpropositionen för år 1997 borde lägga fram ett förslag om att delegationen skulle få en självständig ställning och tilldelas ett myndighetsanslag. Också i övrigt borde delegationen få ställning som statlig förvaltningsmyndighet, ansåg jordbruksutskottet.</w:t>
      </w:r>
    </w:p>
    <w:p w:rsidR="00AE50BA" w:rsidRPr="00237A2C" w:rsidRDefault="00AE50BA">
      <w:pPr>
        <w:pStyle w:val="Normaltindrag"/>
      </w:pPr>
      <w:r w:rsidRPr="00237A2C">
        <w:t>Finansutskottet tog för sin del inte ställning till detta utan angav att reg</w:t>
      </w:r>
      <w:r w:rsidRPr="00237A2C">
        <w:t>e</w:t>
      </w:r>
      <w:r w:rsidRPr="00237A2C">
        <w:t>ringen i budgetpropositionen för år 1997 skulle redovisa de frågor som jor</w:t>
      </w:r>
      <w:r w:rsidRPr="00237A2C">
        <w:t>d</w:t>
      </w:r>
      <w:r w:rsidRPr="00237A2C">
        <w:t>bruksutskottet tagit upp vad gäller organisatoriska former och medelsanvi</w:t>
      </w:r>
      <w:r w:rsidRPr="00237A2C">
        <w:t>s</w:t>
      </w:r>
      <w:r w:rsidRPr="00237A2C">
        <w:t>ning beträffande delegationen för ekologisk omställning. Så blev också rik</w:t>
      </w:r>
      <w:r w:rsidRPr="00237A2C">
        <w:t>s</w:t>
      </w:r>
      <w:r w:rsidRPr="00237A2C">
        <w:t>dagens beslut.</w:t>
      </w:r>
    </w:p>
    <w:p w:rsidR="00AE50BA" w:rsidRPr="00237A2C" w:rsidRDefault="00AE50BA">
      <w:pPr>
        <w:pStyle w:val="Normaltindrag"/>
      </w:pPr>
      <w:r w:rsidRPr="00237A2C">
        <w:t>I budgetpropositionen för år 1997 återkom regeringen med den av riksd</w:t>
      </w:r>
      <w:r w:rsidRPr="00237A2C">
        <w:t>a</w:t>
      </w:r>
      <w:r w:rsidRPr="00237A2C">
        <w:t>gen begärda informationen om beredningsgången för hanteringen av b</w:t>
      </w:r>
      <w:r w:rsidRPr="00237A2C">
        <w:t>i</w:t>
      </w:r>
      <w:r w:rsidRPr="00237A2C">
        <w:t>dragsmedlen (prop. 1996/97:1 utg.omr. 20 s. 12). Enligt regeringens bedö</w:t>
      </w:r>
      <w:r w:rsidRPr="00237A2C">
        <w:t>m</w:t>
      </w:r>
      <w:r w:rsidRPr="00237A2C">
        <w:t>ning måste omställningen till hållbar utveckling planeras i ett längre tid</w:t>
      </w:r>
      <w:r w:rsidRPr="00237A2C">
        <w:t>s</w:t>
      </w:r>
      <w:r w:rsidRPr="00237A2C">
        <w:t>perspektiv. Vad den skulle komma att kräva av statligt stöd kunde vid denna tidpunkt inte överblickas. Samtidigt konstaterade regeringen att de nu akt</w:t>
      </w:r>
      <w:r w:rsidRPr="00237A2C">
        <w:t>u</w:t>
      </w:r>
      <w:r w:rsidRPr="00237A2C">
        <w:t>ella bidragen skulle utgå under en begränsad tid av fem år. Regeringen hade därför funnit att inrättandet av en ny statlig myndighet inte kunde m</w:t>
      </w:r>
      <w:r w:rsidRPr="00237A2C">
        <w:t>ot</w:t>
      </w:r>
      <w:r w:rsidRPr="00237A2C">
        <w:t>i</w:t>
      </w:r>
      <w:r w:rsidRPr="00237A2C">
        <w:t xml:space="preserve">veras. </w:t>
      </w:r>
    </w:p>
    <w:p w:rsidR="00AE50BA" w:rsidRPr="00237A2C" w:rsidRDefault="00AE50BA">
      <w:pPr>
        <w:pStyle w:val="Normaltindrag"/>
      </w:pPr>
      <w:r w:rsidRPr="00237A2C">
        <w:t>Verksamheten borde i stället administreras av ett särskilt kansli med pr</w:t>
      </w:r>
      <w:r w:rsidRPr="00237A2C">
        <w:t>o</w:t>
      </w:r>
      <w:r w:rsidRPr="00237A2C">
        <w:t>jektanställd personal inom en befintlig enhet på Miljödepartementet. Reg</w:t>
      </w:r>
      <w:r w:rsidRPr="00237A2C">
        <w:t>e</w:t>
      </w:r>
      <w:r w:rsidRPr="00237A2C">
        <w:t>ringen aviserade vidare att en särskild fast beredningsgrupp skulle inrättas för ändamålet med berörda departement. Delegationen för ekologisk o</w:t>
      </w:r>
      <w:r w:rsidRPr="00237A2C">
        <w:t>m</w:t>
      </w:r>
      <w:r w:rsidRPr="00237A2C">
        <w:t xml:space="preserve">ställning vid Naturvårdsverket ändrades så att delegationen fick ställning som ett rådgivande organ direkt under Miljödepartementet. I propositionen anmälde regeringen också att administrationen av bidragen borde finansieras av det aktuella anslaget. </w:t>
      </w:r>
    </w:p>
    <w:p w:rsidR="00AE50BA" w:rsidRPr="00237A2C" w:rsidRDefault="00AE50BA">
      <w:pPr>
        <w:pStyle w:val="Normaltindrag"/>
      </w:pPr>
      <w:r w:rsidRPr="00237A2C">
        <w:t>Regeringen beslutade den 19 december 1996</w:t>
      </w:r>
      <w:r w:rsidRPr="00237A2C">
        <w:t xml:space="preserve"> om regleringsbrev för ansl</w:t>
      </w:r>
      <w:r w:rsidRPr="00237A2C">
        <w:t>a</w:t>
      </w:r>
      <w:r w:rsidRPr="00237A2C">
        <w:t>get (Dnr M96/2958/8). Där framgår att 938,2 miljoner kronor disponeras av Boverket för bidrag till kretsloppsanpassning (anslagsposten 2) och 11,8 miljoner kronor av Regeringskansliet för administration samt för uppföljning och utvärdering (anslagsposten 3). Från anslaget fördes 50 miljoner kronor bort som en besparing i enlighet med riksdagens beslut med anledning av budgetpropositionen för år 1997 som en del av finansieringen av ett miljöe</w:t>
      </w:r>
      <w:r w:rsidRPr="00237A2C">
        <w:t>r</w:t>
      </w:r>
      <w:r w:rsidRPr="00237A2C">
        <w:t>sättningspr</w:t>
      </w:r>
      <w:r w:rsidRPr="00237A2C">
        <w:t>o</w:t>
      </w:r>
      <w:r w:rsidRPr="00237A2C">
        <w:t xml:space="preserve">gram. </w:t>
      </w:r>
    </w:p>
    <w:p w:rsidR="00AE50BA" w:rsidRPr="00237A2C" w:rsidRDefault="00AE50BA">
      <w:pPr>
        <w:pStyle w:val="Normaltindrag"/>
      </w:pPr>
      <w:r w:rsidRPr="00237A2C">
        <w:t>Anslagsmedlen på an</w:t>
      </w:r>
      <w:r w:rsidRPr="00237A2C">
        <w:t>slagsposten 2 skall användas enligt förordningen (1996:1378) om investeringsbidrag för en ekologiskt hållbar utveckling. Av förordningen framgår att länsstyrelserna beslutar om bidrag i de fall kostn</w:t>
      </w:r>
      <w:r w:rsidRPr="00237A2C">
        <w:t>a</w:t>
      </w:r>
      <w:r w:rsidRPr="00237A2C">
        <w:t>derna uppgår till högst 8 miljoner kronor och regeringen om kostnaderna avser högre belopp.</w:t>
      </w:r>
    </w:p>
    <w:p w:rsidR="00AE50BA" w:rsidRPr="00237A2C" w:rsidRDefault="00AE50BA">
      <w:pPr>
        <w:rPr>
          <w:i/>
        </w:rPr>
      </w:pPr>
      <w:r w:rsidRPr="00237A2C">
        <w:rPr>
          <w:i/>
        </w:rPr>
        <w:t>Uppföljning och utvärdering</w:t>
      </w:r>
    </w:p>
    <w:p w:rsidR="00AE50BA" w:rsidRPr="00237A2C" w:rsidRDefault="00AE50BA">
      <w:r w:rsidRPr="00237A2C">
        <w:t>I sitt yttrande (1995/96:BoU11y) till finansutskottet med anledning av fö</w:t>
      </w:r>
      <w:r w:rsidRPr="00237A2C">
        <w:t>r</w:t>
      </w:r>
      <w:r w:rsidRPr="00237A2C">
        <w:t>slagen i sysselsättningspropositionen underströk bostadsutskottet, vad gällde de krav som motionsvis framförts om att programmet borde omfatta fler områden, vikten av att programmet utformades så att det skulle bli möjligt att lämna stöd för projekt som bidrar till att flytta fram positionerna när det gäller omställning till en hållbar utveckling. Bostadsutskottet utgick samt</w:t>
      </w:r>
      <w:r w:rsidRPr="00237A2C">
        <w:t>i</w:t>
      </w:r>
      <w:r w:rsidRPr="00237A2C">
        <w:t>digt från att regeringen kommer att för riksdagen redovisa hur programmet fortskrider.</w:t>
      </w:r>
    </w:p>
    <w:p w:rsidR="00AE50BA" w:rsidRPr="00237A2C" w:rsidRDefault="00AE50BA">
      <w:pPr>
        <w:pStyle w:val="Normaltindrag"/>
      </w:pPr>
      <w:r w:rsidRPr="00237A2C">
        <w:t>I sitt budgetbetänkande hösten 1997 (bet. 199</w:t>
      </w:r>
      <w:r w:rsidRPr="00237A2C">
        <w:t>7/98:JoU2 s. 11) behandlade jordbruksutskottet olika mål- och resultatfrågor i anslutning till budgetförsl</w:t>
      </w:r>
      <w:r w:rsidRPr="00237A2C">
        <w:t>a</w:t>
      </w:r>
      <w:r w:rsidRPr="00237A2C">
        <w:t>get för år 1998 inom utgiftsområde 20. Ett av de anslag som särskilt diskut</w:t>
      </w:r>
      <w:r w:rsidRPr="00237A2C">
        <w:t>e</w:t>
      </w:r>
      <w:r w:rsidRPr="00237A2C">
        <w:t>ras i betänkandet är den s.k. kretsloppsmiljarden. Utskottet instämmer därför till stor del i det som anförs i motion 1997/98:JoU 726 (mp) om behovet av redovisning, uppföljning och utvärdering av användningen av de anslagna medlen. Enligt utskottet kan det vara lämpligt att redovisningen görs i sa</w:t>
      </w:r>
      <w:r w:rsidRPr="00237A2C">
        <w:t>m</w:t>
      </w:r>
      <w:r w:rsidRPr="00237A2C">
        <w:t>band med regeringens årliga m</w:t>
      </w:r>
      <w:r w:rsidRPr="00237A2C">
        <w:t>iljöskrivelse till riksdagen.</w:t>
      </w:r>
    </w:p>
    <w:p w:rsidR="00AE50BA" w:rsidRPr="00237A2C" w:rsidRDefault="00AE50BA">
      <w:pPr>
        <w:rPr>
          <w:i/>
        </w:rPr>
      </w:pPr>
      <w:r w:rsidRPr="00237A2C">
        <w:rPr>
          <w:i/>
        </w:rPr>
        <w:t>Resultatrapportering till riksdagen</w:t>
      </w:r>
    </w:p>
    <w:p w:rsidR="00AE50BA" w:rsidRPr="00237A2C" w:rsidRDefault="00AE50BA">
      <w:r w:rsidRPr="00237A2C">
        <w:t>I budgetpropositionen för år 1998 (prop. 1997/98:1 utg.omr. 20 s. 7) anmäler regeringen att verksamheten inom ramen för det femåriga programmet för stöd till investeringar  för en ekologiskt hållbar utveckling kommit i gång under våren 1997 och att regeringen beslutat om de första investeringsbidr</w:t>
      </w:r>
      <w:r w:rsidRPr="00237A2C">
        <w:t>a</w:t>
      </w:r>
      <w:r w:rsidRPr="00237A2C">
        <w:t>gen.</w:t>
      </w:r>
    </w:p>
    <w:p w:rsidR="00AE50BA" w:rsidRPr="00237A2C" w:rsidRDefault="00AE50BA">
      <w:pPr>
        <w:pStyle w:val="Normaltindrag"/>
      </w:pPr>
      <w:r w:rsidRPr="00237A2C">
        <w:t>I en separat skrivelse Hållbara Sverige – en uppföljning och fortsatta å</w:t>
      </w:r>
      <w:r w:rsidRPr="00237A2C">
        <w:t>t</w:t>
      </w:r>
      <w:r w:rsidRPr="00237A2C">
        <w:t>gärder för en ekologiskt hållbar utveckling (skr. 1998/99:5), som överlämn</w:t>
      </w:r>
      <w:r w:rsidRPr="00237A2C">
        <w:t>a</w:t>
      </w:r>
      <w:r w:rsidRPr="00237A2C">
        <w:t>des till riksdagen samtidigt som budgetpropositionen för år 1999, redovis</w:t>
      </w:r>
      <w:r w:rsidRPr="00237A2C">
        <w:t>a</w:t>
      </w:r>
      <w:r w:rsidRPr="00237A2C">
        <w:t>des en uppföljning av de genomförda åtgärderna. Skrivelsen innehåller bl.a. en redovisning av miljöarbetet inom varje departements verksamhet</w:t>
      </w:r>
      <w:r w:rsidRPr="00237A2C">
        <w:t>s</w:t>
      </w:r>
      <w:r w:rsidRPr="00237A2C">
        <w:t>område.</w:t>
      </w:r>
    </w:p>
    <w:p w:rsidR="00AE50BA" w:rsidRPr="00237A2C" w:rsidRDefault="00AE50BA">
      <w:pPr>
        <w:pStyle w:val="Normaltindrag"/>
      </w:pPr>
      <w:r w:rsidRPr="00237A2C">
        <w:t>I budgetpropositionen för år 2000 rapporterar regeringen att man i maj 1998 inrättat en särskild delegation för ekologiskt hållbar upphandling. D</w:t>
      </w:r>
      <w:r w:rsidRPr="00237A2C">
        <w:t>e</w:t>
      </w:r>
      <w:r w:rsidRPr="00237A2C">
        <w:t>legationens uppgift är att driva på ekologiskt hållbar upphandling som ett viktigt verktyg för att uppnå en hållbar utveckling.</w:t>
      </w:r>
    </w:p>
    <w:p w:rsidR="00AE50BA" w:rsidRPr="00237A2C" w:rsidRDefault="00AE50BA">
      <w:pPr>
        <w:pStyle w:val="Rubrik3"/>
      </w:pPr>
      <w:bookmarkStart w:id="222" w:name="_Toc509125608"/>
      <w:r w:rsidRPr="00237A2C">
        <w:br w:type="page"/>
      </w:r>
      <w:bookmarkStart w:id="223" w:name="_Toc509738040"/>
      <w:bookmarkStart w:id="224" w:name="_Toc516991660"/>
      <w:r w:rsidRPr="00237A2C">
        <w:t>2.5 Program för småföretagsutveckling (Småföretagsmiljarden)</w:t>
      </w:r>
      <w:bookmarkEnd w:id="222"/>
      <w:bookmarkEnd w:id="223"/>
      <w:bookmarkEnd w:id="224"/>
    </w:p>
    <w:p w:rsidR="00AE50BA" w:rsidRPr="00237A2C" w:rsidRDefault="00AE50BA">
      <w:pPr>
        <w:rPr>
          <w:i/>
        </w:rPr>
      </w:pPr>
      <w:r w:rsidRPr="00237A2C">
        <w:rPr>
          <w:i/>
        </w:rPr>
        <w:t>Bakgrund, motiv och mål</w:t>
      </w:r>
    </w:p>
    <w:p w:rsidR="00AE50BA" w:rsidRPr="00237A2C" w:rsidRDefault="00AE50BA">
      <w:r w:rsidRPr="00237A2C">
        <w:t>Regeringen föreslog i proposition 1995/96:222 om en ekonomisk politik att halvera den öppna arbetslösheten till år 2000 att ett särskilt treårigt program för småföretagsutveckling, förnyelse och tillväxt skulle inrättas. Syftet med programmet angavs vara att stärka näringslivets tillväxt och öka sysselsät</w:t>
      </w:r>
      <w:r w:rsidRPr="00237A2C">
        <w:t>t</w:t>
      </w:r>
      <w:r w:rsidRPr="00237A2C">
        <w:t>ningen. Programmet redovis</w:t>
      </w:r>
      <w:r w:rsidRPr="00237A2C">
        <w:t>a</w:t>
      </w:r>
      <w:r w:rsidRPr="00237A2C">
        <w:t>des under följande fyra huvudrubriker:</w:t>
      </w:r>
    </w:p>
    <w:p w:rsidR="00AE50BA" w:rsidRPr="00237A2C" w:rsidRDefault="00AE50BA">
      <w:pPr>
        <w:numPr>
          <w:ilvl w:val="0"/>
          <w:numId w:val="10"/>
        </w:numPr>
      </w:pPr>
      <w:r w:rsidRPr="00237A2C">
        <w:t>Företag skall växa med kunskap</w:t>
      </w:r>
    </w:p>
    <w:p w:rsidR="00AE50BA" w:rsidRPr="00237A2C" w:rsidRDefault="00AE50BA">
      <w:pPr>
        <w:numPr>
          <w:ilvl w:val="0"/>
          <w:numId w:val="10"/>
        </w:numPr>
      </w:pPr>
      <w:r w:rsidRPr="00237A2C">
        <w:t>Enklare att starta och driva företag</w:t>
      </w:r>
    </w:p>
    <w:p w:rsidR="00AE50BA" w:rsidRPr="00237A2C" w:rsidRDefault="00AE50BA">
      <w:pPr>
        <w:numPr>
          <w:ilvl w:val="0"/>
          <w:numId w:val="10"/>
        </w:numPr>
      </w:pPr>
      <w:r w:rsidRPr="00237A2C">
        <w:t>En ny regional näringspolitik</w:t>
      </w:r>
    </w:p>
    <w:p w:rsidR="00AE50BA" w:rsidRPr="00237A2C" w:rsidRDefault="00AE50BA">
      <w:pPr>
        <w:numPr>
          <w:ilvl w:val="0"/>
          <w:numId w:val="10"/>
        </w:numPr>
      </w:pPr>
      <w:r w:rsidRPr="00237A2C">
        <w:t>Fler exportföretag</w:t>
      </w:r>
    </w:p>
    <w:p w:rsidR="00AE50BA" w:rsidRPr="00237A2C" w:rsidRDefault="00AE50BA">
      <w:pPr>
        <w:rPr>
          <w:i/>
        </w:rPr>
      </w:pPr>
      <w:r w:rsidRPr="00237A2C">
        <w:rPr>
          <w:i/>
        </w:rPr>
        <w:t>Anslag</w:t>
      </w:r>
    </w:p>
    <w:p w:rsidR="00AE50BA" w:rsidRPr="00237A2C" w:rsidRDefault="00AE50BA">
      <w:r w:rsidRPr="00237A2C">
        <w:t>Till programmet föreslogs på tilläggsbudget att till statsbudgeten för budge</w:t>
      </w:r>
      <w:r w:rsidRPr="00237A2C">
        <w:t>t</w:t>
      </w:r>
      <w:r w:rsidRPr="00237A2C">
        <w:t>året 1995/96 till  reservationsanslaget A16 under tolfte huvudtiteln anvisa 1 miljard kronor. I huvudsak innehöll propositionen endast allmänna beskri</w:t>
      </w:r>
      <w:r w:rsidRPr="00237A2C">
        <w:t>v</w:t>
      </w:r>
      <w:r w:rsidRPr="00237A2C">
        <w:t>ningar av hur medlen skulle fördelas på de angivna ändamålen. Någon prec</w:t>
      </w:r>
      <w:r w:rsidRPr="00237A2C">
        <w:t>i</w:t>
      </w:r>
      <w:r w:rsidRPr="00237A2C">
        <w:t>sering av hur medlen skulle fördelas på dessa ändamål gjordes inte. Enligt propositionen skulle 500 miljoner kronor avsättas för en fortsättning av bl.a. det s.k. tillfälliga småföretagsstödet. Näringsutskottet inhämtade dock vissa uppgifter om medelsfördelningen från Näringsdepartement</w:t>
      </w:r>
      <w:r w:rsidRPr="00237A2C">
        <w:t>et (se yttrande 1995/96: NU10y s. 5</w:t>
      </w:r>
      <w:r w:rsidRPr="00237A2C">
        <w:sym w:font="Symbol" w:char="F02D"/>
      </w:r>
      <w:r w:rsidRPr="00237A2C">
        <w:t>9).</w:t>
      </w:r>
    </w:p>
    <w:p w:rsidR="00AE50BA" w:rsidRPr="00237A2C" w:rsidRDefault="00AE50BA">
      <w:pPr>
        <w:pStyle w:val="Normaltindrag"/>
      </w:pPr>
      <w:r w:rsidRPr="00237A2C">
        <w:t xml:space="preserve">I kommittémotion 1995/96:Fi119 från Moderata samlingspartiet föreslogs att riksdagen skulle avslå förslaget om ett program för småföretagsutveckling m.m. Enligt motionärerna var programmet varken konkret eller genomtänkt. Miljöpartiet förordade i en partimotion 1995/96:Fi117 att programförslaget borde avvisas av riksdagen och krav ställdes på att regeringen i stället skulle lämna en samlad redovisning  och analys av alla företagsstöd. </w:t>
      </w:r>
    </w:p>
    <w:p w:rsidR="00AE50BA" w:rsidRPr="00237A2C" w:rsidRDefault="00AE50BA">
      <w:pPr>
        <w:rPr>
          <w:b/>
        </w:rPr>
      </w:pPr>
      <w:r w:rsidRPr="00237A2C">
        <w:rPr>
          <w:b/>
        </w:rPr>
        <w:t>Anslaget Program för småföretagsutveckling</w:t>
      </w:r>
    </w:p>
    <w:p w:rsidR="00AE50BA" w:rsidRPr="00237A2C" w:rsidRDefault="00AE50BA">
      <w:r w:rsidRPr="00237A2C">
        <w:t>––––––––––––––––––––––––––––––––––––––––––––––––––––––––––––––</w:t>
      </w:r>
    </w:p>
    <w:p w:rsidR="00AE50BA" w:rsidRPr="00237A2C" w:rsidRDefault="00AE50BA">
      <w:pPr>
        <w:tabs>
          <w:tab w:val="right" w:pos="2127"/>
          <w:tab w:val="right" w:pos="2835"/>
          <w:tab w:val="right" w:pos="3686"/>
          <w:tab w:val="right" w:pos="4536"/>
          <w:tab w:val="right" w:pos="5670"/>
        </w:tabs>
        <w:jc w:val="left"/>
      </w:pPr>
      <w:r w:rsidRPr="00237A2C">
        <w:t>Prop.</w:t>
      </w:r>
      <w:r w:rsidRPr="00237A2C">
        <w:tab/>
        <w:t>1995/99</w:t>
      </w:r>
      <w:r w:rsidRPr="00237A2C">
        <w:tab/>
        <w:t>1997</w:t>
      </w:r>
      <w:r w:rsidRPr="00237A2C">
        <w:tab/>
        <w:t>1998</w:t>
      </w:r>
      <w:r w:rsidRPr="00237A2C">
        <w:tab/>
        <w:t>1999</w:t>
      </w:r>
      <w:r w:rsidRPr="00237A2C">
        <w:tab/>
        <w:t>Totalt</w:t>
      </w:r>
    </w:p>
    <w:p w:rsidR="00AE50BA" w:rsidRPr="00237A2C" w:rsidRDefault="00AE50BA">
      <w:pPr>
        <w:tabs>
          <w:tab w:val="right" w:pos="1985"/>
          <w:tab w:val="right" w:pos="2835"/>
          <w:tab w:val="right" w:pos="2977"/>
          <w:tab w:val="right" w:pos="3686"/>
          <w:tab w:val="right" w:pos="3969"/>
          <w:tab w:val="right" w:pos="4536"/>
          <w:tab w:val="right" w:pos="5670"/>
        </w:tabs>
        <w:jc w:val="left"/>
      </w:pPr>
      <w:r w:rsidRPr="00237A2C">
        <w:t>______________________________________________________________</w:t>
      </w:r>
    </w:p>
    <w:p w:rsidR="00AE50BA" w:rsidRPr="00237A2C" w:rsidRDefault="00AE50BA">
      <w:pPr>
        <w:tabs>
          <w:tab w:val="right" w:pos="1985"/>
          <w:tab w:val="right" w:pos="2835"/>
          <w:tab w:val="right" w:pos="2977"/>
          <w:tab w:val="right" w:pos="3686"/>
          <w:tab w:val="right" w:pos="3969"/>
          <w:tab w:val="right" w:pos="4536"/>
          <w:tab w:val="right" w:pos="5670"/>
        </w:tabs>
        <w:spacing w:line="360" w:lineRule="auto"/>
        <w:jc w:val="left"/>
      </w:pPr>
      <w:r w:rsidRPr="00237A2C">
        <w:t>1995/96:222</w:t>
      </w:r>
      <w:r w:rsidRPr="00237A2C">
        <w:tab/>
      </w:r>
      <w:r w:rsidRPr="00237A2C">
        <w:rPr>
          <w:b/>
        </w:rPr>
        <w:t>1 000</w:t>
      </w:r>
    </w:p>
    <w:p w:rsidR="00AE50BA" w:rsidRPr="00237A2C" w:rsidRDefault="00AE50BA">
      <w:pPr>
        <w:tabs>
          <w:tab w:val="right" w:pos="1985"/>
          <w:tab w:val="right" w:pos="2835"/>
          <w:tab w:val="right" w:pos="2977"/>
          <w:tab w:val="right" w:pos="3686"/>
          <w:tab w:val="right" w:pos="3969"/>
          <w:tab w:val="right" w:pos="4536"/>
          <w:tab w:val="right" w:pos="5670"/>
        </w:tabs>
        <w:spacing w:before="123" w:line="240" w:lineRule="auto"/>
        <w:jc w:val="left"/>
      </w:pPr>
      <w:r w:rsidRPr="00237A2C">
        <w:t>S:a anslag</w:t>
      </w:r>
      <w:r w:rsidRPr="00237A2C">
        <w:tab/>
      </w:r>
      <w:r w:rsidRPr="00237A2C">
        <w:rPr>
          <w:b/>
        </w:rPr>
        <w:t>1 000</w:t>
      </w:r>
      <w:r w:rsidRPr="00237A2C">
        <w:rPr>
          <w:b/>
        </w:rPr>
        <w:tab/>
      </w:r>
      <w:r w:rsidRPr="00237A2C">
        <w:rPr>
          <w:b/>
        </w:rPr>
        <w:tab/>
      </w:r>
      <w:r w:rsidRPr="00237A2C">
        <w:rPr>
          <w:b/>
        </w:rPr>
        <w:tab/>
      </w:r>
      <w:r w:rsidRPr="00237A2C">
        <w:rPr>
          <w:b/>
        </w:rPr>
        <w:tab/>
      </w:r>
      <w:r w:rsidRPr="00237A2C">
        <w:rPr>
          <w:b/>
        </w:rPr>
        <w:tab/>
      </w:r>
      <w:r w:rsidRPr="00237A2C">
        <w:rPr>
          <w:b/>
        </w:rPr>
        <w:tab/>
        <w:t>1 000</w:t>
      </w:r>
    </w:p>
    <w:p w:rsidR="00AE50BA" w:rsidRPr="00237A2C" w:rsidRDefault="00AE50BA">
      <w:pPr>
        <w:rPr>
          <w:i/>
        </w:rPr>
      </w:pPr>
      <w:r w:rsidRPr="00237A2C">
        <w:rPr>
          <w:i/>
        </w:rPr>
        <w:t>Genomförandefrågor</w:t>
      </w:r>
    </w:p>
    <w:p w:rsidR="00AE50BA" w:rsidRPr="00237A2C" w:rsidRDefault="00AE50BA">
      <w:r w:rsidRPr="00237A2C">
        <w:t>I samband med riksdagsbehandlingen av propositionen framhölls i partim</w:t>
      </w:r>
      <w:r w:rsidRPr="00237A2C">
        <w:t>o</w:t>
      </w:r>
      <w:r w:rsidRPr="00237A2C">
        <w:t>tionen från Miljöpartiet att även om många av de redovisade ändamålen i och för sig var både vällovliga och viktiga hade förslaget brister. Motionärerna påpekade att det t.ex. i propositionen inte angavs hur de föreslagna medlen skulle fördelas eller genom vilka organ de skulle förmedlas. Riksdagen borde hos regeringen begära en samlad öve</w:t>
      </w:r>
      <w:r w:rsidRPr="00237A2C">
        <w:t>r</w:t>
      </w:r>
      <w:r w:rsidRPr="00237A2C">
        <w:t>syn av alla företagsstöd.</w:t>
      </w:r>
    </w:p>
    <w:p w:rsidR="00AE50BA" w:rsidRPr="00237A2C" w:rsidRDefault="00AE50BA">
      <w:pPr>
        <w:pStyle w:val="Normaltindrag"/>
      </w:pPr>
      <w:r w:rsidRPr="00237A2C">
        <w:t>Regeringen beslutade den 22 augusti 1996 om regleringsbrev för anslaget A16 Program för småföretagsutveckling, förnyelse och tillväxt (dnr N96/</w:t>
      </w:r>
      <w:r w:rsidRPr="00237A2C">
        <w:t>2346). I  regleringsbrevet finns inga särskilda villkor för medlens a</w:t>
      </w:r>
      <w:r w:rsidRPr="00237A2C">
        <w:t>n</w:t>
      </w:r>
      <w:r w:rsidRPr="00237A2C">
        <w:t>vändning eller hur fördelningen av bidragen skall genomföras. Där framgår endast att medlen disponeras av regeringen för genomförande av programmet enligt sä</w:t>
      </w:r>
      <w:r w:rsidRPr="00237A2C">
        <w:t>r</w:t>
      </w:r>
      <w:r w:rsidRPr="00237A2C">
        <w:t xml:space="preserve">skilda beslut. </w:t>
      </w:r>
    </w:p>
    <w:p w:rsidR="00AE50BA" w:rsidRPr="00237A2C" w:rsidRDefault="00AE50BA">
      <w:pPr>
        <w:rPr>
          <w:i/>
        </w:rPr>
      </w:pPr>
      <w:r w:rsidRPr="00237A2C">
        <w:rPr>
          <w:i/>
        </w:rPr>
        <w:t>Uppföljning och  utvärdering</w:t>
      </w:r>
    </w:p>
    <w:p w:rsidR="00AE50BA" w:rsidRPr="00237A2C" w:rsidRDefault="00AE50BA">
      <w:r w:rsidRPr="00237A2C">
        <w:t>Regeringen har inte lämnat någon information i budgetproposition om hur uppföljning och utvärdering av de anslagna medlen skall genomföras.</w:t>
      </w:r>
    </w:p>
    <w:p w:rsidR="00AE50BA" w:rsidRPr="00237A2C" w:rsidRDefault="00AE50BA">
      <w:pPr>
        <w:rPr>
          <w:i/>
        </w:rPr>
      </w:pPr>
      <w:r w:rsidRPr="00237A2C">
        <w:rPr>
          <w:i/>
        </w:rPr>
        <w:t>Resultatrapportering till riksdagen</w:t>
      </w:r>
    </w:p>
    <w:p w:rsidR="00AE50BA" w:rsidRPr="00237A2C" w:rsidRDefault="00AE50BA">
      <w:r w:rsidRPr="00237A2C">
        <w:t>I budgetpropositionen för år 1997 (prop. 1996/97:1) som avlämnades i se</w:t>
      </w:r>
      <w:r w:rsidRPr="00237A2C">
        <w:t>p</w:t>
      </w:r>
      <w:r w:rsidRPr="00237A2C">
        <w:t>tember 1996 konstateras helt kort att regeringen med anledning av besluten i juli 1996 sammanlagt disponerar 1 miljard kronor för att genomföra nya, offensiva insatser för att näringslivet skall kunna växa och anställa fler mä</w:t>
      </w:r>
      <w:r w:rsidRPr="00237A2C">
        <w:t>n</w:t>
      </w:r>
      <w:r w:rsidRPr="00237A2C">
        <w:t>niskor (utg.omr. 24 s. 9).</w:t>
      </w:r>
    </w:p>
    <w:p w:rsidR="00AE50BA" w:rsidRPr="00237A2C" w:rsidRDefault="00AE50BA">
      <w:pPr>
        <w:pStyle w:val="Normaltindrag"/>
      </w:pPr>
      <w:r w:rsidRPr="00237A2C">
        <w:t>Enligt vad som sägs i budgetförslaget för år 1998 (prop. 1997/98:1 utg.omr. 24, s. 21) har regeringen till följd av riksdagens beslut sommaren 1996 med anledning av sysselsättningspropositionen under åren 1996 och 1997 beslutat om insatser för en miljard kr</w:t>
      </w:r>
      <w:r w:rsidRPr="00237A2C">
        <w:t>onor för nya, offensiva insatser för tillväxt, förnyelse och småföretagsutveckling. Av redovisningen framgår inte vilka insatser som avses och om finansieringen i sin helhet skett via det särskilda anslaget för småföretagsutveckling.</w:t>
      </w:r>
    </w:p>
    <w:p w:rsidR="00AE50BA" w:rsidRPr="00237A2C" w:rsidRDefault="00AE50BA">
      <w:pPr>
        <w:pStyle w:val="Normaltindrag"/>
      </w:pPr>
      <w:r w:rsidRPr="00237A2C">
        <w:t>I sitt betänkande 1997/98:NU1 med anledning av förslagen till anslag inom utgiftsområde 24 i budgetpropositionen för år 1998 för näringsutskottet en generell diskussion om riksdagens roll i ett mål- och resultatstyrt system. Resonemanget kan vara av intresse även i det här aktu</w:t>
      </w:r>
      <w:r w:rsidRPr="00237A2C">
        <w:t>ella fallet. Enligt n</w:t>
      </w:r>
      <w:r w:rsidRPr="00237A2C">
        <w:t>ä</w:t>
      </w:r>
      <w:r w:rsidRPr="00237A2C">
        <w:t>ringsutskottet är det främsta underlaget för regeringens – och riksdagens – resultatbedömning regleringsbreven och återrapporteringen i årsredovisnin</w:t>
      </w:r>
      <w:r w:rsidRPr="00237A2C">
        <w:t>g</w:t>
      </w:r>
      <w:r w:rsidRPr="00237A2C">
        <w:t>ar. Utskottet understryker att regleringsbreven måste utformas så att övergr</w:t>
      </w:r>
      <w:r w:rsidRPr="00237A2C">
        <w:t>i</w:t>
      </w:r>
      <w:r w:rsidRPr="00237A2C">
        <w:t>pande mål och delmål framgår på ett konkret sätt. Detta bildar utgångspun</w:t>
      </w:r>
      <w:r w:rsidRPr="00237A2C">
        <w:t>k</w:t>
      </w:r>
      <w:r w:rsidRPr="00237A2C">
        <w:t>ten för en meningsfull uppföljning och utvärdering. Utskottet begär med anledning därav att regeringen i nästkommande budgetproposition skall lämna en mer konkret och tydlig mål- och result</w:t>
      </w:r>
      <w:r w:rsidRPr="00237A2C">
        <w:t>atredovisning än vad som görs i den då aktuella budgetprop</w:t>
      </w:r>
      <w:r w:rsidRPr="00237A2C">
        <w:t>o</w:t>
      </w:r>
      <w:r w:rsidRPr="00237A2C">
        <w:t>sitionen.</w:t>
      </w:r>
    </w:p>
    <w:p w:rsidR="00AE50BA" w:rsidRPr="00237A2C" w:rsidRDefault="00AE50BA">
      <w:pPr>
        <w:pStyle w:val="Normaltindrag"/>
      </w:pPr>
      <w:r w:rsidRPr="00237A2C">
        <w:t>I budgetpropositionen för år 1999 (prop. 1998/99:1 utg.omr. 24 s. 10) åte</w:t>
      </w:r>
      <w:r w:rsidRPr="00237A2C">
        <w:t>r</w:t>
      </w:r>
      <w:r w:rsidRPr="00237A2C">
        <w:t>kommer regeringen med förslag till ett antal nya mål för enskilda verksa</w:t>
      </w:r>
      <w:r w:rsidRPr="00237A2C">
        <w:t>m</w:t>
      </w:r>
      <w:r w:rsidRPr="00237A2C">
        <w:t>heter som ett komplement till tidigare av riksdagen beslutade mål inom u</w:t>
      </w:r>
      <w:r w:rsidRPr="00237A2C">
        <w:t>t</w:t>
      </w:r>
      <w:r w:rsidRPr="00237A2C">
        <w:t>giftsområdet. Regeringen bedömer enligt propositionen att styrningen av verksamheterna bör ske på en mer detaljerad nivå än utgiftsområdesnivå för att fungera och för att förbättra resultatredovisningen till riksdagen. I prop</w:t>
      </w:r>
      <w:r w:rsidRPr="00237A2C">
        <w:t>o</w:t>
      </w:r>
      <w:r w:rsidRPr="00237A2C">
        <w:t>sitionen finns dock ingen resultatredovisning beträffande reservationsansl</w:t>
      </w:r>
      <w:r w:rsidRPr="00237A2C">
        <w:t>a</w:t>
      </w:r>
      <w:r w:rsidRPr="00237A2C">
        <w:t>get Program för småföretagsutveckling.</w:t>
      </w:r>
    </w:p>
    <w:p w:rsidR="00AE50BA" w:rsidRPr="00237A2C" w:rsidRDefault="00AE50BA">
      <w:pPr>
        <w:pStyle w:val="Normaltindrag"/>
      </w:pPr>
      <w:r w:rsidRPr="00237A2C">
        <w:t xml:space="preserve">Näringsutskottet anför i </w:t>
      </w:r>
      <w:r w:rsidRPr="00237A2C">
        <w:t>sitt betänkande 1998/99:NU1 att de förändringar som gjorts kan ses som ett svar på utskottets önskemål om en mer tydlig mål- och resultatredovisning. Utskottet konstaterar samtidigt att redovisningen av effekterna av de statliga insatserna och regeringens slutsatser för de olika verksamhetsområdena i flera fall är ganska knapphändig. Utskottet tillstyrker de i propositionen redovisade målen men anser samtidigt det som angeläget att arbetet med att förbättra och konkretisera resultatredovisningen till rik</w:t>
      </w:r>
      <w:r w:rsidRPr="00237A2C">
        <w:t>s</w:t>
      </w:r>
      <w:r w:rsidRPr="00237A2C">
        <w:t>da</w:t>
      </w:r>
      <w:r w:rsidRPr="00237A2C">
        <w:t>gen fortsätter. Utskottet understryker särskilt vikten av en bättre koppling mellan regleringsbreven och redovisningen till rik</w:t>
      </w:r>
      <w:r w:rsidRPr="00237A2C">
        <w:t>s</w:t>
      </w:r>
      <w:r w:rsidRPr="00237A2C">
        <w:t>dagen (s. 16).</w:t>
      </w:r>
    </w:p>
    <w:p w:rsidR="00AE50BA" w:rsidRPr="00237A2C" w:rsidRDefault="00AE50BA">
      <w:pPr>
        <w:pStyle w:val="Normaltindrag"/>
      </w:pPr>
      <w:r w:rsidRPr="00237A2C">
        <w:t>Det kan konstateras att 1999 är det sista budgetåret då reservationsanslaget Program för småföretagsutveckling är upptaget på statsbudgeten. Någon återrapportering till riksdagen av utfallet och effekterna av de särskilda m</w:t>
      </w:r>
      <w:r w:rsidRPr="00237A2C">
        <w:t>e</w:t>
      </w:r>
      <w:r w:rsidRPr="00237A2C">
        <w:t>del som riksdagen anvisat efter denna period återfinns inte i budgetpropos</w:t>
      </w:r>
      <w:r w:rsidRPr="00237A2C">
        <w:t>i</w:t>
      </w:r>
      <w:r w:rsidRPr="00237A2C">
        <w:t xml:space="preserve">tionerna för åren 2000 och 2001. </w:t>
      </w:r>
    </w:p>
    <w:p w:rsidR="00AE50BA" w:rsidRPr="00237A2C" w:rsidRDefault="00AE50BA">
      <w:pPr>
        <w:pStyle w:val="Rubrik3"/>
      </w:pPr>
      <w:bookmarkStart w:id="225" w:name="_Toc509125609"/>
      <w:bookmarkStart w:id="226" w:name="_Toc509738041"/>
      <w:bookmarkStart w:id="227" w:name="_Toc516991661"/>
      <w:r w:rsidRPr="00237A2C">
        <w:t>2.6 Särskilda utbildningsinsatser för vuxna (Kunskapslyftet)</w:t>
      </w:r>
      <w:bookmarkEnd w:id="225"/>
      <w:bookmarkEnd w:id="226"/>
      <w:bookmarkEnd w:id="227"/>
    </w:p>
    <w:p w:rsidR="00AE50BA" w:rsidRPr="00237A2C" w:rsidRDefault="00AE50BA">
      <w:pPr>
        <w:rPr>
          <w:i/>
        </w:rPr>
      </w:pPr>
      <w:r w:rsidRPr="00237A2C">
        <w:rPr>
          <w:i/>
        </w:rPr>
        <w:t>Bakgrund, motiv och mål</w:t>
      </w:r>
    </w:p>
    <w:p w:rsidR="00AE50BA" w:rsidRPr="00237A2C" w:rsidRDefault="00AE50BA">
      <w:r w:rsidRPr="00237A2C">
        <w:t>Målet för den särskilda utbildningssatsningen är att, genom utökad gymnas</w:t>
      </w:r>
      <w:r w:rsidRPr="00237A2C">
        <w:t>i</w:t>
      </w:r>
      <w:r w:rsidRPr="00237A2C">
        <w:t>al vuxenutbildning som anordnas utöver sådan utbildning som anordnas med kommunala medel, åstadkomma ett kraftigt kunskapslyft för i första hand arbetslösa vuxna, som saknar treårig gymnasiekompetens. Kunskapslyftet introducerades i den särskilda sysselsättningspolitiska propositionen somm</w:t>
      </w:r>
      <w:r w:rsidRPr="00237A2C">
        <w:t>a</w:t>
      </w:r>
      <w:r w:rsidRPr="00237A2C">
        <w:t xml:space="preserve">ren 1996 (prop. 1995/96:222). </w:t>
      </w:r>
    </w:p>
    <w:p w:rsidR="00AE50BA" w:rsidRPr="00237A2C" w:rsidRDefault="00AE50BA">
      <w:pPr>
        <w:pStyle w:val="Normaltindrag"/>
      </w:pPr>
      <w:r w:rsidRPr="00237A2C">
        <w:t>Syftet med satsningen är inte minst att öka sysselsättningen och tillväxten men också att bidra till att möta vuxnas utbildningsbehov i framtiden. Den särskilda vuxenutbildningssatsningen s</w:t>
      </w:r>
      <w:r w:rsidRPr="00237A2C">
        <w:t xml:space="preserve">tartade den 1 juli 1997 och avser en femårsperiod. </w:t>
      </w:r>
    </w:p>
    <w:p w:rsidR="00AE50BA" w:rsidRPr="00237A2C" w:rsidRDefault="00AE50BA">
      <w:pPr>
        <w:rPr>
          <w:i/>
        </w:rPr>
      </w:pPr>
      <w:r w:rsidRPr="00237A2C">
        <w:rPr>
          <w:i/>
        </w:rPr>
        <w:t>Anslagen</w:t>
      </w:r>
    </w:p>
    <w:p w:rsidR="00AE50BA" w:rsidRPr="00237A2C" w:rsidRDefault="00AE50BA">
      <w:r w:rsidRPr="00237A2C">
        <w:t>I budgetpropositionen för år 1997 (prop. 1996/97:1) begärs under ett nytt anslag medel för den särskilda vuxenutbildningssatsningen. I propositionen anges att regeringen beräknat medel för totalt 100 000 platser inom vuxenu</w:t>
      </w:r>
      <w:r w:rsidRPr="00237A2C">
        <w:t>t</w:t>
      </w:r>
      <w:r w:rsidRPr="00237A2C">
        <w:t>bildning. Statens bidrag förutsätts avse utbildning på gymnasial nivå. För budgetåret 1997 föreslås att 2 546 miljoner kronor skall avsättas för änd</w:t>
      </w:r>
      <w:r w:rsidRPr="00237A2C">
        <w:t>a</w:t>
      </w:r>
      <w:r w:rsidRPr="00237A2C">
        <w:t>målet.</w:t>
      </w:r>
    </w:p>
    <w:p w:rsidR="00AE50BA" w:rsidRPr="00237A2C" w:rsidRDefault="00AE50BA">
      <w:pPr>
        <w:pStyle w:val="Normaltindrag"/>
      </w:pPr>
      <w:r w:rsidRPr="00237A2C">
        <w:t>Efter förslag i 1997 års ekonomiska vårproposition (prop. 1996/97:150) beslutade riksdagen om ytterligare medel på tilläggsbudget för budgetåret 1997 motsvarande 10 000 utbildningsplatser. I budgetpropositionen för år 1998 (prop. 1997/98:1) beräknas medel för denna nivåhöjning även för bu</w:t>
      </w:r>
      <w:r w:rsidRPr="00237A2C">
        <w:t>d</w:t>
      </w:r>
      <w:r w:rsidRPr="00237A2C">
        <w:t>getåren 1998, 1999 och 2000. För år 1998 föreslog regeringen att 3 474 miljoner kronor skulle anvisas. Från Moderaterna föreslogs en besparing på 700 miljoner kronor. på anslaget (bet. 1997/98:UbU1).</w:t>
      </w:r>
    </w:p>
    <w:p w:rsidR="00AE50BA" w:rsidRPr="00237A2C" w:rsidRDefault="00AE50BA">
      <w:pPr>
        <w:pStyle w:val="Normaltindrag"/>
      </w:pPr>
      <w:r w:rsidRPr="00237A2C">
        <w:t>Av budgetpropositionen för år 1999 (prop. 1998/99:1) framgår att reg</w:t>
      </w:r>
      <w:r w:rsidRPr="00237A2C">
        <w:t>e</w:t>
      </w:r>
      <w:r w:rsidRPr="00237A2C">
        <w:t>ringen beräknat medel för budgetåret 1999 motsvarande 106 550 årsplatser. Medelsbehovet uppgick till 4 777 miljoner kronor. Fyra partier föreslog i sina budgetmotioner besparingar på anslaget med respektive 1 125 miljoner kronor för Folkpartiet, 876 miljoner kronor för Moderaterna), 80 miljoner kronor för Kristdemokraterna och 60 miljoner kronor för Miljöpartiet (bet. 1998/99:UbU1).</w:t>
      </w:r>
    </w:p>
    <w:p w:rsidR="00AE50BA" w:rsidRPr="00237A2C" w:rsidRDefault="00AE50BA">
      <w:pPr>
        <w:pStyle w:val="Normaltindrag"/>
      </w:pPr>
      <w:r w:rsidRPr="00237A2C">
        <w:t>I anslutning till 1999 års ekonomiska vårproposition (prop. 1998/99:100) beslöt riksdagen på förslag av regeringen på tillägg</w:t>
      </w:r>
      <w:r w:rsidRPr="00237A2C">
        <w:t>sbudget om en ökning av anslaget med 100 miljoner kronor. Finansieringen skedde genom en mins</w:t>
      </w:r>
      <w:r w:rsidRPr="00237A2C">
        <w:t>k</w:t>
      </w:r>
      <w:r w:rsidRPr="00237A2C">
        <w:t>ning av ett annat anslag inom utgiftsområdet.</w:t>
      </w:r>
    </w:p>
    <w:p w:rsidR="00AE50BA" w:rsidRPr="00237A2C" w:rsidRDefault="00AE50BA">
      <w:pPr>
        <w:pStyle w:val="Normaltindrag"/>
      </w:pPr>
      <w:r w:rsidRPr="00237A2C">
        <w:t>I budgetpropositionen för år 2000 begär regeringen ett anslag om 4 308 miljoner kronor för budgetåret 2000 och anslagen för budgetåren 2001 och 2002 beräknas till 4 520 respektive 4 120 miljoner kronor. Dessa medel beräknas motsvara ca 102 000 årsstudieplatser till kommunerna för Ku</w:t>
      </w:r>
      <w:r w:rsidRPr="00237A2C">
        <w:t>n</w:t>
      </w:r>
      <w:r w:rsidRPr="00237A2C">
        <w:t>skapslyftet. Av budgetförslagen för åren 1998</w:t>
      </w:r>
      <w:r w:rsidRPr="00237A2C">
        <w:sym w:font="Symbol" w:char="F02D"/>
      </w:r>
      <w:r w:rsidRPr="00237A2C">
        <w:t>2000 framgår att i anslaget inräknats medel för administration, information och utvärdering. Folkpartiet föreslog även för budgetåret 2000 betydande besparingar på anslaget, näml</w:t>
      </w:r>
      <w:r w:rsidRPr="00237A2C">
        <w:t>i</w:t>
      </w:r>
      <w:r w:rsidRPr="00237A2C">
        <w:t>gen 1 miljard kronor medan Moderaterna förordade en minskning med 176 miljonerkronor och Kristdemokraterna en ökning med 60 milj</w:t>
      </w:r>
      <w:r w:rsidRPr="00237A2C">
        <w:t>o</w:t>
      </w:r>
      <w:r w:rsidRPr="00237A2C">
        <w:t>ner kronor.</w:t>
      </w:r>
    </w:p>
    <w:p w:rsidR="00AE50BA" w:rsidRPr="00237A2C" w:rsidRDefault="00AE50BA">
      <w:pPr>
        <w:pStyle w:val="Normaltindrag"/>
      </w:pPr>
      <w:r w:rsidRPr="00237A2C">
        <w:t>Beslutade och beräknade anslag för perioden 1997</w:t>
      </w:r>
      <w:r w:rsidRPr="00237A2C">
        <w:sym w:font="Symbol" w:char="F02D"/>
      </w:r>
      <w:r w:rsidRPr="00237A2C">
        <w:t>2002 framgår av ne-danstående tabell. De anvisade anslagen för åren 1997</w:t>
      </w:r>
      <w:r w:rsidRPr="00237A2C">
        <w:sym w:font="Symbol" w:char="F02D"/>
      </w:r>
      <w:r w:rsidRPr="00237A2C">
        <w:t>2000 uppgår till sammanlagt 15 142 miljoner kronor och de beräknade beloppen för åren 2001 och 2002 till 4 520 respektive 4120 miljoner kronor eller totalt 23 783 miljoner kronor under per</w:t>
      </w:r>
      <w:r w:rsidRPr="00237A2C">
        <w:t>i</w:t>
      </w:r>
      <w:r w:rsidRPr="00237A2C">
        <w:t>oden i sin helhet.</w:t>
      </w:r>
    </w:p>
    <w:p w:rsidR="00AE50BA" w:rsidRPr="00237A2C" w:rsidRDefault="00AE50BA">
      <w:pPr>
        <w:pStyle w:val="Brdtext3"/>
      </w:pPr>
      <w:r w:rsidRPr="00237A2C">
        <w:t>Anslag till särskilda utbildningsinsatser för vuxna (Kunskapslyftet)</w:t>
      </w:r>
    </w:p>
    <w:p w:rsidR="00AE50BA" w:rsidRPr="00237A2C" w:rsidRDefault="00AE50BA">
      <w:pPr>
        <w:pBdr>
          <w:bottom w:val="single" w:sz="12" w:space="1" w:color="auto"/>
        </w:pBdr>
      </w:pPr>
      <w:r w:rsidRPr="00237A2C">
        <w:t>Miljoner kronor (Beräknade anslag inom parentes)</w:t>
      </w:r>
    </w:p>
    <w:p w:rsidR="00AE50BA" w:rsidRPr="00237A2C" w:rsidRDefault="00AE50BA">
      <w:pPr>
        <w:pBdr>
          <w:bottom w:val="single" w:sz="4" w:space="16" w:color="auto"/>
        </w:pBdr>
        <w:tabs>
          <w:tab w:val="right" w:pos="1560"/>
          <w:tab w:val="right" w:pos="2268"/>
          <w:tab w:val="right" w:pos="2977"/>
          <w:tab w:val="right" w:pos="3686"/>
          <w:tab w:val="right" w:pos="4395"/>
          <w:tab w:val="right" w:pos="5103"/>
          <w:tab w:val="right" w:pos="5812"/>
        </w:tabs>
        <w:jc w:val="left"/>
      </w:pPr>
      <w:r w:rsidRPr="00237A2C">
        <w:t>Prop.</w:t>
      </w:r>
      <w:r w:rsidRPr="00237A2C">
        <w:tab/>
        <w:t>1997</w:t>
      </w:r>
      <w:r w:rsidRPr="00237A2C">
        <w:tab/>
        <w:t>1998</w:t>
      </w:r>
      <w:r w:rsidRPr="00237A2C">
        <w:tab/>
        <w:t>1999</w:t>
      </w:r>
      <w:r w:rsidRPr="00237A2C">
        <w:tab/>
        <w:t>2000</w:t>
      </w:r>
      <w:r w:rsidRPr="00237A2C">
        <w:tab/>
        <w:t>2001</w:t>
      </w:r>
      <w:r w:rsidRPr="00237A2C">
        <w:tab/>
        <w:t>2002</w:t>
      </w:r>
      <w:r w:rsidRPr="00237A2C">
        <w:tab/>
        <w:t>T</w:t>
      </w:r>
      <w:r w:rsidRPr="00237A2C">
        <w:t>o</w:t>
      </w:r>
      <w:r w:rsidRPr="00237A2C">
        <w:t>talt</w:t>
      </w:r>
    </w:p>
    <w:p w:rsidR="00AE50BA" w:rsidRPr="00237A2C" w:rsidRDefault="00AE50BA">
      <w:pPr>
        <w:tabs>
          <w:tab w:val="right" w:pos="1560"/>
          <w:tab w:val="right" w:pos="2268"/>
          <w:tab w:val="right" w:pos="2977"/>
          <w:tab w:val="right" w:pos="3686"/>
          <w:tab w:val="right" w:pos="4395"/>
          <w:tab w:val="right" w:pos="5103"/>
          <w:tab w:val="right" w:pos="5812"/>
        </w:tabs>
        <w:spacing w:before="240" w:line="240" w:lineRule="auto"/>
        <w:jc w:val="left"/>
      </w:pPr>
      <w:r w:rsidRPr="00237A2C">
        <w:t>1996/97:1</w:t>
      </w:r>
      <w:r w:rsidRPr="00237A2C">
        <w:tab/>
      </w:r>
      <w:r w:rsidRPr="00237A2C">
        <w:rPr>
          <w:b/>
        </w:rPr>
        <w:t>2546</w:t>
      </w:r>
      <w:r w:rsidRPr="00237A2C">
        <w:rPr>
          <w:b/>
        </w:rPr>
        <w:tab/>
      </w:r>
      <w:r w:rsidRPr="00237A2C">
        <w:t>(2854)</w:t>
      </w:r>
      <w:r w:rsidRPr="00237A2C">
        <w:tab/>
        <w:t>(3459)</w:t>
      </w:r>
    </w:p>
    <w:p w:rsidR="00AE50BA" w:rsidRPr="00237A2C" w:rsidRDefault="00AE50BA">
      <w:pPr>
        <w:tabs>
          <w:tab w:val="right" w:pos="1560"/>
          <w:tab w:val="right" w:pos="2268"/>
          <w:tab w:val="right" w:pos="2977"/>
          <w:tab w:val="right" w:pos="3686"/>
          <w:tab w:val="right" w:pos="4395"/>
          <w:tab w:val="right" w:pos="5103"/>
          <w:tab w:val="right" w:pos="5812"/>
        </w:tabs>
        <w:jc w:val="left"/>
      </w:pPr>
      <w:r w:rsidRPr="00237A2C">
        <w:t>1996/97:150</w:t>
      </w:r>
      <w:r w:rsidRPr="00237A2C">
        <w:tab/>
      </w:r>
      <w:r w:rsidRPr="00237A2C">
        <w:rPr>
          <w:b/>
        </w:rPr>
        <w:t>205</w:t>
      </w:r>
    </w:p>
    <w:p w:rsidR="00AE50BA" w:rsidRPr="00237A2C" w:rsidRDefault="00AE50BA">
      <w:pPr>
        <w:tabs>
          <w:tab w:val="right" w:pos="1560"/>
          <w:tab w:val="right" w:pos="2268"/>
          <w:tab w:val="right" w:pos="2977"/>
          <w:tab w:val="right" w:pos="3686"/>
          <w:tab w:val="right" w:pos="4395"/>
          <w:tab w:val="right" w:pos="5103"/>
          <w:tab w:val="right" w:pos="5812"/>
        </w:tabs>
        <w:jc w:val="left"/>
      </w:pPr>
      <w:r w:rsidRPr="00237A2C">
        <w:t>1998/99:1</w:t>
      </w:r>
      <w:r w:rsidRPr="00237A2C">
        <w:tab/>
      </w:r>
      <w:r w:rsidRPr="00237A2C">
        <w:tab/>
      </w:r>
      <w:r w:rsidRPr="00237A2C">
        <w:rPr>
          <w:b/>
        </w:rPr>
        <w:t>3474</w:t>
      </w:r>
      <w:r w:rsidRPr="00237A2C">
        <w:tab/>
        <w:t>(4504)</w:t>
      </w:r>
      <w:r w:rsidRPr="00237A2C">
        <w:tab/>
        <w:t>(4745)</w:t>
      </w:r>
    </w:p>
    <w:p w:rsidR="00AE50BA" w:rsidRPr="00237A2C" w:rsidRDefault="00AE50BA">
      <w:pPr>
        <w:tabs>
          <w:tab w:val="right" w:pos="1560"/>
          <w:tab w:val="right" w:pos="2268"/>
          <w:tab w:val="right" w:pos="2977"/>
          <w:tab w:val="right" w:pos="3686"/>
          <w:tab w:val="right" w:pos="4395"/>
          <w:tab w:val="right" w:pos="5103"/>
          <w:tab w:val="right" w:pos="5812"/>
        </w:tabs>
        <w:jc w:val="left"/>
      </w:pPr>
      <w:r w:rsidRPr="00237A2C">
        <w:t>1998/99:1</w:t>
      </w:r>
      <w:r w:rsidRPr="00237A2C">
        <w:tab/>
      </w:r>
      <w:r w:rsidRPr="00237A2C">
        <w:tab/>
      </w:r>
      <w:r w:rsidRPr="00237A2C">
        <w:tab/>
      </w:r>
      <w:r w:rsidRPr="00237A2C">
        <w:rPr>
          <w:b/>
        </w:rPr>
        <w:t>4509</w:t>
      </w:r>
      <w:r w:rsidRPr="00237A2C">
        <w:tab/>
        <w:t>(4777)</w:t>
      </w:r>
      <w:r w:rsidRPr="00237A2C">
        <w:tab/>
        <w:t xml:space="preserve">(5093) </w:t>
      </w:r>
    </w:p>
    <w:p w:rsidR="00AE50BA" w:rsidRPr="00237A2C" w:rsidRDefault="00AE50BA">
      <w:pPr>
        <w:tabs>
          <w:tab w:val="right" w:pos="1560"/>
          <w:tab w:val="right" w:pos="2268"/>
          <w:tab w:val="right" w:pos="2977"/>
          <w:tab w:val="right" w:pos="3686"/>
          <w:tab w:val="right" w:pos="4395"/>
          <w:tab w:val="right" w:pos="5103"/>
          <w:tab w:val="right" w:pos="5812"/>
        </w:tabs>
        <w:jc w:val="left"/>
        <w:rPr>
          <w:b/>
        </w:rPr>
      </w:pPr>
      <w:r w:rsidRPr="00237A2C">
        <w:t>1998/99:100</w:t>
      </w:r>
      <w:r w:rsidRPr="00237A2C">
        <w:tab/>
      </w:r>
      <w:r w:rsidRPr="00237A2C">
        <w:tab/>
      </w:r>
      <w:r w:rsidRPr="00237A2C">
        <w:tab/>
      </w:r>
      <w:r w:rsidRPr="00237A2C">
        <w:rPr>
          <w:b/>
        </w:rPr>
        <w:t>100</w:t>
      </w:r>
    </w:p>
    <w:p w:rsidR="00AE50BA" w:rsidRPr="00237A2C" w:rsidRDefault="00AE50BA">
      <w:pPr>
        <w:tabs>
          <w:tab w:val="right" w:pos="1560"/>
          <w:tab w:val="right" w:pos="2268"/>
          <w:tab w:val="right" w:pos="2977"/>
          <w:tab w:val="right" w:pos="3686"/>
          <w:tab w:val="right" w:pos="4395"/>
          <w:tab w:val="right" w:pos="5103"/>
          <w:tab w:val="right" w:pos="5812"/>
        </w:tabs>
        <w:jc w:val="left"/>
      </w:pPr>
      <w:r w:rsidRPr="00237A2C">
        <w:t>1999/2000:1</w:t>
      </w:r>
      <w:r w:rsidRPr="00237A2C">
        <w:tab/>
      </w:r>
      <w:r w:rsidRPr="00237A2C">
        <w:tab/>
      </w:r>
      <w:r w:rsidRPr="00237A2C">
        <w:tab/>
      </w:r>
      <w:r w:rsidRPr="00237A2C">
        <w:tab/>
      </w:r>
      <w:r w:rsidRPr="00237A2C">
        <w:rPr>
          <w:b/>
        </w:rPr>
        <w:t>4308</w:t>
      </w:r>
      <w:r w:rsidRPr="00237A2C">
        <w:tab/>
        <w:t>(4520)</w:t>
      </w:r>
      <w:r w:rsidRPr="00237A2C">
        <w:tab/>
        <w:t>(4120)</w:t>
      </w:r>
    </w:p>
    <w:p w:rsidR="00AE50BA" w:rsidRPr="00237A2C" w:rsidRDefault="00AE50BA">
      <w:pPr>
        <w:tabs>
          <w:tab w:val="right" w:pos="1560"/>
          <w:tab w:val="right" w:pos="2268"/>
          <w:tab w:val="right" w:pos="2977"/>
          <w:tab w:val="right" w:pos="3686"/>
          <w:tab w:val="right" w:pos="4395"/>
          <w:tab w:val="right" w:pos="5103"/>
          <w:tab w:val="right" w:pos="5812"/>
        </w:tabs>
        <w:jc w:val="left"/>
      </w:pPr>
      <w:r w:rsidRPr="00237A2C">
        <w:t>S:a anslag</w:t>
      </w:r>
      <w:r w:rsidRPr="00237A2C">
        <w:tab/>
      </w:r>
      <w:r w:rsidRPr="00237A2C">
        <w:rPr>
          <w:b/>
        </w:rPr>
        <w:t>2751</w:t>
      </w:r>
      <w:r w:rsidRPr="00237A2C">
        <w:rPr>
          <w:b/>
        </w:rPr>
        <w:tab/>
        <w:t>3474</w:t>
      </w:r>
      <w:r w:rsidRPr="00237A2C">
        <w:rPr>
          <w:b/>
        </w:rPr>
        <w:tab/>
        <w:t>4609</w:t>
      </w:r>
      <w:r w:rsidRPr="00237A2C">
        <w:rPr>
          <w:b/>
        </w:rPr>
        <w:tab/>
        <w:t>4308</w:t>
      </w:r>
      <w:r w:rsidRPr="00237A2C">
        <w:tab/>
        <w:t>(4520)</w:t>
      </w:r>
      <w:r w:rsidRPr="00237A2C">
        <w:tab/>
        <w:t>(4120)</w:t>
      </w:r>
      <w:r w:rsidRPr="00237A2C">
        <w:tab/>
      </w:r>
      <w:r w:rsidRPr="00237A2C">
        <w:rPr>
          <w:b/>
        </w:rPr>
        <w:t>15142</w:t>
      </w:r>
    </w:p>
    <w:p w:rsidR="00AE50BA" w:rsidRPr="00237A2C" w:rsidRDefault="00AE50BA">
      <w:pPr>
        <w:rPr>
          <w:i/>
        </w:rPr>
      </w:pPr>
      <w:r w:rsidRPr="00237A2C">
        <w:rPr>
          <w:i/>
        </w:rPr>
        <w:t>Genomförandefrågor</w:t>
      </w:r>
    </w:p>
    <w:p w:rsidR="00AE50BA" w:rsidRPr="00237A2C" w:rsidRDefault="00AE50BA">
      <w:r w:rsidRPr="00237A2C">
        <w:t>I budgetpropositionen för år 1997 (prop. 1996/97:1) anmäler regeringen att en delegation tillsatts i augusti 1996 med uppgift att förbereda och i ett i</w:t>
      </w:r>
      <w:r w:rsidRPr="00237A2C">
        <w:t>n</w:t>
      </w:r>
      <w:r w:rsidRPr="00237A2C">
        <w:t>ledningsskede leda och följa den särskilda vuxenutbildningssatsningen. Av propositionen framgår också att regeringen skall fastställa kriterier för bidr</w:t>
      </w:r>
      <w:r w:rsidRPr="00237A2C">
        <w:t>a</w:t>
      </w:r>
      <w:r w:rsidRPr="00237A2C">
        <w:t>gen efter förslag från delegationen. Delegationen skall vidare lämna förslag till regeringen om fördelningen av medel till kommunerna. Reglerna för stödet togs in i en särskild förordning (1996:1502).</w:t>
      </w:r>
    </w:p>
    <w:p w:rsidR="00AE50BA" w:rsidRPr="00237A2C" w:rsidRDefault="00AE50BA">
      <w:pPr>
        <w:pStyle w:val="Normaltindrag"/>
      </w:pPr>
      <w:r w:rsidRPr="00237A2C">
        <w:br w:type="page"/>
        <w:t>I förordningen (21 §) sägs att regeringen beslutar om statligt stöd efter fö</w:t>
      </w:r>
      <w:r w:rsidRPr="00237A2C">
        <w:t>r</w:t>
      </w:r>
      <w:r w:rsidRPr="00237A2C">
        <w:t>slag av Delegationen för kunskapslyftet samt att Statens skolverk betalar ut stödet. Av regleringsbreven för åren 1997 och 1998 framgår att medlen fo</w:t>
      </w:r>
      <w:r w:rsidRPr="00237A2C">
        <w:t>r</w:t>
      </w:r>
      <w:r w:rsidRPr="00237A2C">
        <w:t>mellt står till Skolverkets disposition trots att det är regeringen som fattar besluten i stödärendena.</w:t>
      </w:r>
    </w:p>
    <w:p w:rsidR="00AE50BA" w:rsidRPr="00237A2C" w:rsidRDefault="00AE50BA">
      <w:pPr>
        <w:pStyle w:val="Normaltindrag"/>
      </w:pPr>
      <w:r w:rsidRPr="00237A2C">
        <w:t>Skolverket övertog fr.o.m den 1 juli 1998 ansvaret för att leda och följa arbetet med Kunskapslyftet på uppdrag av regeringen. Ansvaret för förde</w:t>
      </w:r>
      <w:r w:rsidRPr="00237A2C">
        <w:t>l</w:t>
      </w:r>
      <w:r w:rsidRPr="00237A2C">
        <w:t>ningen av statsbidraget till kommunerna gäller för år 1999 och för den åte</w:t>
      </w:r>
      <w:r w:rsidRPr="00237A2C">
        <w:t>r</w:t>
      </w:r>
      <w:r w:rsidRPr="00237A2C">
        <w:t>stående tiden av femårsperioden. I anslutning till denna förändring utarbet</w:t>
      </w:r>
      <w:r w:rsidRPr="00237A2C">
        <w:t>a</w:t>
      </w:r>
      <w:r w:rsidRPr="00237A2C">
        <w:t xml:space="preserve">des en ny och ändrad förordning (1998:276). Skolverkets befogenhet att besluta om stöd framgår av 18 § i denna ändrade förordning. </w:t>
      </w:r>
    </w:p>
    <w:p w:rsidR="00AE50BA" w:rsidRPr="00237A2C" w:rsidRDefault="00AE50BA">
      <w:pPr>
        <w:pStyle w:val="Normaltindrag"/>
      </w:pPr>
      <w:r w:rsidRPr="00237A2C">
        <w:t>I regleringsbrevet för år 1998 sägs att 13 miljoner kronor respektive 8,5 miljoner kronor disponeras av Regeringskansliet för utvecklingsarbete resp. administration (anslagsposten 1 punkt 3 resp. anslagsposten 2 punkt 2). Regler</w:t>
      </w:r>
      <w:r w:rsidRPr="00237A2C">
        <w:t>ingsbrevet för år 1999 anger på motsvarande sätt att 8 respektive 8,5 miljoner kronor disponeras av Regeringskansliet för utvecklingsarbete r</w:t>
      </w:r>
      <w:r w:rsidRPr="00237A2C">
        <w:t>e</w:t>
      </w:r>
      <w:r w:rsidRPr="00237A2C">
        <w:t>spektive administration, information och utvärdering. För år 2000 är belo</w:t>
      </w:r>
      <w:r w:rsidRPr="00237A2C">
        <w:t>p</w:t>
      </w:r>
      <w:r w:rsidRPr="00237A2C">
        <w:t>pen 20,6 respektive 8,5 miljoner kronor.</w:t>
      </w:r>
    </w:p>
    <w:p w:rsidR="00AE50BA" w:rsidRPr="00237A2C" w:rsidRDefault="00AE50BA">
      <w:pPr>
        <w:pStyle w:val="Normaltindrag"/>
      </w:pPr>
      <w:r w:rsidRPr="00237A2C">
        <w:t>I budgetpropositionen för år 2000 (prop. 1999/2000:1) redovisar regerin</w:t>
      </w:r>
      <w:r w:rsidRPr="00237A2C">
        <w:t>g</w:t>
      </w:r>
      <w:r w:rsidRPr="00237A2C">
        <w:t>en vissa frågor som Skolverket inom ramen för sitt ansvar för Kunskapslyftet bör ytterligare uppmärksamma. Det gäller bl.a. insatser för att stimulera korttidsutbildade män att börja studera och frågan om invandrares deltagande i vuxenstudier.</w:t>
      </w:r>
    </w:p>
    <w:p w:rsidR="00AE50BA" w:rsidRPr="00237A2C" w:rsidRDefault="00AE50BA">
      <w:pPr>
        <w:pStyle w:val="Normaltindrag"/>
      </w:pPr>
      <w:r w:rsidRPr="00237A2C">
        <w:t>Det kan konstateras att de av riksdagen anvisade anslagen för Kunskap</w:t>
      </w:r>
      <w:r w:rsidRPr="00237A2C">
        <w:t>s</w:t>
      </w:r>
      <w:r w:rsidRPr="00237A2C">
        <w:t>lyftet under hela perioden formellt disponerats av Skolverket trots att det var regeringen som beslutade om stöd under en inledande period, nämligen för åren 1997 och 1998. De enda medel som enligt anslagsredovisningen disp</w:t>
      </w:r>
      <w:r w:rsidRPr="00237A2C">
        <w:t>o</w:t>
      </w:r>
      <w:r w:rsidRPr="00237A2C">
        <w:t>nerats av Regeringskansliet gäller den anslagspost som under åren 1998-2000 avsatts för administration, information och utvärdering. Det handlar här om respektive 21,5, 16,5 och 29,1 miljoner kronor, dvs. i sammanhanget mycket bly</w:t>
      </w:r>
      <w:r w:rsidRPr="00237A2C">
        <w:t>g</w:t>
      </w:r>
      <w:r w:rsidRPr="00237A2C">
        <w:t>samma belopp.</w:t>
      </w:r>
    </w:p>
    <w:p w:rsidR="00AE50BA" w:rsidRPr="00237A2C" w:rsidRDefault="00AE50BA">
      <w:pPr>
        <w:rPr>
          <w:i/>
        </w:rPr>
      </w:pPr>
      <w:r w:rsidRPr="00237A2C">
        <w:rPr>
          <w:i/>
        </w:rPr>
        <w:t>Uppföljning och  utvärdering</w:t>
      </w:r>
    </w:p>
    <w:p w:rsidR="00AE50BA" w:rsidRPr="00237A2C" w:rsidRDefault="00AE50BA">
      <w:r w:rsidRPr="00237A2C">
        <w:t>Regeringen anmäler i budgetpropositionen för år 1998 att Kunskapslyft</w:t>
      </w:r>
      <w:r w:rsidRPr="00237A2C">
        <w:t>s</w:t>
      </w:r>
      <w:r w:rsidRPr="00237A2C">
        <w:t>kommittén (dir. 1996:71) skall följa utformningen av den särskilda vuxenu</w:t>
      </w:r>
      <w:r w:rsidRPr="00237A2C">
        <w:t>t</w:t>
      </w:r>
      <w:r w:rsidRPr="00237A2C">
        <w:t>bildningssatsningen och också ha ansvar för att fristående nationella utvärd</w:t>
      </w:r>
      <w:r w:rsidRPr="00237A2C">
        <w:t>e</w:t>
      </w:r>
      <w:r w:rsidRPr="00237A2C">
        <w:t>ringar genomförs samt ha ett samordningsansvar för utvärderingen av Ku</w:t>
      </w:r>
      <w:r w:rsidRPr="00237A2C">
        <w:t>n</w:t>
      </w:r>
      <w:r w:rsidRPr="00237A2C">
        <w:t xml:space="preserve">skapslyftet. Av propositionen framgår också att regeringen uppdragit åt Skolverket att i samråd med AMS, CSN och SCB ansvara för uppföljning och insamling av data från kommunerna om Kunskapslyftet. Avrapportering skall ske halvårsvis. </w:t>
      </w:r>
    </w:p>
    <w:p w:rsidR="00AE50BA" w:rsidRPr="00237A2C" w:rsidRDefault="00AE50BA">
      <w:pPr>
        <w:pStyle w:val="Normaltindrag"/>
      </w:pPr>
      <w:r w:rsidRPr="00237A2C">
        <w:t>Av budgetförslaget för år 2000 framgår att såväl Stat</w:t>
      </w:r>
      <w:r w:rsidRPr="00237A2C">
        <w:t>skontoret som frist</w:t>
      </w:r>
      <w:r w:rsidRPr="00237A2C">
        <w:t>å</w:t>
      </w:r>
      <w:r w:rsidRPr="00237A2C">
        <w:t>ende konsulter på uppdrag av Kunskapslyftskommittén genomfört utvärd</w:t>
      </w:r>
      <w:r w:rsidRPr="00237A2C">
        <w:t>e</w:t>
      </w:r>
      <w:r w:rsidRPr="00237A2C">
        <w:t>ringar av sat</w:t>
      </w:r>
      <w:r w:rsidRPr="00237A2C">
        <w:t>s</w:t>
      </w:r>
      <w:r w:rsidRPr="00237A2C">
        <w:t>ningens kostnader och effekter.</w:t>
      </w:r>
    </w:p>
    <w:p w:rsidR="00AE50BA" w:rsidRPr="00237A2C" w:rsidRDefault="00AE50BA">
      <w:pPr>
        <w:rPr>
          <w:i/>
        </w:rPr>
      </w:pPr>
      <w:r w:rsidRPr="00237A2C">
        <w:rPr>
          <w:i/>
        </w:rPr>
        <w:t>Resultatrapportering till riksdagen</w:t>
      </w:r>
    </w:p>
    <w:p w:rsidR="00AE50BA" w:rsidRPr="00237A2C" w:rsidRDefault="00AE50BA">
      <w:r w:rsidRPr="00237A2C">
        <w:t>Av resultatinformationen i budgetförslaget för år 1998 kan man bl.a. utläsa att samtliga 288 kommuner ansökt om medel för vuxenutbildningssatsningen samt att av den verksamhet som planeras för hösten 1997 och för 1998 utgörs ca 10 % av orienteringskurser, ca 30 % kurser i yrkesämnen och ca 60 % av kurser i allmänna ämnen.</w:t>
      </w:r>
    </w:p>
    <w:p w:rsidR="00AE50BA" w:rsidRPr="00237A2C" w:rsidRDefault="00AE50BA">
      <w:pPr>
        <w:pStyle w:val="Normaltindrag"/>
      </w:pPr>
      <w:r w:rsidRPr="00237A2C">
        <w:t>Motsvarande information i påföljande budgetproposition (prop. 1998/99:1) visar att eftergymnasial vuxenutbildning hösten 1997 genomförts motsvara</w:t>
      </w:r>
      <w:r w:rsidRPr="00237A2C">
        <w:t>n</w:t>
      </w:r>
      <w:r w:rsidRPr="00237A2C">
        <w:t>de 114 800 platser. Utbildningsplatserna fördelades på 57 % allmänna ku</w:t>
      </w:r>
      <w:r w:rsidRPr="00237A2C">
        <w:t>r</w:t>
      </w:r>
      <w:r w:rsidRPr="00237A2C">
        <w:t>ser, 39 % yrkeskurser och 4 % orienteringskurser. I budgetpropositionen för år 2000 redovisas också vissa resultat av de utvärderingar av  kunskapslyftet som genomförts.</w:t>
      </w:r>
    </w:p>
    <w:p w:rsidR="00AE50BA" w:rsidRPr="00237A2C" w:rsidRDefault="00AE50BA">
      <w:pPr>
        <w:pStyle w:val="Normaltindrag"/>
      </w:pPr>
      <w:r w:rsidRPr="00237A2C">
        <w:t>I budgetförslaget för år 2001 framhåller regeringen att den parlamentariska Kunskapslyftskommittén, som haft till uppdrag att följa verksamheten i Kunskapslyftet och ta fram underlag för en reformering av vuxenutbildnin</w:t>
      </w:r>
      <w:r w:rsidRPr="00237A2C">
        <w:t>g</w:t>
      </w:r>
      <w:r w:rsidRPr="00237A2C">
        <w:t>en i april 2000 överlämnat sitt slutbetänkande (SOU 2000:28) till regeringen. Mot bakgrund av de förslag som kommittén presenterat och de synpunkter som kommer in avser regeringen att i en särskild proposition lämna förslag om vuxnas lärande.</w:t>
      </w:r>
    </w:p>
    <w:p w:rsidR="00AE50BA" w:rsidRPr="00237A2C" w:rsidRDefault="00AE50BA">
      <w:pPr>
        <w:pStyle w:val="Rubrik3"/>
      </w:pPr>
      <w:bookmarkStart w:id="228" w:name="_Toc509125610"/>
      <w:bookmarkStart w:id="229" w:name="_Toc509738042"/>
      <w:bookmarkStart w:id="230" w:name="_Toc516991662"/>
      <w:r w:rsidRPr="00237A2C">
        <w:t>2.7 De lokala investeringsprogrammen</w:t>
      </w:r>
      <w:bookmarkEnd w:id="228"/>
      <w:bookmarkEnd w:id="229"/>
      <w:bookmarkEnd w:id="230"/>
      <w:r w:rsidRPr="00237A2C">
        <w:t xml:space="preserve"> </w:t>
      </w:r>
    </w:p>
    <w:p w:rsidR="00AE50BA" w:rsidRPr="00237A2C" w:rsidRDefault="00AE50BA">
      <w:pPr>
        <w:rPr>
          <w:i/>
        </w:rPr>
      </w:pPr>
      <w:r w:rsidRPr="00237A2C">
        <w:rPr>
          <w:i/>
        </w:rPr>
        <w:t>Motiv och mål</w:t>
      </w:r>
    </w:p>
    <w:p w:rsidR="00AE50BA" w:rsidRPr="00237A2C" w:rsidRDefault="00AE50BA">
      <w:r w:rsidRPr="00237A2C">
        <w:t>Regeringen aviserade i 1997 års ekonomiska vårproposition (prop. 1996/97:150) ett statligt stöd till lokala investeringsprogram för en ekol</w:t>
      </w:r>
      <w:r w:rsidRPr="00237A2C">
        <w:t>o</w:t>
      </w:r>
      <w:r w:rsidRPr="00237A2C">
        <w:t>giskt hållbar utveckling. I propositionen (bilaga 5 s. 11) anges att vid b</w:t>
      </w:r>
      <w:r w:rsidRPr="00237A2C">
        <w:t>e</w:t>
      </w:r>
      <w:r w:rsidRPr="00237A2C">
        <w:t>dömningen av programmen skulle vikt läggas vid åtgärder som minskar miljöbelastningen, ökar effektiviteten i användningen av energi och andra naturresurser, gynnar användningen av förnybara råvaror, ökar återbruk, återanvändning och recirkulation och återvinning av resurser samt bidrar till att öka sysselsättningen. Regeringens program grundade sig på ett förslag från en statsrådsgrupp, den s.k. Delegationen för en ekologiskt hållba</w:t>
      </w:r>
      <w:r w:rsidRPr="00237A2C">
        <w:t>r u</w:t>
      </w:r>
      <w:r w:rsidRPr="00237A2C">
        <w:t>t</w:t>
      </w:r>
      <w:r w:rsidRPr="00237A2C">
        <w:t>veckling. Regeringen begärde i vårpropositionen inget ställningstagande från riksdagens sida.</w:t>
      </w:r>
    </w:p>
    <w:p w:rsidR="00AE50BA" w:rsidRPr="00237A2C" w:rsidRDefault="00AE50BA">
      <w:pPr>
        <w:pStyle w:val="Normaltindrag"/>
      </w:pPr>
      <w:r w:rsidRPr="00237A2C">
        <w:t>Regeringen återkom därefter till frågan i budgetpropositionen för år 1998. I detta sammanhang hävdas felaktigt att riksdagen våren 1997 skulle ha fattat beslut om ett statligt stöd till lokala investeringsprogram (prop. 1997/98:1 utg.omr. 18, s. 43). Det är emellertid först i budgetförslaget för år 1998 som det finns ett  konkret förslag till statligt stöd som riksdagen därefter tar stäl</w:t>
      </w:r>
      <w:r w:rsidRPr="00237A2C">
        <w:t>l</w:t>
      </w:r>
      <w:r w:rsidRPr="00237A2C">
        <w:t>ning till.</w:t>
      </w:r>
    </w:p>
    <w:p w:rsidR="00AE50BA" w:rsidRPr="00237A2C" w:rsidRDefault="00AE50BA">
      <w:pPr>
        <w:rPr>
          <w:i/>
        </w:rPr>
      </w:pPr>
      <w:r w:rsidRPr="00237A2C">
        <w:rPr>
          <w:i/>
        </w:rPr>
        <w:t>Anslagen</w:t>
      </w:r>
    </w:p>
    <w:p w:rsidR="00AE50BA" w:rsidRPr="00237A2C" w:rsidRDefault="00AE50BA">
      <w:r w:rsidRPr="00237A2C">
        <w:t>I 1997 års ekonomiska vårproposition angav regeringen ekonomiska ramar för genomförande av de lokala investeringsprogrammen till 800 miljoner kronor för år 1998, 1 800 miljoner kronor för år 1999 och 2 800 miljoner kronor för år 2000, dvs. sammanlagt 5,4 miljarder kronor under perioden 1998–2000.</w:t>
      </w:r>
    </w:p>
    <w:p w:rsidR="00AE50BA" w:rsidRPr="00237A2C" w:rsidRDefault="00AE50BA">
      <w:pPr>
        <w:pStyle w:val="Normaltindrag"/>
      </w:pPr>
      <w:r w:rsidRPr="00237A2C">
        <w:t xml:space="preserve">I budgetpropositionen för år 1998 föreslog regeringen ett nytt ramanslag för 1998 på 800 miljoner kronor samt bemyndiganden på vardera 1 000 miljoner kronor för åren 1999 och 2000. För åren 1999 och 2000 angavs de beräknade anslagsnivåerna  till 1 800 respektive 2 800 miljoner kronor. Riksdagen beslöt enligt regeringens förslag (bet. 1997/98:BoU1).  </w:t>
      </w:r>
    </w:p>
    <w:p w:rsidR="00AE50BA" w:rsidRPr="00237A2C" w:rsidRDefault="00AE50BA">
      <w:pPr>
        <w:pStyle w:val="Normaltindrag"/>
      </w:pPr>
      <w:r w:rsidRPr="00237A2C">
        <w:t>I budgetförslaget för år 1999 togs 1 495 miljoner kronor upp för ändamålet och för åren 2000 och 2001 angavs de beräknade anslagsnivåerna till 2 495 respektive 1 965 miljoner kronor. Samtidigt begärde regeringen ett bemynd</w:t>
      </w:r>
      <w:r w:rsidRPr="00237A2C">
        <w:t>i</w:t>
      </w:r>
      <w:r w:rsidRPr="00237A2C">
        <w:t>gande att under år 1999 fatta beslut som inklusive tidigare åtagande skulle uppgå till högst 3 000 milj</w:t>
      </w:r>
      <w:r w:rsidRPr="00237A2C">
        <w:t>o</w:t>
      </w:r>
      <w:r w:rsidRPr="00237A2C">
        <w:t>ner kronor under perioden 2000</w:t>
      </w:r>
      <w:r w:rsidRPr="00237A2C">
        <w:sym w:font="Symbol" w:char="F02D"/>
      </w:r>
      <w:r w:rsidRPr="00237A2C">
        <w:t>2002.</w:t>
      </w:r>
    </w:p>
    <w:p w:rsidR="00AE50BA" w:rsidRPr="00237A2C" w:rsidRDefault="00AE50BA">
      <w:pPr>
        <w:pStyle w:val="Normaltindrag"/>
      </w:pPr>
      <w:r w:rsidRPr="00237A2C">
        <w:t>I samband med behandlingen av budgetpropositionen för år 1999 beslutade riksdagen dels att 50 miljoner kronor av anslaget till stöd för lokala invest</w:t>
      </w:r>
      <w:r w:rsidRPr="00237A2C">
        <w:t>e</w:t>
      </w:r>
      <w:r w:rsidRPr="00237A2C">
        <w:t>ringsprogram skulle få disponeras för forskningsändamål, dels att begränsa det begärda bemynd</w:t>
      </w:r>
      <w:r w:rsidRPr="00237A2C">
        <w:t>i</w:t>
      </w:r>
      <w:r w:rsidRPr="00237A2C">
        <w:t>gandet till  2 500 miljoner kronor (bet. 1998/99:BoU1)</w:t>
      </w:r>
    </w:p>
    <w:p w:rsidR="00AE50BA" w:rsidRPr="00237A2C" w:rsidRDefault="00AE50BA">
      <w:pPr>
        <w:pStyle w:val="Normaltindrag"/>
      </w:pPr>
      <w:r w:rsidRPr="00237A2C">
        <w:t>I budgetpropositionen för år 2000 föreslogs att 1 758 miljoner kronor skulle avsättas för stöd till lokala investeringsprogram. De beräknade a</w:t>
      </w:r>
      <w:r w:rsidRPr="00237A2C">
        <w:t>n</w:t>
      </w:r>
      <w:r w:rsidRPr="00237A2C">
        <w:t>slagsnivåerna för åren 2001 och 2002 angavs till 1 414,5 respektive 1 190,5 miljoner kronor. Riksdagen beslöt i enlighet med förslaget. Det innebär att   4  053 miljoner kronor har anvisats för åren 1998</w:t>
      </w:r>
      <w:r w:rsidRPr="00237A2C">
        <w:sym w:font="Symbol" w:char="F02D"/>
      </w:r>
      <w:r w:rsidRPr="00237A2C">
        <w:t>2000. Tillsammans med de beräknade nivåer för åren 2001</w:t>
      </w:r>
      <w:r w:rsidRPr="00237A2C">
        <w:sym w:font="Symbol" w:char="F02D"/>
      </w:r>
      <w:r w:rsidRPr="00237A2C">
        <w:t>2002 kommer sammantaget 6 658 milj</w:t>
      </w:r>
      <w:r w:rsidRPr="00237A2C">
        <w:t>o</w:t>
      </w:r>
      <w:r w:rsidRPr="00237A2C">
        <w:t>ner kronor avsättas för ändamålet.</w:t>
      </w:r>
    </w:p>
    <w:p w:rsidR="00AE50BA" w:rsidRPr="00237A2C" w:rsidRDefault="00AE50BA">
      <w:pPr>
        <w:rPr>
          <w:b/>
        </w:rPr>
      </w:pPr>
      <w:r w:rsidRPr="00237A2C">
        <w:rPr>
          <w:b/>
        </w:rPr>
        <w:t>Anslag till lokala investeringsprogram</w:t>
      </w:r>
    </w:p>
    <w:p w:rsidR="00AE50BA" w:rsidRPr="00237A2C" w:rsidRDefault="00AE50BA">
      <w:pPr>
        <w:pBdr>
          <w:bottom w:val="single" w:sz="12" w:space="1" w:color="auto"/>
        </w:pBdr>
      </w:pPr>
      <w:r w:rsidRPr="00237A2C">
        <w:t>Miljoner kronor. (Beräknade anslag inom parentes)</w:t>
      </w:r>
    </w:p>
    <w:p w:rsidR="00AE50BA" w:rsidRPr="00237A2C" w:rsidRDefault="00AE50BA">
      <w:pPr>
        <w:pStyle w:val="Sidfot"/>
        <w:tabs>
          <w:tab w:val="clear" w:pos="4703"/>
          <w:tab w:val="right" w:pos="1560"/>
          <w:tab w:val="right" w:pos="2127"/>
          <w:tab w:val="right" w:pos="2977"/>
          <w:tab w:val="right" w:pos="3828"/>
          <w:tab w:val="right" w:pos="4678"/>
          <w:tab w:val="right" w:pos="5670"/>
        </w:tabs>
        <w:jc w:val="left"/>
      </w:pPr>
      <w:r w:rsidRPr="00237A2C">
        <w:t>Prop.</w:t>
      </w:r>
      <w:r w:rsidRPr="00237A2C">
        <w:tab/>
        <w:t>1998</w:t>
      </w:r>
      <w:r w:rsidRPr="00237A2C">
        <w:tab/>
        <w:t>1999</w:t>
      </w:r>
      <w:r w:rsidRPr="00237A2C">
        <w:tab/>
        <w:t>2000</w:t>
      </w:r>
      <w:r w:rsidRPr="00237A2C">
        <w:tab/>
        <w:t>2001</w:t>
      </w:r>
      <w:r w:rsidRPr="00237A2C">
        <w:tab/>
        <w:t>2002</w:t>
      </w:r>
      <w:r w:rsidRPr="00237A2C">
        <w:tab/>
        <w:t>Totalt</w:t>
      </w:r>
    </w:p>
    <w:p w:rsidR="00AE50BA" w:rsidRPr="00237A2C" w:rsidRDefault="00AE50BA">
      <w:pPr>
        <w:tabs>
          <w:tab w:val="right" w:pos="1560"/>
          <w:tab w:val="right" w:pos="2127"/>
          <w:tab w:val="right" w:pos="2977"/>
          <w:tab w:val="right" w:pos="3828"/>
          <w:tab w:val="right" w:pos="4678"/>
          <w:tab w:val="right" w:pos="5812"/>
        </w:tabs>
        <w:jc w:val="left"/>
        <w:rPr>
          <w:b/>
        </w:rPr>
      </w:pPr>
      <w:r w:rsidRPr="00237A2C">
        <w:rPr>
          <w:b/>
        </w:rPr>
        <w:t>______________________________________________________________</w:t>
      </w:r>
    </w:p>
    <w:p w:rsidR="00AE50BA" w:rsidRPr="00237A2C" w:rsidRDefault="00AE50BA">
      <w:pPr>
        <w:tabs>
          <w:tab w:val="right" w:pos="1560"/>
          <w:tab w:val="right" w:pos="2127"/>
          <w:tab w:val="right" w:pos="2977"/>
          <w:tab w:val="right" w:pos="3828"/>
          <w:tab w:val="right" w:pos="4678"/>
          <w:tab w:val="right" w:pos="5812"/>
        </w:tabs>
        <w:jc w:val="left"/>
      </w:pPr>
      <w:r w:rsidRPr="00237A2C">
        <w:t>1997/98:1</w:t>
      </w:r>
      <w:r w:rsidRPr="00237A2C">
        <w:tab/>
      </w:r>
      <w:r w:rsidRPr="00237A2C">
        <w:rPr>
          <w:b/>
        </w:rPr>
        <w:t>800</w:t>
      </w:r>
      <w:r w:rsidRPr="00237A2C">
        <w:tab/>
        <w:t>(1800)</w:t>
      </w:r>
      <w:r w:rsidRPr="00237A2C">
        <w:tab/>
        <w:t>(2800)</w:t>
      </w:r>
    </w:p>
    <w:p w:rsidR="00AE50BA" w:rsidRPr="00237A2C" w:rsidRDefault="00AE50BA">
      <w:pPr>
        <w:tabs>
          <w:tab w:val="right" w:pos="1560"/>
          <w:tab w:val="right" w:pos="2127"/>
          <w:tab w:val="right" w:pos="2977"/>
          <w:tab w:val="right" w:pos="3828"/>
          <w:tab w:val="right" w:pos="4678"/>
          <w:tab w:val="right" w:pos="5812"/>
        </w:tabs>
        <w:jc w:val="left"/>
      </w:pPr>
      <w:r w:rsidRPr="00237A2C">
        <w:t>1998/99:1</w:t>
      </w:r>
      <w:r w:rsidRPr="00237A2C">
        <w:tab/>
      </w:r>
      <w:r w:rsidRPr="00237A2C">
        <w:tab/>
      </w:r>
      <w:r w:rsidRPr="00237A2C">
        <w:rPr>
          <w:b/>
        </w:rPr>
        <w:t>1495</w:t>
      </w:r>
      <w:r w:rsidRPr="00237A2C">
        <w:tab/>
        <w:t>(2495)</w:t>
      </w:r>
      <w:r w:rsidRPr="00237A2C">
        <w:tab/>
        <w:t>(1965)</w:t>
      </w:r>
    </w:p>
    <w:p w:rsidR="00AE50BA" w:rsidRPr="00237A2C" w:rsidRDefault="00AE50BA">
      <w:pPr>
        <w:tabs>
          <w:tab w:val="right" w:pos="1560"/>
          <w:tab w:val="right" w:pos="2127"/>
          <w:tab w:val="right" w:pos="2977"/>
          <w:tab w:val="right" w:pos="3828"/>
          <w:tab w:val="right" w:pos="4678"/>
          <w:tab w:val="right" w:pos="5812"/>
        </w:tabs>
        <w:jc w:val="left"/>
        <w:rPr>
          <w:sz w:val="22"/>
        </w:rPr>
      </w:pPr>
      <w:r w:rsidRPr="00237A2C">
        <w:t>1999/2000:1</w:t>
      </w:r>
      <w:r w:rsidRPr="00237A2C">
        <w:tab/>
      </w:r>
      <w:r w:rsidRPr="00237A2C">
        <w:tab/>
      </w:r>
      <w:r w:rsidRPr="00237A2C">
        <w:tab/>
      </w:r>
      <w:r w:rsidRPr="00237A2C">
        <w:rPr>
          <w:b/>
        </w:rPr>
        <w:t>1758</w:t>
      </w:r>
      <w:r w:rsidRPr="00237A2C">
        <w:tab/>
        <w:t>(1414,5</w:t>
      </w:r>
      <w:r w:rsidRPr="00237A2C">
        <w:rPr>
          <w:sz w:val="22"/>
        </w:rPr>
        <w:t>)</w:t>
      </w:r>
      <w:r w:rsidRPr="00237A2C">
        <w:rPr>
          <w:sz w:val="22"/>
        </w:rPr>
        <w:tab/>
      </w:r>
      <w:r w:rsidRPr="00237A2C">
        <w:t>(1190,5)</w:t>
      </w:r>
    </w:p>
    <w:p w:rsidR="00AE50BA" w:rsidRPr="00237A2C" w:rsidRDefault="00AE50BA">
      <w:pPr>
        <w:tabs>
          <w:tab w:val="right" w:pos="1560"/>
          <w:tab w:val="right" w:pos="2127"/>
          <w:tab w:val="right" w:pos="2977"/>
          <w:tab w:val="right" w:pos="3828"/>
          <w:tab w:val="right" w:pos="4678"/>
          <w:tab w:val="right" w:pos="5670"/>
        </w:tabs>
        <w:jc w:val="left"/>
      </w:pPr>
      <w:r w:rsidRPr="00237A2C">
        <w:t>S:a anslag</w:t>
      </w:r>
      <w:r w:rsidRPr="00237A2C">
        <w:tab/>
      </w:r>
      <w:r w:rsidRPr="00237A2C">
        <w:rPr>
          <w:b/>
        </w:rPr>
        <w:t>800</w:t>
      </w:r>
      <w:r w:rsidRPr="00237A2C">
        <w:rPr>
          <w:b/>
        </w:rPr>
        <w:tab/>
        <w:t>1495</w:t>
      </w:r>
      <w:r w:rsidRPr="00237A2C">
        <w:rPr>
          <w:b/>
        </w:rPr>
        <w:tab/>
        <w:t>1758</w:t>
      </w:r>
      <w:r w:rsidRPr="00237A2C">
        <w:tab/>
        <w:t>(1414,5)</w:t>
      </w:r>
      <w:r w:rsidRPr="00237A2C">
        <w:tab/>
        <w:t>(1190,5)</w:t>
      </w:r>
      <w:r w:rsidRPr="00237A2C">
        <w:tab/>
      </w:r>
      <w:r w:rsidRPr="00237A2C">
        <w:rPr>
          <w:b/>
        </w:rPr>
        <w:t>4053</w:t>
      </w:r>
    </w:p>
    <w:p w:rsidR="00AE50BA" w:rsidRPr="00237A2C" w:rsidRDefault="00AE50BA">
      <w:pPr>
        <w:rPr>
          <w:i/>
        </w:rPr>
      </w:pPr>
    </w:p>
    <w:p w:rsidR="00AE50BA" w:rsidRPr="00237A2C" w:rsidRDefault="00AE50BA">
      <w:pPr>
        <w:rPr>
          <w:i/>
        </w:rPr>
      </w:pPr>
      <w:r w:rsidRPr="00237A2C">
        <w:rPr>
          <w:i/>
        </w:rPr>
        <w:t>Genomförandefrågor</w:t>
      </w:r>
    </w:p>
    <w:p w:rsidR="00AE50BA" w:rsidRPr="00237A2C" w:rsidRDefault="00AE50BA">
      <w:r w:rsidRPr="00237A2C">
        <w:t>Av 1997 års ekonomiska vårproposition framgår att det är kommunerna som lokalt skall svara för genomförandet av investeringsprogrammet samtidigt som det är viktigt att regering och riksdag kontinuerligt skall kunna följa utvecklingen. Regeringen aviserar i propositionen att man avser att utarbeta närmare bestämmelser för hur kommunerna får använda omställningsstödet till enskilda projekt och anger i samband därmed vissa aspekter på vad som skall ingå i regelverket. Av propositionen framgår däremot inte vil</w:t>
      </w:r>
      <w:r w:rsidRPr="00237A2C">
        <w:t xml:space="preserve">ket organ som skall besluta om stödet. </w:t>
      </w:r>
    </w:p>
    <w:p w:rsidR="00AE50BA" w:rsidRPr="00237A2C" w:rsidRDefault="00AE50BA">
      <w:pPr>
        <w:pStyle w:val="Normaltindrag"/>
      </w:pPr>
      <w:r w:rsidRPr="00237A2C">
        <w:t>När regeringen hösten 1997 i budgetpropositionen för år 1998 ånyo tar upp frågan och lägger fram ett konkret förslag till investeringsprogram framgår att det är regeringen själv som skall ta ställning till kommunernas ansöknin</w:t>
      </w:r>
      <w:r w:rsidRPr="00237A2C">
        <w:t>g</w:t>
      </w:r>
      <w:r w:rsidRPr="00237A2C">
        <w:t>ar samt att Delegationen för en ekologiskt hållbar utveckling skall ansvara för beredningen av förslag till regeringens beslut till fördelning av statsb</w:t>
      </w:r>
      <w:r w:rsidRPr="00237A2C">
        <w:t>i</w:t>
      </w:r>
      <w:r w:rsidRPr="00237A2C">
        <w:t xml:space="preserve">drag. Vid bedömningen av ansökningar, heter det, bör den kompetens och kunskap som finns hos berörda sektorsmyndigheter tillvaratas (prop. s. 46).  Någon närmare diskussion om regeringens och myndigheternas respektive roller i sammanhanget förs inte i propositionen. </w:t>
      </w:r>
    </w:p>
    <w:p w:rsidR="00AE50BA" w:rsidRPr="00237A2C" w:rsidRDefault="00AE50BA">
      <w:pPr>
        <w:pStyle w:val="Normaltindrag"/>
      </w:pPr>
      <w:r w:rsidRPr="00237A2C">
        <w:t>I en partimotion från Vänsterpartiet (motion 1997/98:Bo232) vänder sig partiet mot att med</w:t>
      </w:r>
      <w:r w:rsidRPr="00237A2C">
        <w:t>len skall fördelas av regeringen i stället för av berörda myndigheter. Motionärerna pekar på risken för att de lokala investering</w:t>
      </w:r>
      <w:r w:rsidRPr="00237A2C">
        <w:t>s</w:t>
      </w:r>
      <w:r w:rsidRPr="00237A2C">
        <w:t>programmen ger en snedvridning av konkurrensen och att de kan användas i politiskt syfte. Bostadsutskottet tillstyrkte för sin del den förordade bere</w:t>
      </w:r>
      <w:r w:rsidRPr="00237A2C">
        <w:t>d</w:t>
      </w:r>
      <w:r w:rsidRPr="00237A2C">
        <w:t>ningsmodellen och avstyrkte motionen men ansåg samtidigt det vara av stor vikt att en kontinuerlig uppföljning skulle genomföras av såväl användningen av medlen som av erfarenheterna av den tillämpade modellen för beredning av ansök</w:t>
      </w:r>
      <w:r w:rsidRPr="00237A2C">
        <w:t>ningarna (bet. 1997/98:BoU1 s. 27). I ett särskilt yttrande till betä</w:t>
      </w:r>
      <w:r w:rsidRPr="00237A2C">
        <w:t>n</w:t>
      </w:r>
      <w:r w:rsidRPr="00237A2C">
        <w:t>kandet om anslagen för år 1998 följde Vänsterpartiet upp sitt motionsyrka</w:t>
      </w:r>
      <w:r w:rsidRPr="00237A2C">
        <w:t>n</w:t>
      </w:r>
      <w:r w:rsidRPr="00237A2C">
        <w:t>de om den föreslagna fördelningsmodellen (bet. s. 90). Även Folkpartiet har i sin reservation om anslagen inom utgiftsområdet (bet. s. 59) invändningar mot den föreslagna beredningsordningen för stödet.</w:t>
      </w:r>
    </w:p>
    <w:p w:rsidR="00AE50BA" w:rsidRPr="00237A2C" w:rsidRDefault="00AE50BA">
      <w:pPr>
        <w:pStyle w:val="Normaltindrag"/>
      </w:pPr>
      <w:r w:rsidRPr="00237A2C">
        <w:t>I regleringsbrevet för år 1998 har regeringen angivit att de av riksdagen anslagna medlen om 800 miljoner kronor skall delas i tre anslagsposter. Anslagsposterna 1 o</w:t>
      </w:r>
      <w:r w:rsidRPr="00237A2C">
        <w:t>ch 3 disponerades av regeringen och anslagsposten 2 av Regeringskansliet.</w:t>
      </w:r>
    </w:p>
    <w:p w:rsidR="00AE50BA" w:rsidRPr="00237A2C" w:rsidRDefault="00AE50BA">
      <w:r w:rsidRPr="00237A2C">
        <w:t>1. Stöd till lokala investeringsprogram (ram)</w:t>
      </w:r>
      <w:r w:rsidRPr="00237A2C">
        <w:tab/>
        <w:t>770 miljoner kronor</w:t>
      </w:r>
    </w:p>
    <w:p w:rsidR="00AE50BA" w:rsidRPr="00237A2C" w:rsidRDefault="00AE50BA">
      <w:r w:rsidRPr="00237A2C">
        <w:t>2. Administration (ram)</w:t>
      </w:r>
      <w:r w:rsidRPr="00237A2C">
        <w:tab/>
      </w:r>
      <w:r w:rsidRPr="00237A2C">
        <w:tab/>
        <w:t xml:space="preserve">    8,8 miljoner kronor</w:t>
      </w:r>
    </w:p>
    <w:p w:rsidR="00AE50BA" w:rsidRPr="00237A2C" w:rsidRDefault="00AE50BA">
      <w:r w:rsidRPr="00237A2C">
        <w:t>3. Utvärdering, informationsinsatser m.m. (ram)</w:t>
      </w:r>
      <w:r w:rsidRPr="00237A2C">
        <w:tab/>
        <w:t xml:space="preserve">   21,2 miljoner kronor</w:t>
      </w:r>
    </w:p>
    <w:p w:rsidR="00AE50BA" w:rsidRPr="00237A2C" w:rsidRDefault="00AE50BA">
      <w:r w:rsidRPr="00237A2C">
        <w:t>Av regleringsbrevet framgår också att anslagsposterna 1 och 3 disponeras av regeringen och anslagsposten 2 av Regeringskansliet. Av medlen under anslagspost 2 får högst 6,5 miljoner kronor belasta Miljödepartementets administration och resten länsstyrelserna och berörda sektorsmyndigheter.</w:t>
      </w:r>
    </w:p>
    <w:p w:rsidR="00AE50BA" w:rsidRPr="00237A2C" w:rsidRDefault="00AE50BA">
      <w:pPr>
        <w:pStyle w:val="Normaltindrag"/>
      </w:pPr>
      <w:r w:rsidRPr="00237A2C">
        <w:t>Regeringen utfärdade den 22 januari 1998 förordningen (1998:23) om statliga bidrag till lokala investeringsprogram. Av förordningen framgår bl.a. de förutsättningar som gäller för att en kommun skall få stöd samt förfara</w:t>
      </w:r>
      <w:r w:rsidRPr="00237A2C">
        <w:t>n</w:t>
      </w:r>
      <w:r w:rsidRPr="00237A2C">
        <w:t>det i bidragsärenden. Ansökan skall således enligt 5 § göras till regeringen (Miljödepartementet). I förordningen sägs också (11 §) att regeringen besl</w:t>
      </w:r>
      <w:r w:rsidRPr="00237A2C">
        <w:t>u</w:t>
      </w:r>
      <w:r w:rsidRPr="00237A2C">
        <w:t>tar om bidragets storlek och om de villkor som behövs med hänsyn till bidr</w:t>
      </w:r>
      <w:r w:rsidRPr="00237A2C">
        <w:t>a</w:t>
      </w:r>
      <w:r w:rsidRPr="00237A2C">
        <w:t xml:space="preserve">gets ändamål. </w:t>
      </w:r>
    </w:p>
    <w:p w:rsidR="00AE50BA" w:rsidRPr="00237A2C" w:rsidRDefault="00AE50BA">
      <w:pPr>
        <w:pStyle w:val="Normaltindrag"/>
      </w:pPr>
      <w:r w:rsidRPr="00237A2C">
        <w:t xml:space="preserve">I anslutning till beredningen i riksdagen av budgetpropositionen för år 1999 gjorde Centerpartiet i en partimotion (1998/99:Fi210) bedömningen att handläggningen av stödet till de lokala investeringsprogrammen dittills hade skett på ett godtyckligt sätt och att medlen </w:t>
      </w:r>
      <w:r w:rsidRPr="00237A2C">
        <w:t>skulle kunna göra bättre nytta i andra sammanhang. Hanteringen av de aktuella medlen ifrågasattes även i motion 1998/99:Bo233 (v). I motionen togs bl.a. upp frågor om stödet fö</w:t>
      </w:r>
      <w:r w:rsidRPr="00237A2C">
        <w:t>r</w:t>
      </w:r>
      <w:r w:rsidRPr="00237A2C">
        <w:t>delats på ett kostnadseffektivt sätt, om det utgått till rätt projekt och om fördelningen över landet varit rättvis. Bostadsutskottet avstyrkte motionsy</w:t>
      </w:r>
      <w:r w:rsidRPr="00237A2C">
        <w:t>r</w:t>
      </w:r>
      <w:r w:rsidRPr="00237A2C">
        <w:t>kandena men instämde samtidigt i behovet av uppföljning och utvärdering av verksamheten. Utskottet anförde vidare att man förutsatte ”att regeringen löpande anpassar stödgivningen ti</w:t>
      </w:r>
      <w:r w:rsidRPr="00237A2C">
        <w:t>ll den information om måluppfyllelse och medelsanvändning som finns tillgänglig och vid behov underställer riksd</w:t>
      </w:r>
      <w:r w:rsidRPr="00237A2C">
        <w:t>a</w:t>
      </w:r>
      <w:r w:rsidRPr="00237A2C">
        <w:t xml:space="preserve">gen förslag i frågan” (bet. 1998/99:BoU1 s. 31).  </w:t>
      </w:r>
    </w:p>
    <w:p w:rsidR="00AE50BA" w:rsidRPr="00237A2C" w:rsidRDefault="00AE50BA">
      <w:pPr>
        <w:pStyle w:val="Normaltindrag"/>
      </w:pPr>
      <w:r w:rsidRPr="00237A2C">
        <w:t>I budgetpropositionen för år 1999 föreslog regeringen att ett anslag till ett kunskapscentrum för ekologisk hållbarhet skulle anvisas. Centrets viktigaste uppgift är att stödja de medverkande kommunerna i arbetet och att sprida erfarenheter från de lokala investeringsprogrammen. Centret föreslogs få formen av en egen myndighet och lokaliseras til</w:t>
      </w:r>
      <w:r w:rsidRPr="00237A2C">
        <w:t>l Umeå.</w:t>
      </w:r>
    </w:p>
    <w:p w:rsidR="00AE50BA" w:rsidRPr="00237A2C" w:rsidRDefault="00AE50BA">
      <w:pPr>
        <w:pStyle w:val="Normaltindrag"/>
      </w:pPr>
      <w:r w:rsidRPr="00237A2C">
        <w:t>I regleringsbrevet för år 1999 har av de anslagna medlen om sammanlagt      1 425 miljoner kronor 20 miljoner kronor avsatts för administration, info</w:t>
      </w:r>
      <w:r w:rsidRPr="00237A2C">
        <w:t>r</w:t>
      </w:r>
      <w:r w:rsidRPr="00237A2C">
        <w:t>mation och utvärdering (anslagsposterna 2 och 3) och 50 miljoner kronor för byggforskningsändamål i enlighet med riksdagens beslut (anslagsposten 4). Anslagsposterna 1 och 3 disponerades av regeringen, anslagsposten 2 av Regeringskansliet och anslagsposten 4 av Byggforskningsrådet. I motsvara</w:t>
      </w:r>
      <w:r w:rsidRPr="00237A2C">
        <w:t>n</w:t>
      </w:r>
      <w:r w:rsidRPr="00237A2C">
        <w:t>de regleringsbrev för år 2000 har likaledes 20 miljoner kronor avsatts för administration, information och utvärdering, 25 miljoner kronor till Fors</w:t>
      </w:r>
      <w:r w:rsidRPr="00237A2C">
        <w:t>k</w:t>
      </w:r>
      <w:r w:rsidRPr="00237A2C">
        <w:t>ningscenter m.m. samt återstående 1 713 miljoner kronor till stödver</w:t>
      </w:r>
      <w:r w:rsidRPr="00237A2C">
        <w:t>ksa</w:t>
      </w:r>
      <w:r w:rsidRPr="00237A2C">
        <w:t>m</w:t>
      </w:r>
      <w:r w:rsidRPr="00237A2C">
        <w:t>heten.</w:t>
      </w:r>
    </w:p>
    <w:p w:rsidR="00AE50BA" w:rsidRPr="00237A2C" w:rsidRDefault="00AE50BA">
      <w:pPr>
        <w:rPr>
          <w:i/>
        </w:rPr>
      </w:pPr>
      <w:r w:rsidRPr="00237A2C">
        <w:rPr>
          <w:i/>
        </w:rPr>
        <w:t>Uppföljning och  utvärdering</w:t>
      </w:r>
    </w:p>
    <w:p w:rsidR="00AE50BA" w:rsidRPr="00237A2C" w:rsidRDefault="00AE50BA">
      <w:r w:rsidRPr="00237A2C">
        <w:t>I 1997 års ekonomiska vårproposition understryker regeringen att erfarenh</w:t>
      </w:r>
      <w:r w:rsidRPr="00237A2C">
        <w:t>e</w:t>
      </w:r>
      <w:r w:rsidRPr="00237A2C">
        <w:t>ter från investeringarna skall dokumenteras så att förutsättningar finns för kunskapsspridning. En fristående utvärdering skall göras. För det löpande revisionsarbetet ansvarar enligt propositionen de kommunala revisorerna. Regeringen anmäler också att den avser att ge ett uppdrag åt RRV att löpa</w:t>
      </w:r>
      <w:r w:rsidRPr="00237A2C">
        <w:t>n</w:t>
      </w:r>
      <w:r w:rsidRPr="00237A2C">
        <w:t>de utvärdera användningen av de statliga medlen.</w:t>
      </w:r>
    </w:p>
    <w:p w:rsidR="00AE50BA" w:rsidRPr="00237A2C" w:rsidRDefault="00AE50BA">
      <w:pPr>
        <w:pStyle w:val="Normaltindrag"/>
      </w:pPr>
      <w:r w:rsidRPr="00237A2C">
        <w:t>Regeringen anmäler i budgetpropositionen för år 1998 att den avser att ge länsstyrelserna och Regeringskansliet (Miljödepartementet) i uppdrag att årligen göra en s</w:t>
      </w:r>
      <w:r w:rsidRPr="00237A2C">
        <w:t>amlad uppföljning av de lokala investeringsprogrammen. Samtidigt anmäler reg</w:t>
      </w:r>
      <w:r w:rsidRPr="00237A2C">
        <w:t>e</w:t>
      </w:r>
      <w:r w:rsidRPr="00237A2C">
        <w:t>ringen att RRV skall ges i uppdrag att utvärdera mål-uppfyllelse och medelanvän</w:t>
      </w:r>
      <w:r w:rsidRPr="00237A2C">
        <w:t>d</w:t>
      </w:r>
      <w:r w:rsidRPr="00237A2C">
        <w:t xml:space="preserve">ning i de lokala investeringsprogrammen. </w:t>
      </w:r>
    </w:p>
    <w:p w:rsidR="00AE50BA" w:rsidRPr="00237A2C" w:rsidRDefault="00AE50BA">
      <w:pPr>
        <w:pStyle w:val="Normaltindrag"/>
      </w:pPr>
      <w:r w:rsidRPr="00237A2C">
        <w:t>En uppföljning av det inledande skedet av programmet genomfördes under år 1998 på bostadsutskottets initiativ och redovisades i en särskild rapport i riksdagens utredningsserie (1998/99:URD1).  En fortsatt granskning fullföl</w:t>
      </w:r>
      <w:r w:rsidRPr="00237A2C">
        <w:t>j</w:t>
      </w:r>
      <w:r w:rsidRPr="00237A2C">
        <w:t>des därefter av Riksdagens revisorer och redovisades i en skrivelse till rik</w:t>
      </w:r>
      <w:r w:rsidRPr="00237A2C">
        <w:t>s</w:t>
      </w:r>
      <w:r w:rsidRPr="00237A2C">
        <w:t>dagen (1999/2000:RR3).</w:t>
      </w:r>
    </w:p>
    <w:p w:rsidR="00AE50BA" w:rsidRPr="00237A2C" w:rsidRDefault="00AE50BA">
      <w:pPr>
        <w:pStyle w:val="Normaltindrag"/>
      </w:pPr>
      <w:r w:rsidRPr="00237A2C">
        <w:t>Av budgetförslaget för år 1999 framgår att regeringen gett RRV i uppdrag att göra en första uppföljning av stödets effekter. En första avrapportering av uppdraget gjordes i RRV:s rapport (1999:37). Granskningen tog i första hand upp frågor om programmens genomförande i kommunerna och i viss mån även regeringens hantering av stödet. Regeringen anmäler i budgetpropos</w:t>
      </w:r>
      <w:r w:rsidRPr="00237A2C">
        <w:t>i</w:t>
      </w:r>
      <w:r w:rsidRPr="00237A2C">
        <w:t>tionen för år 2000 att förslag till förändringar med anledning av RRV:s an</w:t>
      </w:r>
      <w:r w:rsidRPr="00237A2C">
        <w:t>a</w:t>
      </w:r>
      <w:r w:rsidRPr="00237A2C">
        <w:t>lys kommer att föreläggas riksdagen under år 2000.</w:t>
      </w:r>
    </w:p>
    <w:p w:rsidR="00AE50BA" w:rsidRPr="00237A2C" w:rsidRDefault="00AE50BA">
      <w:pPr>
        <w:pStyle w:val="Normaltindrag"/>
      </w:pPr>
      <w:r w:rsidRPr="00237A2C">
        <w:t>I budgetpropositionen för år 2001 anger regeringen att totalt 145 invest</w:t>
      </w:r>
      <w:r w:rsidRPr="00237A2C">
        <w:t>e</w:t>
      </w:r>
      <w:r w:rsidRPr="00237A2C">
        <w:t>ringsprogram genomförs under perioden 1998</w:t>
      </w:r>
      <w:r w:rsidRPr="00237A2C">
        <w:sym w:font="Symbol" w:char="F02D"/>
      </w:r>
      <w:r w:rsidRPr="00237A2C">
        <w:t>2002 och följs upp av Milj</w:t>
      </w:r>
      <w:r w:rsidRPr="00237A2C">
        <w:t>ö</w:t>
      </w:r>
      <w:r w:rsidRPr="00237A2C">
        <w:t>departementet och länsstyrelserna. En utvärdering av de första investering</w:t>
      </w:r>
      <w:r w:rsidRPr="00237A2C">
        <w:t>s</w:t>
      </w:r>
      <w:r w:rsidRPr="00237A2C">
        <w:t>programmens miljö- och sysselsättningseffekter kommer enligt regeringen att kunna ske under år 2001.</w:t>
      </w:r>
    </w:p>
    <w:p w:rsidR="00AE50BA" w:rsidRPr="00237A2C" w:rsidRDefault="00AE50BA">
      <w:pPr>
        <w:rPr>
          <w:i/>
        </w:rPr>
      </w:pPr>
      <w:r w:rsidRPr="00237A2C">
        <w:rPr>
          <w:i/>
        </w:rPr>
        <w:t>Resultatrapportering till riksdagen</w:t>
      </w:r>
    </w:p>
    <w:p w:rsidR="00AE50BA" w:rsidRPr="00237A2C" w:rsidRDefault="00AE50BA">
      <w:r w:rsidRPr="00237A2C">
        <w:t>Redan i 1997 års ekonomiska vårproposition anmäler regeringen att det är viktigt att riksdagen kontinuerligt skall kunna följa utvecklingen.</w:t>
      </w:r>
    </w:p>
    <w:p w:rsidR="00AE50BA" w:rsidRPr="00237A2C" w:rsidRDefault="00AE50BA">
      <w:pPr>
        <w:pStyle w:val="Normaltindrag"/>
      </w:pPr>
      <w:r w:rsidRPr="00237A2C">
        <w:t>I budgetpropositionen för år 1999 redovisar regeringen för första gången en s.k. resultatbedömning för riksdagen när det gäller stödet till ekologisk omställning. Bl.a. framgår att 42 kommuner vid tillfället beviljats statsbidrag med totalt 2 316 miljoner kronor. De lokala investeringsprogrammen bedöms av regeringen komma att ge påtagliga effekter på miljön och leda till en ökad sysselsättning med ca 8 000 årsarbeten. Regeringen anmäler också som sin avsikt att årligen, med utgångspunkt från verksamhetsrap</w:t>
      </w:r>
      <w:r w:rsidRPr="00237A2C">
        <w:t>porter från komm</w:t>
      </w:r>
      <w:r w:rsidRPr="00237A2C">
        <w:t>u</w:t>
      </w:r>
      <w:r w:rsidRPr="00237A2C">
        <w:t xml:space="preserve">nerna, rapportera till riksdagen med början i budgetpropositionen för år 2000.  </w:t>
      </w:r>
    </w:p>
    <w:p w:rsidR="00AE50BA" w:rsidRPr="00237A2C" w:rsidRDefault="00AE50BA">
      <w:pPr>
        <w:pStyle w:val="Normaltindrag"/>
      </w:pPr>
      <w:r w:rsidRPr="00237A2C">
        <w:t>Av regeringens resultatbedömning i budgetpropositionen för år 2000 framgår att sammantaget 81 kommuner under åren 1998 och 1999 beviljats 3,7 miljarder kronor i statsbidrag. De lokala investeringsprogrammen uppges dittills ha omfattat en total investeringsvolym på 17,7 miljarder kronor som bedömts ge 11 500 direkta arbetstillfällen under investeringsperioden 1998</w:t>
      </w:r>
      <w:r w:rsidRPr="00237A2C">
        <w:sym w:font="Symbol" w:char="F02D"/>
      </w:r>
      <w:r w:rsidRPr="00237A2C">
        <w:t>2001. De lokala investeringsprogrammen kommer enligt propositionen att ge mätbara effekter om, understryks det, de resultat uppnås som komm</w:t>
      </w:r>
      <w:r w:rsidRPr="00237A2C">
        <w:t>u</w:t>
      </w:r>
      <w:r w:rsidRPr="00237A2C">
        <w:t>nerna angivit i sina investeringsprogram.</w:t>
      </w:r>
    </w:p>
    <w:p w:rsidR="00AE50BA" w:rsidRPr="00237A2C" w:rsidRDefault="00AE50BA">
      <w:pPr>
        <w:pStyle w:val="Normaltindrag"/>
      </w:pPr>
      <w:r w:rsidRPr="00237A2C">
        <w:t>I samband med att bostadsutskottet våren 2000 behandlade revisorernas ovan nämnda skrivelse (1999/2000:RR3) om de lokala investeringspro-grammen begärde utskottet en redovisning från regeringen av vissa frågor (bet. 1999/2000:BoU4). Regeringens redovisning i vårpropositionen samma år (prop. 1999/2000:100) omfa</w:t>
      </w:r>
      <w:r w:rsidRPr="00237A2C">
        <w:t>t</w:t>
      </w:r>
      <w:r w:rsidRPr="00237A2C">
        <w:t>tade tre meningar.</w:t>
      </w:r>
    </w:p>
    <w:p w:rsidR="00AE50BA" w:rsidRPr="00237A2C" w:rsidRDefault="00AE50BA">
      <w:pPr>
        <w:pStyle w:val="Normaltindrag"/>
      </w:pPr>
      <w:r w:rsidRPr="00237A2C">
        <w:t>Regeringen understryker i budgetförslaget för år 2001 att det är viktigt att sprida information om hur de lokala investeringsprogrammen genomförs och de resultat och effekter som uppnås. 30 miljoner kronor av anslaget får därför användas för administration, uppföljning och utvärdering av investering</w:t>
      </w:r>
      <w:r w:rsidRPr="00237A2C">
        <w:t>s</w:t>
      </w:r>
      <w:r w:rsidRPr="00237A2C">
        <w:t>programmen och till informationsinsatser. Ytterligare 10 miljoner kronor får användas för att finansiera ett s.k. grönt kunskapslyft.</w:t>
      </w:r>
    </w:p>
    <w:p w:rsidR="00AE50BA" w:rsidRPr="00237A2C" w:rsidRDefault="00AE50BA">
      <w:pPr>
        <w:pStyle w:val="Rubrik3"/>
      </w:pPr>
      <w:bookmarkStart w:id="231" w:name="_Toc509125611"/>
      <w:bookmarkStart w:id="232" w:name="_Toc509738043"/>
      <w:bookmarkStart w:id="233" w:name="_Toc516991663"/>
      <w:r w:rsidRPr="00237A2C">
        <w:t>2.8 Program för IT i skolan (ITiS)</w:t>
      </w:r>
      <w:bookmarkEnd w:id="231"/>
      <w:bookmarkEnd w:id="232"/>
      <w:bookmarkEnd w:id="233"/>
    </w:p>
    <w:p w:rsidR="00AE50BA" w:rsidRPr="00237A2C" w:rsidRDefault="00AE50BA">
      <w:pPr>
        <w:rPr>
          <w:i/>
        </w:rPr>
      </w:pPr>
      <w:r w:rsidRPr="00237A2C">
        <w:rPr>
          <w:i/>
        </w:rPr>
        <w:t>Bakgrund, motiv och mål</w:t>
      </w:r>
    </w:p>
    <w:p w:rsidR="00AE50BA" w:rsidRPr="00237A2C" w:rsidRDefault="00AE50BA">
      <w:r w:rsidRPr="00237A2C">
        <w:t>I vårpropositionen för år 1998 (prop. 197/98:150) tog regeringen upp olika åtgärder i syfte att öka delaktigheten i informationssamhället. Bl.a. aviser</w:t>
      </w:r>
      <w:r w:rsidRPr="00237A2C">
        <w:t>a</w:t>
      </w:r>
      <w:r w:rsidRPr="00237A2C">
        <w:t>des att regeringen avsåg föreslå att 1 500 miljoner skulle avsättas för särski</w:t>
      </w:r>
      <w:r w:rsidRPr="00237A2C">
        <w:t>l</w:t>
      </w:r>
      <w:r w:rsidRPr="00237A2C">
        <w:t>da insatser i skolan. Ett program för IT i skolan skulle föreläggas riksdagen. Utgångspunkten för satsningen skulle enligt propositionen vara att alla elever skall ges kunskaper och möjligheter att använda datorer som ett modernt informationsverktyg. Regeringen återkom därefter i budgetpropositionen för år 1999 med ett konkret förslag till medelsanvi</w:t>
      </w:r>
      <w:r w:rsidRPr="00237A2C">
        <w:t>s</w:t>
      </w:r>
      <w:r w:rsidRPr="00237A2C">
        <w:t>ning.</w:t>
      </w:r>
    </w:p>
    <w:p w:rsidR="00AE50BA" w:rsidRPr="00237A2C" w:rsidRDefault="00AE50BA">
      <w:pPr>
        <w:rPr>
          <w:i/>
        </w:rPr>
      </w:pPr>
      <w:r w:rsidRPr="00237A2C">
        <w:rPr>
          <w:i/>
        </w:rPr>
        <w:t>Anslagen</w:t>
      </w:r>
    </w:p>
    <w:p w:rsidR="00AE50BA" w:rsidRPr="00237A2C" w:rsidRDefault="00AE50BA">
      <w:r w:rsidRPr="00237A2C">
        <w:t>I budgetpropositionen hösten 1998 (prop. 1998/99:1) föreslog regeringen således att totalt 1 490 miljoner kronor. under tre år skulle avsättas för en satsning på informationsteknik i skolan fördelat på 340 respektive 500 och 650 miljoner kronor åren 1999, 2000 och 2001. Medlen skall användas i kommuner för att stimulera IT-utveckling.</w:t>
      </w:r>
    </w:p>
    <w:p w:rsidR="00AE50BA" w:rsidRPr="00237A2C" w:rsidRDefault="00AE50BA">
      <w:pPr>
        <w:pStyle w:val="Normaltindrag"/>
      </w:pPr>
      <w:r w:rsidRPr="00237A2C">
        <w:t>Moderata samlingspartiet föreslog i sin budgetmotion en betydligt kraft</w:t>
      </w:r>
      <w:r w:rsidRPr="00237A2C">
        <w:t>i</w:t>
      </w:r>
      <w:r w:rsidRPr="00237A2C">
        <w:t>gare satsning på IT i skolan än regeringen. Enligt motionen borde 800 milj</w:t>
      </w:r>
      <w:r w:rsidRPr="00237A2C">
        <w:t>o</w:t>
      </w:r>
      <w:r w:rsidRPr="00237A2C">
        <w:t>ner kronor anvisas för budgetåret 1999. För de återstående två åren i treår</w:t>
      </w:r>
      <w:r w:rsidRPr="00237A2C">
        <w:t>s</w:t>
      </w:r>
      <w:r w:rsidRPr="00237A2C">
        <w:t>satsningen beräknade motionärerna 1 325 miljoner kronor år 2000 och 1 298 miljoner kronor år 2001 eller totalt ca 3,5 miljarder kronor. Riksdagen följde regeringens förslag (bet. 1998/99:UbU1).</w:t>
      </w:r>
    </w:p>
    <w:p w:rsidR="00AE50BA" w:rsidRPr="00237A2C" w:rsidRDefault="00AE50BA">
      <w:pPr>
        <w:pStyle w:val="Normaltindrag"/>
      </w:pPr>
      <w:r w:rsidRPr="00237A2C">
        <w:t>I budgetpropositionen för år 2000 återkom regeringen med ett förslag till medelsanvisning för budgetåret på 501 miljoner kronor. För riksdagen a</w:t>
      </w:r>
      <w:r w:rsidRPr="00237A2C">
        <w:t>n</w:t>
      </w:r>
      <w:r w:rsidRPr="00237A2C">
        <w:t xml:space="preserve">mäldes i samband därmed att medlen skall användas för </w:t>
      </w:r>
    </w:p>
    <w:p w:rsidR="00AE50BA" w:rsidRPr="00237A2C" w:rsidRDefault="00AE50BA">
      <w:pPr>
        <w:numPr>
          <w:ilvl w:val="0"/>
          <w:numId w:val="11"/>
        </w:numPr>
      </w:pPr>
      <w:r w:rsidRPr="00237A2C">
        <w:t>delegationens kansli</w:t>
      </w:r>
    </w:p>
    <w:p w:rsidR="00AE50BA" w:rsidRPr="00237A2C" w:rsidRDefault="00AE50BA">
      <w:pPr>
        <w:numPr>
          <w:ilvl w:val="0"/>
          <w:numId w:val="11"/>
        </w:numPr>
      </w:pPr>
      <w:r w:rsidRPr="00237A2C">
        <w:t>kompetensutveckling av lärare</w:t>
      </w:r>
    </w:p>
    <w:p w:rsidR="00AE50BA" w:rsidRPr="00237A2C" w:rsidRDefault="00AE50BA">
      <w:pPr>
        <w:numPr>
          <w:ilvl w:val="0"/>
          <w:numId w:val="11"/>
        </w:numPr>
      </w:pPr>
      <w:r w:rsidRPr="00237A2C">
        <w:t>inköp av datorer</w:t>
      </w:r>
    </w:p>
    <w:p w:rsidR="00AE50BA" w:rsidRPr="00237A2C" w:rsidRDefault="00AE50BA">
      <w:pPr>
        <w:numPr>
          <w:ilvl w:val="0"/>
          <w:numId w:val="11"/>
        </w:numPr>
      </w:pPr>
      <w:r w:rsidRPr="00237A2C">
        <w:t>stöd till infrastruktursatsningar</w:t>
      </w:r>
    </w:p>
    <w:p w:rsidR="00AE50BA" w:rsidRPr="00237A2C" w:rsidRDefault="00AE50BA">
      <w:pPr>
        <w:numPr>
          <w:ilvl w:val="0"/>
          <w:numId w:val="11"/>
        </w:numPr>
      </w:pPr>
      <w:r w:rsidRPr="00237A2C">
        <w:t>övriga utgifter.</w:t>
      </w:r>
    </w:p>
    <w:p w:rsidR="00AE50BA" w:rsidRPr="00237A2C" w:rsidRDefault="00AE50BA">
      <w:r w:rsidRPr="00237A2C">
        <w:t>I en motion föreslog Moderaterna en ökning av anslaget med 460 miljoner kronor för år 2000. Sammanlagt föreslogs 1 171 miljoner kronor mer än regeringen för treårsperioden 2000</w:t>
      </w:r>
      <w:r w:rsidRPr="00237A2C">
        <w:sym w:font="Symbol" w:char="F02D"/>
      </w:r>
      <w:r w:rsidRPr="00237A2C">
        <w:t>2002. Kristdemokraterna ansåg i sin motsvarande motion att satsningarna på IT i skolan borde ske i en realistisk takt och föreslog en minskning av anslaget med 70 miljoner kronor. Riksd</w:t>
      </w:r>
      <w:r w:rsidRPr="00237A2C">
        <w:t>a</w:t>
      </w:r>
      <w:r w:rsidRPr="00237A2C">
        <w:t>gen beslutade i enlighet med propositi</w:t>
      </w:r>
      <w:r w:rsidRPr="00237A2C">
        <w:t>o</w:t>
      </w:r>
      <w:r w:rsidRPr="00237A2C">
        <w:t>nens förslag (bet. 1999/2000:UbU1).</w:t>
      </w:r>
    </w:p>
    <w:p w:rsidR="00AE50BA" w:rsidRPr="00237A2C" w:rsidRDefault="00AE50BA">
      <w:pPr>
        <w:pStyle w:val="Normaltindrag"/>
      </w:pPr>
      <w:r w:rsidRPr="00237A2C">
        <w:t>Beslutade och beräknade anslag för treårsperioden 1999</w:t>
      </w:r>
      <w:r w:rsidRPr="00237A2C">
        <w:sym w:font="Symbol" w:char="F02D"/>
      </w:r>
      <w:r w:rsidRPr="00237A2C">
        <w:t>2001 framgår av följande tabell. De anvisade anslagen för åren 1999 och 2000 tillsammans med de beräknade anslagen för år 2001 uppgår till sammanlagt 1 492 milj</w:t>
      </w:r>
      <w:r w:rsidRPr="00237A2C">
        <w:t>o</w:t>
      </w:r>
      <w:r w:rsidRPr="00237A2C">
        <w:t>ner kronor.</w:t>
      </w:r>
    </w:p>
    <w:p w:rsidR="00AE50BA" w:rsidRPr="00237A2C" w:rsidRDefault="00AE50BA">
      <w:pPr>
        <w:rPr>
          <w:b/>
        </w:rPr>
      </w:pPr>
      <w:r w:rsidRPr="00237A2C">
        <w:rPr>
          <w:b/>
        </w:rPr>
        <w:t>Anslag till program för IT i skolan</w:t>
      </w:r>
    </w:p>
    <w:p w:rsidR="00AE50BA" w:rsidRPr="00237A2C" w:rsidRDefault="00AE50BA">
      <w:pPr>
        <w:pBdr>
          <w:bottom w:val="single" w:sz="12" w:space="1" w:color="auto"/>
        </w:pBdr>
      </w:pPr>
      <w:r w:rsidRPr="00237A2C">
        <w:t>Miljoner kronor (Beräknade anslag inom parentes)</w:t>
      </w:r>
    </w:p>
    <w:p w:rsidR="00AE50BA" w:rsidRPr="00237A2C" w:rsidRDefault="00AE50BA">
      <w:pPr>
        <w:tabs>
          <w:tab w:val="right" w:pos="1701"/>
          <w:tab w:val="right" w:pos="2977"/>
          <w:tab w:val="right" w:pos="4253"/>
          <w:tab w:val="right" w:pos="5670"/>
        </w:tabs>
      </w:pPr>
      <w:r w:rsidRPr="00237A2C">
        <w:t>Prop.</w:t>
      </w:r>
      <w:r w:rsidRPr="00237A2C">
        <w:tab/>
        <w:t>1999</w:t>
      </w:r>
      <w:r w:rsidRPr="00237A2C">
        <w:tab/>
        <w:t>2000</w:t>
      </w:r>
      <w:r w:rsidRPr="00237A2C">
        <w:tab/>
        <w:t>2001</w:t>
      </w:r>
      <w:r w:rsidRPr="00237A2C">
        <w:tab/>
        <w:t>Totalt</w:t>
      </w:r>
    </w:p>
    <w:p w:rsidR="00AE50BA" w:rsidRPr="00237A2C" w:rsidRDefault="00AE50BA">
      <w:pPr>
        <w:tabs>
          <w:tab w:val="right" w:pos="1701"/>
          <w:tab w:val="right" w:pos="2977"/>
          <w:tab w:val="right" w:pos="4253"/>
          <w:tab w:val="right" w:pos="5670"/>
        </w:tabs>
      </w:pPr>
      <w:r w:rsidRPr="00237A2C">
        <w:t>______________________________________________________________</w:t>
      </w:r>
    </w:p>
    <w:p w:rsidR="00AE50BA" w:rsidRPr="00237A2C" w:rsidRDefault="00AE50BA">
      <w:pPr>
        <w:tabs>
          <w:tab w:val="right" w:pos="1701"/>
          <w:tab w:val="right" w:pos="2977"/>
          <w:tab w:val="right" w:pos="4253"/>
          <w:tab w:val="right" w:pos="5670"/>
        </w:tabs>
        <w:spacing w:before="240"/>
      </w:pPr>
      <w:r w:rsidRPr="00237A2C">
        <w:t>1998/99:1</w:t>
      </w:r>
      <w:r w:rsidRPr="00237A2C">
        <w:tab/>
      </w:r>
      <w:r w:rsidRPr="00237A2C">
        <w:rPr>
          <w:b/>
        </w:rPr>
        <w:t>340</w:t>
      </w:r>
      <w:r w:rsidRPr="00237A2C">
        <w:tab/>
        <w:t>(516)</w:t>
      </w:r>
      <w:r w:rsidRPr="00237A2C">
        <w:tab/>
        <w:t>(688)</w:t>
      </w:r>
    </w:p>
    <w:p w:rsidR="00AE50BA" w:rsidRPr="00237A2C" w:rsidRDefault="00AE50BA">
      <w:pPr>
        <w:tabs>
          <w:tab w:val="right" w:pos="1701"/>
          <w:tab w:val="right" w:pos="2977"/>
          <w:tab w:val="right" w:pos="4253"/>
          <w:tab w:val="right" w:pos="5670"/>
        </w:tabs>
        <w:spacing w:line="480" w:lineRule="auto"/>
      </w:pPr>
      <w:r w:rsidRPr="00237A2C">
        <w:t>1999/2000:1</w:t>
      </w:r>
      <w:r w:rsidRPr="00237A2C">
        <w:tab/>
      </w:r>
      <w:r w:rsidRPr="00237A2C">
        <w:tab/>
      </w:r>
      <w:r w:rsidRPr="00237A2C">
        <w:rPr>
          <w:b/>
        </w:rPr>
        <w:t>501</w:t>
      </w:r>
      <w:r w:rsidRPr="00237A2C">
        <w:tab/>
        <w:t>(651)</w:t>
      </w:r>
    </w:p>
    <w:p w:rsidR="00AE50BA" w:rsidRPr="00237A2C" w:rsidRDefault="00AE50BA">
      <w:pPr>
        <w:tabs>
          <w:tab w:val="right" w:pos="1701"/>
          <w:tab w:val="right" w:pos="2977"/>
          <w:tab w:val="right" w:pos="4253"/>
          <w:tab w:val="right" w:pos="5670"/>
        </w:tabs>
        <w:spacing w:before="240" w:line="480" w:lineRule="auto"/>
      </w:pPr>
      <w:r w:rsidRPr="00237A2C">
        <w:t xml:space="preserve">S:a anslag </w:t>
      </w:r>
      <w:r w:rsidRPr="00237A2C">
        <w:tab/>
      </w:r>
      <w:r w:rsidRPr="00237A2C">
        <w:rPr>
          <w:b/>
        </w:rPr>
        <w:t>340</w:t>
      </w:r>
      <w:r w:rsidRPr="00237A2C">
        <w:tab/>
      </w:r>
      <w:r w:rsidRPr="00237A2C">
        <w:rPr>
          <w:b/>
        </w:rPr>
        <w:t>501</w:t>
      </w:r>
      <w:r w:rsidRPr="00237A2C">
        <w:tab/>
        <w:t>(651)</w:t>
      </w:r>
      <w:r w:rsidRPr="00237A2C">
        <w:tab/>
      </w:r>
      <w:r w:rsidRPr="00237A2C">
        <w:rPr>
          <w:b/>
        </w:rPr>
        <w:t>841</w:t>
      </w:r>
    </w:p>
    <w:p w:rsidR="00AE50BA" w:rsidRPr="00237A2C" w:rsidRDefault="00AE50BA">
      <w:pPr>
        <w:spacing w:line="240" w:lineRule="auto"/>
        <w:rPr>
          <w:i/>
        </w:rPr>
      </w:pPr>
      <w:r w:rsidRPr="00237A2C">
        <w:rPr>
          <w:i/>
        </w:rPr>
        <w:t>Genomförandefrågor</w:t>
      </w:r>
    </w:p>
    <w:p w:rsidR="00AE50BA" w:rsidRPr="00237A2C" w:rsidRDefault="00AE50BA">
      <w:r w:rsidRPr="00237A2C">
        <w:t>I budgetpropositionen för år 1999 anmäler regeringen att en delegation för en särskild nationell satsning på IT i skolan i maj 1998 har tillkallats (U 1998:04). Den skall ha till uppgift att bl.a. genomföra och i ett inledning</w:t>
      </w:r>
      <w:r w:rsidRPr="00237A2C">
        <w:t>s</w:t>
      </w:r>
      <w:r w:rsidRPr="00237A2C">
        <w:t>skede förbereda sådana insatser.</w:t>
      </w:r>
    </w:p>
    <w:p w:rsidR="00AE50BA" w:rsidRPr="00237A2C" w:rsidRDefault="00AE50BA">
      <w:pPr>
        <w:pStyle w:val="Normaltindrag"/>
      </w:pPr>
      <w:r w:rsidRPr="00237A2C">
        <w:t>Av regleringsbrevet för år 1999 framgår att anslaget disponeras av Reg</w:t>
      </w:r>
      <w:r w:rsidRPr="00237A2C">
        <w:t>e</w:t>
      </w:r>
      <w:r w:rsidRPr="00237A2C">
        <w:t>ringskansliet. Som villkor anges att medlen skall användas för insatser enligt regeringens skrivelse till riksdagen (skr. 1997/98:176 Lärandet verktyg – nationellt program för IT i skolan. Medel får vidare användas till kanslikos</w:t>
      </w:r>
      <w:r w:rsidRPr="00237A2C">
        <w:t>t</w:t>
      </w:r>
      <w:r w:rsidRPr="00237A2C">
        <w:t xml:space="preserve">nader för Delegationen för IT i skolan, dock utan att någon beloppsmässig begränsning anges. Regeringskansliet skall betala ut medlen efter beslut av delegationen. </w:t>
      </w:r>
    </w:p>
    <w:p w:rsidR="00AE50BA" w:rsidRPr="00237A2C" w:rsidRDefault="00AE50BA">
      <w:pPr>
        <w:pStyle w:val="Normaltindrag"/>
        <w:rPr>
          <w:i/>
        </w:rPr>
      </w:pPr>
      <w:r w:rsidRPr="00237A2C">
        <w:t>I motsvarande regleringsbrev för budgetåret 2000 har dispositionsrätten till medlen överförts från Regeringskansliet</w:t>
      </w:r>
      <w:r w:rsidRPr="00237A2C">
        <w:t xml:space="preserve"> till Delegationen för IT i skolan. En annan förändring är att regeringen beslutat om en författning som skall regl</w:t>
      </w:r>
      <w:r w:rsidRPr="00237A2C">
        <w:t>e</w:t>
      </w:r>
      <w:r w:rsidRPr="00237A2C">
        <w:t>ra fördelningen av pengar. Således skall medlen enligt regleringsbrevet a</w:t>
      </w:r>
      <w:r w:rsidRPr="00237A2C">
        <w:t>n</w:t>
      </w:r>
      <w:r w:rsidRPr="00237A2C">
        <w:t>vändas enligt bestämmelserna i förordningen (1999:751) om statligt stöd för att stimulera användningen av informationsteknik i skolan. Anslaget får också användas för kanslikostnader. Delegationen får vidare ta emot såväl statliga som icke-statliga bidrag och själv disponera dessa inkomster.</w:t>
      </w:r>
    </w:p>
    <w:p w:rsidR="00AE50BA" w:rsidRPr="00237A2C" w:rsidRDefault="00AE50BA">
      <w:pPr>
        <w:rPr>
          <w:i/>
        </w:rPr>
      </w:pPr>
      <w:r w:rsidRPr="00237A2C">
        <w:rPr>
          <w:i/>
        </w:rPr>
        <w:t>Uppföljning och  utvärdering</w:t>
      </w:r>
    </w:p>
    <w:p w:rsidR="00AE50BA" w:rsidRPr="00237A2C" w:rsidRDefault="00AE50BA">
      <w:r w:rsidRPr="00237A2C">
        <w:t>Av budgetpropositionen för år 2001 framgår att i delegationens uppdrag ingår att följa och utvärdera verksamheten. Delegationen har därför beslutat om en utvärdering av verksamheten som skall ske med början i januari år 2000 och vara slutförd och slutredovisad före utgången av år 2003. Arbetet utförs av högskolorna i Hal</w:t>
      </w:r>
      <w:r w:rsidRPr="00237A2C">
        <w:t>m</w:t>
      </w:r>
      <w:r w:rsidRPr="00237A2C">
        <w:t>stad och Jönköping.</w:t>
      </w:r>
    </w:p>
    <w:p w:rsidR="00AE50BA" w:rsidRPr="00237A2C" w:rsidRDefault="00AE50BA">
      <w:pPr>
        <w:rPr>
          <w:i/>
        </w:rPr>
      </w:pPr>
      <w:r w:rsidRPr="00237A2C">
        <w:rPr>
          <w:i/>
        </w:rPr>
        <w:t>Resultatrapportering till riksdagen</w:t>
      </w:r>
    </w:p>
    <w:p w:rsidR="00AE50BA" w:rsidRPr="00237A2C" w:rsidRDefault="00AE50BA">
      <w:r w:rsidRPr="00237A2C">
        <w:t>I budgetförslaget för år 2000 redovisar regeringen att samtliga kommuner har anmält intresse för att delta i utvecklingen av lärarnas kompetens inom o</w:t>
      </w:r>
      <w:r w:rsidRPr="00237A2C">
        <w:t>m</w:t>
      </w:r>
      <w:r w:rsidRPr="00237A2C">
        <w:t xml:space="preserve">rådet och ansökt om bidrag till infrastruktursatsningar. </w:t>
      </w:r>
    </w:p>
    <w:p w:rsidR="00AE50BA" w:rsidRPr="00237A2C" w:rsidRDefault="00AE50BA">
      <w:pPr>
        <w:pStyle w:val="Normaltindrag"/>
      </w:pPr>
      <w:r w:rsidRPr="00237A2C">
        <w:t>I budgetpropositionen för år 2001 anges att det fr.o.m. halvårsskiftet 2000 finns ca 20 000 lärare i arbetslag som har genomfört sin kompetensutvec</w:t>
      </w:r>
      <w:r w:rsidRPr="00237A2C">
        <w:t>k</w:t>
      </w:r>
      <w:r w:rsidRPr="00237A2C">
        <w:t>ling. Var och en av dessa disponerar en dator. Vidare har ca 700 handledare utbildats.</w:t>
      </w:r>
    </w:p>
    <w:p w:rsidR="00AE50BA" w:rsidRPr="00237A2C" w:rsidRDefault="00AE50BA">
      <w:pPr>
        <w:pStyle w:val="Rubrik3"/>
      </w:pPr>
      <w:bookmarkStart w:id="234" w:name="_Toc509125612"/>
      <w:bookmarkStart w:id="235" w:name="_Toc509738044"/>
      <w:bookmarkStart w:id="236" w:name="_Toc516991664"/>
      <w:r w:rsidRPr="00237A2C">
        <w:t>2.9 Utvecklingsarbete (inom Finansdepartementets ansvarsområde)</w:t>
      </w:r>
      <w:bookmarkEnd w:id="234"/>
      <w:bookmarkEnd w:id="235"/>
      <w:bookmarkEnd w:id="236"/>
    </w:p>
    <w:p w:rsidR="00AE50BA" w:rsidRPr="00237A2C" w:rsidRDefault="00AE50BA">
      <w:pPr>
        <w:rPr>
          <w:i/>
        </w:rPr>
      </w:pPr>
      <w:r w:rsidRPr="00237A2C">
        <w:rPr>
          <w:i/>
        </w:rPr>
        <w:t>Bakgrund, motiv och mål</w:t>
      </w:r>
    </w:p>
    <w:p w:rsidR="00AE50BA" w:rsidRPr="00237A2C" w:rsidRDefault="00AE50BA">
      <w:r w:rsidRPr="00237A2C">
        <w:t>Sedan budgetåret 1991/92 har inom Finansdepartementets ansvarsområde funnits ett anslag för att bekosta utvecklingsarbete avseende styrning, bu</w:t>
      </w:r>
      <w:r w:rsidRPr="00237A2C">
        <w:t>d</w:t>
      </w:r>
      <w:r w:rsidRPr="00237A2C">
        <w:t>getering och redovisning av statens inkomster, utgifter, tillgångar och sku</w:t>
      </w:r>
      <w:r w:rsidRPr="00237A2C">
        <w:t>l</w:t>
      </w:r>
      <w:r w:rsidRPr="00237A2C">
        <w:t>der. Vidare används anslaget för kostnader för att bedriva chefsutveckling inom statsförvaltningen, viss kompetensutveckling i Regeringskansliet samt för annat utvecklingsarbete inom Finansdepartementets ansva</w:t>
      </w:r>
      <w:r w:rsidRPr="00237A2C">
        <w:t>r</w:t>
      </w:r>
      <w:r w:rsidRPr="00237A2C">
        <w:t xml:space="preserve">sområde. </w:t>
      </w:r>
    </w:p>
    <w:p w:rsidR="00AE50BA" w:rsidRPr="00237A2C" w:rsidRDefault="00AE50BA">
      <w:pPr>
        <w:rPr>
          <w:i/>
        </w:rPr>
      </w:pPr>
      <w:r w:rsidRPr="00237A2C">
        <w:rPr>
          <w:i/>
        </w:rPr>
        <w:t>Anslagen</w:t>
      </w:r>
    </w:p>
    <w:p w:rsidR="00AE50BA" w:rsidRPr="00237A2C" w:rsidRDefault="00AE50BA">
      <w:r w:rsidRPr="00237A2C">
        <w:t>Regeringen föreslog i budgetpropositionen för år 1997 att drygt 32 miljoner kronor skulle anvisas på anslaget. När regeringen påföljande år återkom till riksdagen i frågan i budgetpropositionen anmäldes att anslaget haft en stor ingående reservation år 1997 beroende på svårigheter från Finansdepart</w:t>
      </w:r>
      <w:r w:rsidRPr="00237A2C">
        <w:t>e</w:t>
      </w:r>
      <w:r w:rsidRPr="00237A2C">
        <w:t>mentet att bedöma omfattningen av erforderligt utvecklingsarbete. Enligt regeringens i propositionen redovisade bedömning behövde reservationen tas i anspråk för det ytterligare utvecklingsarbete vad gäller uppföljnings- och prognosmetoder som uppkommit till följd av den förändrade budgetproce</w:t>
      </w:r>
      <w:r w:rsidRPr="00237A2C">
        <w:t>s</w:t>
      </w:r>
      <w:r w:rsidRPr="00237A2C">
        <w:t>sen innefattande bl.a. det s.k. VESTA-projektet (Verktyg för ekonomisty</w:t>
      </w:r>
      <w:r w:rsidRPr="00237A2C">
        <w:t>r</w:t>
      </w:r>
      <w:r w:rsidRPr="00237A2C">
        <w:t>ning i st</w:t>
      </w:r>
      <w:r w:rsidRPr="00237A2C">
        <w:t>a</w:t>
      </w:r>
      <w:r w:rsidRPr="00237A2C">
        <w:t>ten).</w:t>
      </w:r>
    </w:p>
    <w:p w:rsidR="00AE50BA" w:rsidRPr="00237A2C" w:rsidRDefault="00AE50BA">
      <w:pPr>
        <w:pStyle w:val="Normaltindrag"/>
      </w:pPr>
      <w:r w:rsidRPr="00237A2C">
        <w:t>En preliminär bedömning indikerar enligt regeringen att kostnaderna för projektet uppgår till 60 miljoner kronor. Genom en lånef</w:t>
      </w:r>
      <w:r w:rsidRPr="00237A2C">
        <w:t>inansiering av h</w:t>
      </w:r>
      <w:r w:rsidRPr="00237A2C">
        <w:t>u</w:t>
      </w:r>
      <w:r w:rsidRPr="00237A2C">
        <w:t>vuddelen av utvecklings- och hårdvarukostnaden fördelas den totala kostn</w:t>
      </w:r>
      <w:r w:rsidRPr="00237A2C">
        <w:t>a</w:t>
      </w:r>
      <w:r w:rsidRPr="00237A2C">
        <w:t>den och därmed anslagsbelastningen över nio år. Regeringen begärde därför ett beställningsbemyndigande om 50 miljoner kronor för VESTA-projektets genomförande. För budgetåret 1998 begär regeringen att ca 30 miljoner kronor skall anvisas.</w:t>
      </w:r>
    </w:p>
    <w:p w:rsidR="00AE50BA" w:rsidRPr="00237A2C" w:rsidRDefault="00AE50BA">
      <w:pPr>
        <w:pStyle w:val="Normaltindrag"/>
      </w:pPr>
      <w:r w:rsidRPr="00237A2C">
        <w:t>Av budgetpropositionen för år 1999 framgår att anslagssparandet är bet</w:t>
      </w:r>
      <w:r w:rsidRPr="00237A2C">
        <w:t>y</w:t>
      </w:r>
      <w:r w:rsidRPr="00237A2C">
        <w:t>dande även för år 1998 men att detta är planerat med anledning av genomf</w:t>
      </w:r>
      <w:r w:rsidRPr="00237A2C">
        <w:t>ö</w:t>
      </w:r>
      <w:r w:rsidRPr="00237A2C">
        <w:t>randet av det omfattande utvecklingsarbetet som gäller statens budget, beta</w:t>
      </w:r>
      <w:r w:rsidRPr="00237A2C">
        <w:t>l</w:t>
      </w:r>
      <w:r w:rsidRPr="00237A2C">
        <w:t>ningar, redovisning m.m. Regeringen föreslår att drygt 24 miljoner kronor anvisas. I budgetförslaget för år 2000 begär regeringen ett anslag för änd</w:t>
      </w:r>
      <w:r w:rsidRPr="00237A2C">
        <w:t>a</w:t>
      </w:r>
      <w:r w:rsidRPr="00237A2C">
        <w:t xml:space="preserve">målet på knappt 18 miljoner kronor. </w:t>
      </w:r>
    </w:p>
    <w:p w:rsidR="00AE50BA" w:rsidRPr="00237A2C" w:rsidRDefault="00AE50BA">
      <w:pPr>
        <w:pStyle w:val="Normaltindrag"/>
      </w:pPr>
      <w:r w:rsidRPr="00237A2C">
        <w:t>Beslutade och beräknade anslag under perioden 1997-2000 framgår av nedanstående tabell. De av riksdagen totalt anvisade anslagen uppgick till totalt 104 miljonr kronor.</w:t>
      </w:r>
    </w:p>
    <w:p w:rsidR="00AE50BA" w:rsidRPr="00237A2C" w:rsidRDefault="00AE50BA">
      <w:pPr>
        <w:pStyle w:val="Brdtext3"/>
      </w:pPr>
      <w:r w:rsidRPr="00237A2C">
        <w:t>Anslag till Utvecklingsarbete (inom Finansdepartementets ansvarso</w:t>
      </w:r>
      <w:r w:rsidRPr="00237A2C">
        <w:t>m</w:t>
      </w:r>
      <w:r w:rsidRPr="00237A2C">
        <w:t>råde)</w:t>
      </w:r>
    </w:p>
    <w:p w:rsidR="00AE50BA" w:rsidRPr="00237A2C" w:rsidRDefault="00AE50BA">
      <w:pPr>
        <w:pBdr>
          <w:bottom w:val="single" w:sz="12" w:space="1" w:color="auto"/>
        </w:pBdr>
      </w:pPr>
      <w:r w:rsidRPr="00237A2C">
        <w:t>Miljoner kronor (Beräknade anslag inom parentes)</w:t>
      </w:r>
    </w:p>
    <w:p w:rsidR="00AE50BA" w:rsidRPr="00237A2C" w:rsidRDefault="00AE50BA">
      <w:pPr>
        <w:tabs>
          <w:tab w:val="right" w:pos="1418"/>
          <w:tab w:val="right" w:pos="2127"/>
          <w:tab w:val="right" w:pos="2835"/>
          <w:tab w:val="right" w:pos="3544"/>
          <w:tab w:val="right" w:pos="4253"/>
          <w:tab w:val="right" w:pos="4962"/>
          <w:tab w:val="right" w:pos="5670"/>
        </w:tabs>
        <w:jc w:val="left"/>
      </w:pPr>
      <w:r w:rsidRPr="00237A2C">
        <w:t>Prop.</w:t>
      </w:r>
      <w:r w:rsidRPr="00237A2C">
        <w:tab/>
        <w:t>1997</w:t>
      </w:r>
      <w:r w:rsidRPr="00237A2C">
        <w:tab/>
        <w:t>1998</w:t>
      </w:r>
      <w:r w:rsidRPr="00237A2C">
        <w:tab/>
        <w:t>1999</w:t>
      </w:r>
      <w:r w:rsidRPr="00237A2C">
        <w:tab/>
        <w:t>2000</w:t>
      </w:r>
      <w:r w:rsidRPr="00237A2C">
        <w:tab/>
        <w:t>2001</w:t>
      </w:r>
      <w:r w:rsidRPr="00237A2C">
        <w:tab/>
        <w:t>2002</w:t>
      </w:r>
      <w:r w:rsidRPr="00237A2C">
        <w:tab/>
        <w:t>Totalt</w:t>
      </w:r>
    </w:p>
    <w:p w:rsidR="00AE50BA" w:rsidRPr="00237A2C" w:rsidRDefault="00AE50BA">
      <w:pPr>
        <w:tabs>
          <w:tab w:val="right" w:pos="1418"/>
          <w:tab w:val="right" w:pos="2127"/>
          <w:tab w:val="right" w:pos="2835"/>
          <w:tab w:val="right" w:pos="3544"/>
          <w:tab w:val="right" w:pos="4253"/>
          <w:tab w:val="right" w:pos="4962"/>
          <w:tab w:val="right" w:pos="5670"/>
        </w:tabs>
        <w:jc w:val="left"/>
      </w:pPr>
      <w:r w:rsidRPr="00237A2C">
        <w:t>______________________________________________________________</w:t>
      </w:r>
    </w:p>
    <w:p w:rsidR="00AE50BA" w:rsidRPr="00237A2C" w:rsidRDefault="00AE50BA">
      <w:pPr>
        <w:tabs>
          <w:tab w:val="right" w:pos="1418"/>
          <w:tab w:val="right" w:pos="2127"/>
          <w:tab w:val="right" w:pos="2835"/>
          <w:tab w:val="right" w:pos="3544"/>
          <w:tab w:val="right" w:pos="4253"/>
          <w:tab w:val="right" w:pos="4962"/>
          <w:tab w:val="right" w:pos="5670"/>
        </w:tabs>
        <w:spacing w:before="240"/>
        <w:jc w:val="left"/>
      </w:pPr>
      <w:r w:rsidRPr="00237A2C">
        <w:t>1996/97:1</w:t>
      </w:r>
      <w:r w:rsidRPr="00237A2C">
        <w:tab/>
      </w:r>
      <w:r w:rsidRPr="00237A2C">
        <w:rPr>
          <w:b/>
        </w:rPr>
        <w:t>32</w:t>
      </w:r>
      <w:r w:rsidRPr="00237A2C">
        <w:tab/>
        <w:t>(32)</w:t>
      </w:r>
      <w:r w:rsidRPr="00237A2C">
        <w:tab/>
        <w:t>(32)</w:t>
      </w:r>
    </w:p>
    <w:p w:rsidR="00AE50BA" w:rsidRPr="00237A2C" w:rsidRDefault="00AE50BA">
      <w:pPr>
        <w:tabs>
          <w:tab w:val="right" w:pos="1418"/>
          <w:tab w:val="right" w:pos="2127"/>
          <w:tab w:val="right" w:pos="2835"/>
          <w:tab w:val="right" w:pos="3544"/>
          <w:tab w:val="right" w:pos="4253"/>
          <w:tab w:val="right" w:pos="4962"/>
          <w:tab w:val="right" w:pos="5670"/>
        </w:tabs>
        <w:jc w:val="left"/>
      </w:pPr>
      <w:r w:rsidRPr="00237A2C">
        <w:t>1997/98:1</w:t>
      </w:r>
      <w:r w:rsidRPr="00237A2C">
        <w:tab/>
      </w:r>
      <w:r w:rsidRPr="00237A2C">
        <w:tab/>
      </w:r>
      <w:r w:rsidRPr="00237A2C">
        <w:rPr>
          <w:b/>
        </w:rPr>
        <w:t>30</w:t>
      </w:r>
      <w:r w:rsidRPr="00237A2C">
        <w:tab/>
        <w:t>(30)</w:t>
      </w:r>
      <w:r w:rsidRPr="00237A2C">
        <w:tab/>
        <w:t>(30)</w:t>
      </w:r>
    </w:p>
    <w:p w:rsidR="00AE50BA" w:rsidRPr="00237A2C" w:rsidRDefault="00AE50BA">
      <w:pPr>
        <w:tabs>
          <w:tab w:val="right" w:pos="1418"/>
          <w:tab w:val="right" w:pos="2127"/>
          <w:tab w:val="right" w:pos="2835"/>
          <w:tab w:val="right" w:pos="3544"/>
          <w:tab w:val="right" w:pos="4253"/>
          <w:tab w:val="right" w:pos="4962"/>
          <w:tab w:val="right" w:pos="5670"/>
        </w:tabs>
        <w:jc w:val="left"/>
      </w:pPr>
      <w:r w:rsidRPr="00237A2C">
        <w:t>1998/99:1</w:t>
      </w:r>
      <w:r w:rsidRPr="00237A2C">
        <w:tab/>
      </w:r>
      <w:r w:rsidRPr="00237A2C">
        <w:tab/>
      </w:r>
      <w:r w:rsidRPr="00237A2C">
        <w:tab/>
      </w:r>
      <w:r w:rsidRPr="00237A2C">
        <w:rPr>
          <w:b/>
        </w:rPr>
        <w:t>24</w:t>
      </w:r>
      <w:r w:rsidRPr="00237A2C">
        <w:tab/>
        <w:t>(26)</w:t>
      </w:r>
      <w:r w:rsidRPr="00237A2C">
        <w:tab/>
        <w:t>(26)</w:t>
      </w:r>
    </w:p>
    <w:p w:rsidR="00AE50BA" w:rsidRPr="00237A2C" w:rsidRDefault="00AE50BA">
      <w:pPr>
        <w:tabs>
          <w:tab w:val="right" w:pos="1418"/>
          <w:tab w:val="right" w:pos="2127"/>
          <w:tab w:val="right" w:pos="2835"/>
          <w:tab w:val="right" w:pos="3544"/>
          <w:tab w:val="right" w:pos="4253"/>
          <w:tab w:val="right" w:pos="4962"/>
          <w:tab w:val="right" w:pos="5670"/>
        </w:tabs>
        <w:jc w:val="left"/>
      </w:pPr>
      <w:r w:rsidRPr="00237A2C">
        <w:t>1999/2000:1</w:t>
      </w:r>
      <w:r w:rsidRPr="00237A2C">
        <w:tab/>
      </w:r>
      <w:r w:rsidRPr="00237A2C">
        <w:tab/>
      </w:r>
      <w:r w:rsidRPr="00237A2C">
        <w:tab/>
      </w:r>
      <w:r w:rsidRPr="00237A2C">
        <w:tab/>
      </w:r>
      <w:r w:rsidRPr="00237A2C">
        <w:rPr>
          <w:b/>
        </w:rPr>
        <w:t>18</w:t>
      </w:r>
      <w:r w:rsidRPr="00237A2C">
        <w:tab/>
        <w:t>(19)</w:t>
      </w:r>
      <w:r w:rsidRPr="00237A2C">
        <w:tab/>
        <w:t>(17)</w:t>
      </w:r>
    </w:p>
    <w:p w:rsidR="00AE50BA" w:rsidRPr="00237A2C" w:rsidRDefault="00AE50BA">
      <w:pPr>
        <w:tabs>
          <w:tab w:val="right" w:pos="1418"/>
          <w:tab w:val="right" w:pos="2127"/>
          <w:tab w:val="right" w:pos="2835"/>
          <w:tab w:val="right" w:pos="3544"/>
          <w:tab w:val="right" w:pos="4253"/>
          <w:tab w:val="right" w:pos="4962"/>
          <w:tab w:val="right" w:pos="5670"/>
        </w:tabs>
        <w:spacing w:before="240"/>
        <w:jc w:val="left"/>
        <w:rPr>
          <w:b/>
        </w:rPr>
      </w:pPr>
      <w:r w:rsidRPr="00237A2C">
        <w:t>S:a anslag</w:t>
      </w:r>
      <w:r w:rsidRPr="00237A2C">
        <w:tab/>
      </w:r>
      <w:r w:rsidRPr="00237A2C">
        <w:rPr>
          <w:b/>
        </w:rPr>
        <w:t>32</w:t>
      </w:r>
      <w:r w:rsidRPr="00237A2C">
        <w:rPr>
          <w:b/>
        </w:rPr>
        <w:tab/>
        <w:t>30</w:t>
      </w:r>
      <w:r w:rsidRPr="00237A2C">
        <w:rPr>
          <w:b/>
        </w:rPr>
        <w:tab/>
        <w:t>24</w:t>
      </w:r>
      <w:r w:rsidRPr="00237A2C">
        <w:rPr>
          <w:b/>
        </w:rPr>
        <w:tab/>
        <w:t>18</w:t>
      </w:r>
      <w:r w:rsidRPr="00237A2C">
        <w:tab/>
        <w:t>(19)</w:t>
      </w:r>
      <w:r w:rsidRPr="00237A2C">
        <w:tab/>
        <w:t>(17)</w:t>
      </w:r>
      <w:r w:rsidRPr="00237A2C">
        <w:tab/>
      </w:r>
      <w:r w:rsidRPr="00237A2C">
        <w:rPr>
          <w:b/>
        </w:rPr>
        <w:t>104</w:t>
      </w:r>
    </w:p>
    <w:p w:rsidR="00AE50BA" w:rsidRPr="00237A2C" w:rsidRDefault="00AE50BA">
      <w:pPr>
        <w:pStyle w:val="Normaltindrag"/>
      </w:pPr>
    </w:p>
    <w:p w:rsidR="00AE50BA" w:rsidRPr="00237A2C" w:rsidRDefault="00AE50BA">
      <w:pPr>
        <w:jc w:val="left"/>
        <w:rPr>
          <w:i/>
        </w:rPr>
      </w:pPr>
      <w:r w:rsidRPr="00237A2C">
        <w:rPr>
          <w:i/>
        </w:rPr>
        <w:t>Genomförandefrågor</w:t>
      </w:r>
    </w:p>
    <w:p w:rsidR="00AE50BA" w:rsidRPr="00237A2C" w:rsidRDefault="00AE50BA">
      <w:r w:rsidRPr="00237A2C">
        <w:t xml:space="preserve">Av regleringsbreven för åren 1997-2000 framgår att anslaget disponeras av Regeringskansliet. För år 1998 anges särskild att RRV får utnyttja högst 3 miljoner kronor. För år 2000 framgår att anslaget bl.a. kan användas för utvecklingsinsatser för hela Regeringskansliet inom området budget- och </w:t>
      </w:r>
    </w:p>
    <w:p w:rsidR="00AE50BA" w:rsidRPr="00237A2C" w:rsidRDefault="00AE50BA">
      <w:r w:rsidRPr="00237A2C">
        <w:br w:type="page"/>
        <w:t>verksamhetsutveckling. Dessutom har anslaget detta år fördelats med 5,1 miljoner kronor på Finansdepartementet (anslagsposten 1) och 12,5 miljoner kronor på Justitiedepartementet (anslagsposten 2).</w:t>
      </w:r>
    </w:p>
    <w:p w:rsidR="00AE50BA" w:rsidRPr="00237A2C" w:rsidRDefault="00AE50BA">
      <w:pPr>
        <w:rPr>
          <w:i/>
        </w:rPr>
      </w:pPr>
      <w:r w:rsidRPr="00237A2C">
        <w:rPr>
          <w:i/>
        </w:rPr>
        <w:t>Uppföljning och utvärdering</w:t>
      </w:r>
    </w:p>
    <w:p w:rsidR="00AE50BA" w:rsidRPr="00237A2C" w:rsidRDefault="00AE50BA">
      <w:r w:rsidRPr="00237A2C">
        <w:t>I budgetpropositionen för år 1998 anför regeringen att de beräknade vinste</w:t>
      </w:r>
      <w:r w:rsidRPr="00237A2C">
        <w:t>r</w:t>
      </w:r>
      <w:r w:rsidRPr="00237A2C">
        <w:t>na av VESTA-projektet är av kvalitativ art, bl.a. bättre riksdags-, regerings- och tjänstemannabeslut tack vare ett bättre beslutsunderlag. Den monetära avkastningen av bättre beslut, anges det, är ytterst svår att uppskatta men den förbättrade resultatstyrning som projektet skapar tekniska förutsättningar för bör på sikt kunna ge b</w:t>
      </w:r>
      <w:r w:rsidRPr="00237A2C">
        <w:t>e</w:t>
      </w:r>
      <w:r w:rsidRPr="00237A2C">
        <w:t>tydande effektivitetsvinster.</w:t>
      </w:r>
    </w:p>
    <w:p w:rsidR="00AE50BA" w:rsidRPr="00237A2C" w:rsidRDefault="00AE50BA">
      <w:pPr>
        <w:rPr>
          <w:i/>
        </w:rPr>
      </w:pPr>
      <w:r w:rsidRPr="00237A2C">
        <w:rPr>
          <w:i/>
        </w:rPr>
        <w:t>Resultatrapportering till riksdagen</w:t>
      </w:r>
    </w:p>
    <w:p w:rsidR="00AE50BA" w:rsidRPr="00237A2C" w:rsidRDefault="00AE50BA">
      <w:r w:rsidRPr="00237A2C">
        <w:t>I budgetpropositionen för år 1999 anmäler regeringen under rubriken Resu</w:t>
      </w:r>
      <w:r w:rsidRPr="00237A2C">
        <w:t>l</w:t>
      </w:r>
      <w:r w:rsidRPr="00237A2C">
        <w:t>tatinformation att anslaget använts för ett antal olika insatser som t.ex. analys av behovet av koncerninformation, chefsutveckling, kompetensutveckling inom Regeringskansliet, förbättrad resultatstyrning av myndigheterna samt myndigheternas omställning av informationssystem inför år 2000. Av red</w:t>
      </w:r>
      <w:r w:rsidRPr="00237A2C">
        <w:t>o</w:t>
      </w:r>
      <w:r w:rsidRPr="00237A2C">
        <w:t>visningen framgår bl.a. att regeringen bedömer att kunskaperna inom Reg</w:t>
      </w:r>
      <w:r w:rsidRPr="00237A2C">
        <w:t>e</w:t>
      </w:r>
      <w:r w:rsidRPr="00237A2C">
        <w:t>ringskansliet avseende den reformerade budgetprocessen har ökat men att fortlöpande insatser behövs. Samma bedömning i denna senare fråga gör</w:t>
      </w:r>
      <w:r w:rsidRPr="00237A2C">
        <w:t xml:space="preserve"> regeringen i påföljande budgetproposition.</w:t>
      </w:r>
    </w:p>
    <w:p w:rsidR="00AE50BA" w:rsidRPr="00237A2C" w:rsidRDefault="00AE50BA">
      <w:pPr>
        <w:pStyle w:val="Normaltindrag"/>
      </w:pPr>
      <w:r w:rsidRPr="00237A2C">
        <w:t>I budgetpropositionen för år 2000 rapporterar regeringen även om andra insatser som finansierats via anslaget, bl.a. inom ramen för VESTA-projektet. Det gäller inte minst inom det systemtekniska området. Även den s.k. tvåårsöversynen, som avser en översyn av mål och målstrukturer inom samtliga utgiftsområden, har finansierats på detta sätt. Förutom till dessa två projekt används anslaget enligt regeringens redovisning till chefsutveckling, utbildning av styrelsele</w:t>
      </w:r>
      <w:r w:rsidRPr="00237A2C">
        <w:t>damöter samt till ett uppdrag till SCB att ta fram underlag avseende förmögenhetsfördelningen samt den offentliga konsu</w:t>
      </w:r>
      <w:r w:rsidRPr="00237A2C">
        <w:t>m</w:t>
      </w:r>
      <w:r w:rsidRPr="00237A2C">
        <w:t>tionen.</w:t>
      </w:r>
    </w:p>
    <w:p w:rsidR="00AE50BA" w:rsidRPr="00237A2C" w:rsidRDefault="00AE50BA">
      <w:pPr>
        <w:pStyle w:val="Normaltindrag"/>
      </w:pPr>
      <w:r w:rsidRPr="00237A2C">
        <w:t>I budgetpropositionen för år 2001 anger regeringen att ett tretiotal utvec</w:t>
      </w:r>
      <w:r w:rsidRPr="00237A2C">
        <w:t>k</w:t>
      </w:r>
      <w:r w:rsidRPr="00237A2C">
        <w:t>lingsinsatser pågår avseende ekonomisk styrning, prognosmetoder, adminis</w:t>
      </w:r>
      <w:r w:rsidRPr="00237A2C">
        <w:t>t</w:t>
      </w:r>
      <w:r w:rsidRPr="00237A2C">
        <w:t>rativa system, kompetensutveckling, chefsprogram för myndigheternas le</w:t>
      </w:r>
      <w:r w:rsidRPr="00237A2C">
        <w:t>d</w:t>
      </w:r>
      <w:r w:rsidRPr="00237A2C">
        <w:t>ning samt Regeringskansliets interna förändrings- och förnyelsearbete. Fyra centrala insatser under perioden 1999</w:t>
      </w:r>
      <w:r w:rsidRPr="00237A2C">
        <w:sym w:font="Symbol" w:char="F02D"/>
      </w:r>
      <w:r w:rsidRPr="00237A2C">
        <w:t>2001 är det s.k. VESTA-projektet, den s.k. tvåårsöversynen, utvärderingen av budgetprocessen och genomförandet av det förvaltningspolitiska han</w:t>
      </w:r>
      <w:r w:rsidRPr="00237A2C">
        <w:t>d</w:t>
      </w:r>
      <w:r w:rsidRPr="00237A2C">
        <w:t>lingsprogrammet.</w:t>
      </w:r>
    </w:p>
    <w:p w:rsidR="00AE50BA" w:rsidRPr="00237A2C" w:rsidRDefault="00AE50BA">
      <w:pPr>
        <w:pStyle w:val="Rubrik3"/>
      </w:pPr>
      <w:bookmarkStart w:id="237" w:name="_Toc509125613"/>
      <w:bookmarkStart w:id="238" w:name="_Toc509738045"/>
      <w:bookmarkStart w:id="239" w:name="_Toc516991665"/>
      <w:r w:rsidRPr="00237A2C">
        <w:t>2.10 Kontrollfunktionen i staten</w:t>
      </w:r>
      <w:bookmarkEnd w:id="237"/>
      <w:bookmarkEnd w:id="238"/>
      <w:bookmarkEnd w:id="239"/>
    </w:p>
    <w:p w:rsidR="00AE50BA" w:rsidRPr="00237A2C" w:rsidRDefault="00AE50BA">
      <w:pPr>
        <w:rPr>
          <w:i/>
        </w:rPr>
      </w:pPr>
      <w:r w:rsidRPr="00237A2C">
        <w:rPr>
          <w:i/>
        </w:rPr>
        <w:t>Bakgrund, motiv och mål</w:t>
      </w:r>
    </w:p>
    <w:p w:rsidR="00AE50BA" w:rsidRPr="00237A2C" w:rsidRDefault="00AE50BA">
      <w:r w:rsidRPr="00237A2C">
        <w:t>Regeringen angav våren 1996 i den ekonomiska vårpropositionen (prop. 1995/96:150) att förstärkningar av kontrollfunktionen i staten bedömdes nödvändiga. Regeringen anmälde samtidigt att den avsåg att återkomma med förslag om att särskilda resurser på totalt 345 miljoner kronor skulle avsättas under en treårsperiod för att möjliggöra en sådan förstärkning.</w:t>
      </w:r>
    </w:p>
    <w:p w:rsidR="00AE50BA" w:rsidRPr="00237A2C" w:rsidRDefault="00AE50BA">
      <w:pPr>
        <w:pStyle w:val="Normaltindrag"/>
      </w:pPr>
      <w:r w:rsidRPr="00237A2C">
        <w:t>I budgetpropositionen för år 1997 (prop. 1996/97:1) framhålls att insatse</w:t>
      </w:r>
      <w:r w:rsidRPr="00237A2C">
        <w:t>r</w:t>
      </w:r>
      <w:r w:rsidRPr="00237A2C">
        <w:t>na inom kontrollfunktionen är ett av regeringens prioriterade områden de efterföljande åren. Behovet av effektivare kontroll gäller inte minst myndi</w:t>
      </w:r>
      <w:r w:rsidRPr="00237A2C">
        <w:t>g</w:t>
      </w:r>
      <w:r w:rsidRPr="00237A2C">
        <w:t xml:space="preserve">hetsområden som hanterar stora medelsflöden. </w:t>
      </w:r>
    </w:p>
    <w:p w:rsidR="00AE50BA" w:rsidRPr="00237A2C" w:rsidRDefault="00AE50BA">
      <w:pPr>
        <w:rPr>
          <w:i/>
        </w:rPr>
      </w:pPr>
      <w:r w:rsidRPr="00237A2C">
        <w:rPr>
          <w:i/>
        </w:rPr>
        <w:t>Anslagen</w:t>
      </w:r>
    </w:p>
    <w:p w:rsidR="00AE50BA" w:rsidRPr="00237A2C" w:rsidRDefault="00AE50BA">
      <w:r w:rsidRPr="00237A2C">
        <w:t xml:space="preserve">Regeringen föreslog mot denna bakgrund i budgetpropositionen för år 1997 att 100 miljoner kronor skulle avsättas för ändamålet på ett nytt anslag. I påföljande års budgetförslag (prop. 1997/98:1) föreslogs på motsvarande sätt att 120 miljoner kronor skulle anvisas av riksdagen för att stärka kontrollen av medelsförvaltningen i staten. </w:t>
      </w:r>
    </w:p>
    <w:p w:rsidR="00AE50BA" w:rsidRPr="00237A2C" w:rsidRDefault="00AE50BA">
      <w:pPr>
        <w:pStyle w:val="Normaltindrag"/>
      </w:pPr>
      <w:r w:rsidRPr="00237A2C">
        <w:t>I syfte att fullfölja den treåriga satsningen på kontrollfunktionen föreslogs därefter  i budgetpropositionen för år 1999 att 85 miljoner kronor skulle anslås i stället för tidigare beräknade 125 miljoner. Sänkningen motiverades med att tidigare års anslag inte utnyttjats fullt ut och att 85 miljoner kronor var tillräckligt för att kunna finansiera de projekt som uppfyllde regeringens krav på inrik</w:t>
      </w:r>
      <w:r w:rsidRPr="00237A2C">
        <w:t>t</w:t>
      </w:r>
      <w:r w:rsidRPr="00237A2C">
        <w:t>ning och innehåll.</w:t>
      </w:r>
    </w:p>
    <w:p w:rsidR="00AE50BA" w:rsidRPr="00237A2C" w:rsidRDefault="00AE50BA">
      <w:pPr>
        <w:pStyle w:val="Normaltindrag"/>
        <w:spacing w:line="240" w:lineRule="auto"/>
      </w:pPr>
      <w:r w:rsidRPr="00237A2C">
        <w:t>Beslutade och beräknade anslag under den aktuella perioden 1997</w:t>
      </w:r>
      <w:r w:rsidRPr="00237A2C">
        <w:sym w:font="Symbol" w:char="F02D"/>
      </w:r>
      <w:r w:rsidRPr="00237A2C">
        <w:t>1999 framgår av nedanstående tabell. De av riksdagen anvisade anslagen uppgick till totalt 305 miljoner kronor.</w:t>
      </w:r>
    </w:p>
    <w:p w:rsidR="00AE50BA" w:rsidRPr="00237A2C" w:rsidRDefault="00AE50BA">
      <w:pPr>
        <w:spacing w:before="240" w:line="240" w:lineRule="auto"/>
        <w:rPr>
          <w:b/>
        </w:rPr>
      </w:pPr>
      <w:r w:rsidRPr="00237A2C">
        <w:rPr>
          <w:b/>
        </w:rPr>
        <w:t>Anslag till Kontrollfunktionen i staten</w:t>
      </w:r>
    </w:p>
    <w:p w:rsidR="00AE50BA" w:rsidRPr="00237A2C" w:rsidRDefault="00AE50BA">
      <w:r w:rsidRPr="00237A2C">
        <w:t>Miljoner kronor (Beräknade anslag inom parentes)</w:t>
      </w:r>
    </w:p>
    <w:p w:rsidR="00AE50BA" w:rsidRPr="00237A2C" w:rsidRDefault="00AE50BA">
      <w:pPr>
        <w:pBdr>
          <w:top w:val="single" w:sz="6" w:space="1" w:color="auto"/>
          <w:bottom w:val="single" w:sz="6" w:space="1" w:color="auto"/>
        </w:pBdr>
        <w:tabs>
          <w:tab w:val="right" w:pos="1701"/>
          <w:tab w:val="right" w:pos="2835"/>
          <w:tab w:val="right" w:pos="3969"/>
          <w:tab w:val="right" w:pos="5529"/>
        </w:tabs>
        <w:jc w:val="left"/>
      </w:pPr>
      <w:r w:rsidRPr="00237A2C">
        <w:t>Prop.</w:t>
      </w:r>
      <w:r w:rsidRPr="00237A2C">
        <w:tab/>
        <w:t>1997</w:t>
      </w:r>
      <w:r w:rsidRPr="00237A2C">
        <w:tab/>
        <w:t>1998</w:t>
      </w:r>
      <w:r w:rsidRPr="00237A2C">
        <w:tab/>
        <w:t>1999</w:t>
      </w:r>
      <w:r w:rsidRPr="00237A2C">
        <w:tab/>
        <w:t>Totalt</w:t>
      </w:r>
    </w:p>
    <w:p w:rsidR="00AE50BA" w:rsidRPr="00237A2C" w:rsidRDefault="00AE50BA">
      <w:pPr>
        <w:tabs>
          <w:tab w:val="right" w:pos="1701"/>
          <w:tab w:val="right" w:pos="2835"/>
          <w:tab w:val="right" w:pos="3969"/>
          <w:tab w:val="right" w:pos="5529"/>
        </w:tabs>
        <w:spacing w:before="240"/>
        <w:jc w:val="left"/>
      </w:pPr>
      <w:r w:rsidRPr="00237A2C">
        <w:t>1996/97:1</w:t>
      </w:r>
      <w:r w:rsidRPr="00237A2C">
        <w:tab/>
      </w:r>
      <w:r w:rsidRPr="00237A2C">
        <w:rPr>
          <w:b/>
        </w:rPr>
        <w:t>100</w:t>
      </w:r>
      <w:r w:rsidRPr="00237A2C">
        <w:tab/>
        <w:t>(120)</w:t>
      </w:r>
      <w:r w:rsidRPr="00237A2C">
        <w:tab/>
        <w:t>(125)</w:t>
      </w:r>
    </w:p>
    <w:p w:rsidR="00AE50BA" w:rsidRPr="00237A2C" w:rsidRDefault="00AE50BA">
      <w:pPr>
        <w:tabs>
          <w:tab w:val="right" w:pos="1701"/>
          <w:tab w:val="right" w:pos="2835"/>
          <w:tab w:val="right" w:pos="3969"/>
          <w:tab w:val="right" w:pos="5529"/>
        </w:tabs>
        <w:jc w:val="left"/>
      </w:pPr>
      <w:r w:rsidRPr="00237A2C">
        <w:t>1997/98:1</w:t>
      </w:r>
      <w:r w:rsidRPr="00237A2C">
        <w:tab/>
      </w:r>
      <w:r w:rsidRPr="00237A2C">
        <w:tab/>
      </w:r>
      <w:r w:rsidRPr="00237A2C">
        <w:rPr>
          <w:b/>
        </w:rPr>
        <w:t>120</w:t>
      </w:r>
      <w:r w:rsidRPr="00237A2C">
        <w:tab/>
        <w:t>(125)</w:t>
      </w:r>
    </w:p>
    <w:p w:rsidR="00AE50BA" w:rsidRPr="00237A2C" w:rsidRDefault="00AE50BA">
      <w:pPr>
        <w:tabs>
          <w:tab w:val="right" w:pos="1701"/>
          <w:tab w:val="right" w:pos="2835"/>
          <w:tab w:val="right" w:pos="3969"/>
          <w:tab w:val="right" w:pos="5529"/>
        </w:tabs>
        <w:jc w:val="left"/>
        <w:rPr>
          <w:b/>
        </w:rPr>
      </w:pPr>
      <w:r w:rsidRPr="00237A2C">
        <w:t>1998/99:1</w:t>
      </w:r>
      <w:r w:rsidRPr="00237A2C">
        <w:tab/>
      </w:r>
      <w:r w:rsidRPr="00237A2C">
        <w:tab/>
      </w:r>
      <w:r w:rsidRPr="00237A2C">
        <w:tab/>
      </w:r>
      <w:r w:rsidRPr="00237A2C">
        <w:rPr>
          <w:b/>
        </w:rPr>
        <w:t>85</w:t>
      </w:r>
    </w:p>
    <w:p w:rsidR="00AE50BA" w:rsidRPr="00237A2C" w:rsidRDefault="00AE50BA">
      <w:pPr>
        <w:tabs>
          <w:tab w:val="right" w:pos="1701"/>
          <w:tab w:val="right" w:pos="2835"/>
          <w:tab w:val="right" w:pos="3969"/>
          <w:tab w:val="right" w:pos="5529"/>
        </w:tabs>
        <w:spacing w:before="240"/>
        <w:jc w:val="left"/>
        <w:rPr>
          <w:b/>
        </w:rPr>
      </w:pPr>
      <w:r w:rsidRPr="00237A2C">
        <w:t>S:a anslag</w:t>
      </w:r>
      <w:r w:rsidRPr="00237A2C">
        <w:tab/>
      </w:r>
      <w:r w:rsidRPr="00237A2C">
        <w:rPr>
          <w:b/>
        </w:rPr>
        <w:t>100</w:t>
      </w:r>
      <w:r w:rsidRPr="00237A2C">
        <w:rPr>
          <w:b/>
        </w:rPr>
        <w:tab/>
        <w:t>120</w:t>
      </w:r>
      <w:r w:rsidRPr="00237A2C">
        <w:rPr>
          <w:b/>
        </w:rPr>
        <w:tab/>
        <w:t>85</w:t>
      </w:r>
      <w:r w:rsidRPr="00237A2C">
        <w:rPr>
          <w:b/>
        </w:rPr>
        <w:tab/>
        <w:t>305</w:t>
      </w:r>
    </w:p>
    <w:p w:rsidR="00AE50BA" w:rsidRPr="00237A2C" w:rsidRDefault="00AE50BA">
      <w:pPr>
        <w:pStyle w:val="Normaltindrag"/>
      </w:pPr>
    </w:p>
    <w:p w:rsidR="00AE50BA" w:rsidRPr="00237A2C" w:rsidRDefault="00AE50BA">
      <w:pPr>
        <w:rPr>
          <w:i/>
        </w:rPr>
      </w:pPr>
      <w:r w:rsidRPr="00237A2C">
        <w:rPr>
          <w:i/>
        </w:rPr>
        <w:t>Genomförandefrågor</w:t>
      </w:r>
    </w:p>
    <w:p w:rsidR="00AE50BA" w:rsidRPr="00237A2C" w:rsidRDefault="00AE50BA">
      <w:r w:rsidRPr="00237A2C">
        <w:t>Av budgetpropositionen för år 1997 framgår att regeringens insatser för att stärka kontrollfunktionen i staten skall hållas samman av en arbetsgrupp inom Finansdepartementet. I samband därmed anges i propositionen också vissa riktlinjer för arbetet, t.ex. att insatser som gäller omfattande belopp och stora brister skall prioriteras. Därutöver betonas att de åtgärder som initieras skall leda fram till förslag om konkreta ändringar i regelverk, organisation etc. Regeringen understryker att det är berörda dep</w:t>
      </w:r>
      <w:r w:rsidRPr="00237A2C">
        <w:t>artement och myndigheter som är ansvariga för att de statliga medlen inom deras områden hanteras på ett korrekt och effektivt sätt. De ansvarar även för de projekt och verkstä</w:t>
      </w:r>
      <w:r w:rsidRPr="00237A2C">
        <w:t>l</w:t>
      </w:r>
      <w:r w:rsidRPr="00237A2C">
        <w:t>lande av de åtgärder som regeringen beslutar. De särskilt anvisade kontrol</w:t>
      </w:r>
      <w:r w:rsidRPr="00237A2C">
        <w:t>l</w:t>
      </w:r>
      <w:r w:rsidRPr="00237A2C">
        <w:t>resurserna skall användas så att resultat påskyndas.</w:t>
      </w:r>
    </w:p>
    <w:p w:rsidR="00AE50BA" w:rsidRPr="00237A2C" w:rsidRDefault="00AE50BA">
      <w:pPr>
        <w:pStyle w:val="Normaltindrag"/>
      </w:pPr>
      <w:r w:rsidRPr="00237A2C">
        <w:br w:type="page"/>
        <w:t>I regleringsbrevet för år 1997 anges att anslaget disponeras av regeringen och där preciseras också de villkor som skall gälla för olika projekt som finansieras från anslaget. Där framgår vidare att sektorsö</w:t>
      </w:r>
      <w:r w:rsidRPr="00237A2C">
        <w:t>vergripande insatser bör prioriteras för att uppnå generalitet och bredare avkastning. En särskild projektgrupp inom Finansdepartementets budgetavdelning har enligt regl</w:t>
      </w:r>
      <w:r w:rsidRPr="00237A2C">
        <w:t>e</w:t>
      </w:r>
      <w:r w:rsidRPr="00237A2C">
        <w:t>ringsbrevet till uppdrag att närmare överväga hur medlen skall fördelas ut</w:t>
      </w:r>
      <w:r w:rsidRPr="00237A2C">
        <w:t>i</w:t>
      </w:r>
      <w:r w:rsidRPr="00237A2C">
        <w:t>från de kriterier som anges i regleringsbrevet. Dessa kriterier har utarbetats i samarbete med en referensgrupp med företrädare för andra departement. Motsvarande villkor återkommer även i regleringsbreven för åren 1998 och 1999.</w:t>
      </w:r>
    </w:p>
    <w:p w:rsidR="00AE50BA" w:rsidRPr="00237A2C" w:rsidRDefault="00AE50BA">
      <w:pPr>
        <w:pStyle w:val="Normaltindrag"/>
      </w:pPr>
      <w:r w:rsidRPr="00237A2C">
        <w:t>Det kan konstateras att de riktlinjer</w:t>
      </w:r>
      <w:r w:rsidRPr="00237A2C">
        <w:t xml:space="preserve"> och kriterier som beskrivs i de olika budgetdokumenten inte har formaliserats i någon regeringsförfattning samt att beredningen inför regeringsbesluten helt har skett inom departementso</w:t>
      </w:r>
      <w:r w:rsidRPr="00237A2C">
        <w:t>r</w:t>
      </w:r>
      <w:r w:rsidRPr="00237A2C">
        <w:t xml:space="preserve">ganisationen. </w:t>
      </w:r>
    </w:p>
    <w:p w:rsidR="00AE50BA" w:rsidRPr="00237A2C" w:rsidRDefault="00AE50BA">
      <w:pPr>
        <w:rPr>
          <w:i/>
        </w:rPr>
      </w:pPr>
      <w:r w:rsidRPr="00237A2C">
        <w:rPr>
          <w:i/>
        </w:rPr>
        <w:t>Uppföljning och utvärdering</w:t>
      </w:r>
    </w:p>
    <w:p w:rsidR="00AE50BA" w:rsidRPr="00237A2C" w:rsidRDefault="00AE50BA">
      <w:r w:rsidRPr="00237A2C">
        <w:t>I budgetpropositionen för år 2000, dvs. efter den period då anslaget senast fanns uppfört på statsbudgeten, rapporterar regeringen till riksdagen om de projekt som fått stöd samt om vissa uppföljnings- och utvärderingsfrågor. Regeringen understryker därvid att det är viktigt att projekten följs upp efter en tid för att bevaka att nedlagt utvecklingsarbete inplementeras och att ku</w:t>
      </w:r>
      <w:r w:rsidRPr="00237A2C">
        <w:t>n</w:t>
      </w:r>
      <w:r w:rsidRPr="00237A2C">
        <w:t>skap tas till vara i myndighetsa</w:t>
      </w:r>
      <w:r w:rsidRPr="00237A2C">
        <w:t>r</w:t>
      </w:r>
      <w:r w:rsidRPr="00237A2C">
        <w:t xml:space="preserve">betet eller i regeringens beredningsarbete. </w:t>
      </w:r>
    </w:p>
    <w:p w:rsidR="00AE50BA" w:rsidRPr="00237A2C" w:rsidRDefault="00AE50BA">
      <w:pPr>
        <w:pStyle w:val="Normaltindrag"/>
      </w:pPr>
      <w:r w:rsidRPr="00237A2C">
        <w:t>Regeringen rapporterar att den därför avsatt medel för utvärdering av e</w:t>
      </w:r>
      <w:r w:rsidRPr="00237A2C">
        <w:t>n</w:t>
      </w:r>
      <w:r w:rsidRPr="00237A2C">
        <w:t>skilda projekt och av verksamheten i sin helhet. Utvärderingen kommer att ske när flertalet projekt är avslutade. Den skall syfta till att följa upp enskilda projekt upp till två år efter deras avslutande för att på så sätt försäkra sig om att deras resultat tas till vara. Dessutom skall, framhålls i propositionen, en självständig utvärdering göras för att få svar på frågan om verksamheten i sin helhet har bedrivits på ett ändamålsenligt sätt. Regeringen anmäler också att den avser att lämna en samlad redo</w:t>
      </w:r>
      <w:r w:rsidRPr="00237A2C">
        <w:t>visning av ver</w:t>
      </w:r>
      <w:r w:rsidRPr="00237A2C">
        <w:t>k</w:t>
      </w:r>
      <w:r w:rsidRPr="00237A2C">
        <w:t>samheten till riksdagen.</w:t>
      </w:r>
    </w:p>
    <w:p w:rsidR="00AE50BA" w:rsidRPr="00237A2C" w:rsidRDefault="00AE50BA">
      <w:pPr>
        <w:rPr>
          <w:i/>
        </w:rPr>
      </w:pPr>
      <w:r w:rsidRPr="00237A2C">
        <w:rPr>
          <w:i/>
        </w:rPr>
        <w:t>Resultatrapportering till riksdagen</w:t>
      </w:r>
    </w:p>
    <w:p w:rsidR="00AE50BA" w:rsidRPr="00237A2C" w:rsidRDefault="00AE50BA">
      <w:r w:rsidRPr="00237A2C">
        <w:t>I budgetpropositionen för år 1998 redovisar regeringen att sammanlagt ett tjugotal projekt beviljats projektbidrag under år 1997 till belopp om totalt drygt 65 miljoner kronor. Enligt regeringen var det ännu för tidigt att redov</w:t>
      </w:r>
      <w:r w:rsidRPr="00237A2C">
        <w:t>i</w:t>
      </w:r>
      <w:r w:rsidRPr="00237A2C">
        <w:t>sa resultat från de olika projektens arbete. Samtidigt aviseras att närmare redovisning av resultaten skall lämnas i påföljande års budgetproposition.</w:t>
      </w:r>
    </w:p>
    <w:p w:rsidR="00AE50BA" w:rsidRPr="00237A2C" w:rsidRDefault="00AE50BA">
      <w:pPr>
        <w:pStyle w:val="Normaltindrag"/>
      </w:pPr>
      <w:r w:rsidRPr="00237A2C">
        <w:t>I förslaget till budget för år 1999 återkom regeringen mot denna bakgrund med en utförligare redovisning. Där framgår bl.a. att under 1997 och 1998 bidrag lämnats till ett fyrtiotal projekt till en total kostnad av drygt 174 mi</w:t>
      </w:r>
      <w:r w:rsidRPr="00237A2C">
        <w:t>l</w:t>
      </w:r>
      <w:r w:rsidRPr="00237A2C">
        <w:t>joner kronor. I anslutning därtill beskrivs också inriktning på ett antal av de större projekt som fått stöd. Regeringen anger också att flertalet projekt är långsiktiga och att det därför är för tidigt att redovisa deras slutgiltiga resu</w:t>
      </w:r>
      <w:r w:rsidRPr="00237A2C">
        <w:t>l</w:t>
      </w:r>
      <w:r w:rsidRPr="00237A2C">
        <w:t>tat. Regeringen anmäler därför att den i samband med kommande års bu</w:t>
      </w:r>
      <w:r w:rsidRPr="00237A2C">
        <w:t>d</w:t>
      </w:r>
      <w:r w:rsidRPr="00237A2C">
        <w:t>getpropositioner avser att närmare redovisa resultaten av de olika projektens arbete.</w:t>
      </w:r>
    </w:p>
    <w:p w:rsidR="00AE50BA" w:rsidRPr="00237A2C" w:rsidRDefault="00AE50BA">
      <w:pPr>
        <w:pStyle w:val="Normaltindrag"/>
      </w:pPr>
      <w:r w:rsidRPr="00237A2C">
        <w:t>Även i budgetförslaget för år 2000 finns, på motsvarande sätt som de två tidigare åren, en sammanställning och beskri</w:t>
      </w:r>
      <w:r w:rsidRPr="00237A2C">
        <w:t>vning av de projekt som fått stöd ur anslaget. Således anmäls att under perioden 1997 till 1999 ett fyrtiotal projekt beviljats bidrag till en total kostnad på drygt 252 miljoner kronor. Det kan konstateras att budgetpropositionen för år 2001 inte innehåller någon återrapportering av resultat som uppnåtts genom insatser som finansierats genom de här aktuella kontrollpengarna.</w:t>
      </w:r>
    </w:p>
    <w:p w:rsidR="00AE50BA" w:rsidRPr="00237A2C" w:rsidRDefault="00AE50BA">
      <w:pPr>
        <w:pStyle w:val="Normaltindrag"/>
        <w:ind w:firstLine="0"/>
      </w:pPr>
    </w:p>
    <w:p w:rsidR="00AE50BA" w:rsidRPr="00237A2C" w:rsidRDefault="00AE50BA">
      <w:pPr>
        <w:pStyle w:val="Normaltindrag"/>
        <w:sectPr w:rsidR="00000000" w:rsidRPr="00237A2C">
          <w:headerReference w:type="default" r:id="rId25"/>
          <w:pgSz w:w="11906" w:h="16838" w:code="9"/>
          <w:pgMar w:top="567" w:right="4876" w:bottom="4508" w:left="1134" w:header="227" w:footer="227" w:gutter="0"/>
          <w:cols w:space="720"/>
        </w:sectPr>
      </w:pPr>
    </w:p>
    <w:p w:rsidR="00AE50BA" w:rsidRPr="00237A2C" w:rsidRDefault="00AE50BA">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3012"/>
        <w:gridCol w:w="1311"/>
        <w:gridCol w:w="1134"/>
        <w:gridCol w:w="992"/>
        <w:gridCol w:w="851"/>
      </w:tblGrid>
      <w:tr w:rsidR="00000000" w:rsidRPr="00237A2C">
        <w:tblPrEx>
          <w:tblCellMar>
            <w:top w:w="0" w:type="dxa"/>
            <w:bottom w:w="0" w:type="dxa"/>
          </w:tblCellMar>
        </w:tblPrEx>
        <w:trPr>
          <w:gridAfter w:val="1"/>
          <w:wAfter w:w="851" w:type="dxa"/>
          <w:cantSplit/>
          <w:trHeight w:val="1911"/>
        </w:trPr>
        <w:tc>
          <w:tcPr>
            <w:tcW w:w="4323" w:type="dxa"/>
            <w:gridSpan w:val="2"/>
            <w:tcBorders>
              <w:bottom w:val="single" w:sz="4" w:space="0" w:color="auto"/>
            </w:tcBorders>
          </w:tcPr>
          <w:p w:rsidR="00AE50BA" w:rsidRPr="00237A2C" w:rsidRDefault="00AE50BA">
            <w:pPr>
              <w:pStyle w:val="HuvudRubrik"/>
            </w:pPr>
          </w:p>
        </w:tc>
        <w:tc>
          <w:tcPr>
            <w:tcW w:w="2126" w:type="dxa"/>
            <w:gridSpan w:val="2"/>
            <w:tcBorders>
              <w:bottom w:val="single" w:sz="6" w:space="0" w:color="auto"/>
            </w:tcBorders>
          </w:tcPr>
          <w:p w:rsidR="00AE50BA" w:rsidRPr="00237A2C" w:rsidRDefault="00AE50BA">
            <w:pPr>
              <w:pStyle w:val="Rubrik1"/>
            </w:pPr>
            <w:bookmarkStart w:id="240" w:name="_Toc509125614"/>
            <w:bookmarkStart w:id="241" w:name="_Toc509738046"/>
            <w:bookmarkStart w:id="242" w:name="_Toc516991666"/>
            <w:r w:rsidRPr="00237A2C">
              <w:t>Bilaga 2</w:t>
            </w:r>
            <w:bookmarkEnd w:id="240"/>
            <w:bookmarkEnd w:id="241"/>
            <w:bookmarkEnd w:id="242"/>
          </w:p>
        </w:tc>
      </w:tr>
      <w:tr w:rsidR="00000000" w:rsidRPr="00237A2C">
        <w:tblPrEx>
          <w:tblCellMar>
            <w:top w:w="0" w:type="dxa"/>
            <w:bottom w:w="0" w:type="dxa"/>
          </w:tblCellMar>
        </w:tblPrEx>
        <w:trPr>
          <w:gridAfter w:val="1"/>
          <w:wAfter w:w="851" w:type="dxa"/>
          <w:cantSplit/>
          <w:trHeight w:hRule="exact" w:val="660"/>
        </w:trPr>
        <w:tc>
          <w:tcPr>
            <w:tcW w:w="3012" w:type="dxa"/>
          </w:tcPr>
          <w:p w:rsidR="00AE50BA" w:rsidRPr="00237A2C" w:rsidRDefault="00AE50BA">
            <w:pPr>
              <w:pStyle w:val="StatusSida1"/>
            </w:pPr>
          </w:p>
        </w:tc>
        <w:tc>
          <w:tcPr>
            <w:tcW w:w="2445" w:type="dxa"/>
            <w:gridSpan w:val="2"/>
          </w:tcPr>
          <w:p w:rsidR="00AE50BA" w:rsidRPr="00237A2C" w:rsidRDefault="00AE50BA">
            <w:pPr>
              <w:pStyle w:val="UtskriftsdatumSida1"/>
              <w:rPr>
                <w:b/>
                <w:sz w:val="28"/>
              </w:rPr>
            </w:pPr>
          </w:p>
        </w:tc>
        <w:tc>
          <w:tcPr>
            <w:tcW w:w="992" w:type="dxa"/>
          </w:tcPr>
          <w:p w:rsidR="00AE50BA" w:rsidRPr="00237A2C" w:rsidRDefault="00AE50BA"/>
        </w:tc>
      </w:tr>
      <w:tr w:rsidR="00000000" w:rsidRPr="00237A2C">
        <w:tblPrEx>
          <w:tblCellMar>
            <w:top w:w="0" w:type="dxa"/>
            <w:bottom w:w="0" w:type="dxa"/>
          </w:tblCellMar>
        </w:tblPrEx>
        <w:trPr>
          <w:gridAfter w:val="1"/>
          <w:wAfter w:w="851" w:type="dxa"/>
          <w:cantSplit/>
        </w:trPr>
        <w:tc>
          <w:tcPr>
            <w:tcW w:w="6449" w:type="dxa"/>
            <w:gridSpan w:val="4"/>
          </w:tcPr>
          <w:p w:rsidR="00AE50BA" w:rsidRPr="00237A2C" w:rsidRDefault="00AE50BA">
            <w:pPr>
              <w:spacing w:before="240"/>
            </w:pPr>
          </w:p>
        </w:tc>
      </w:tr>
      <w:tr w:rsidR="00000000" w:rsidRPr="00237A2C">
        <w:tblPrEx>
          <w:tblCellMar>
            <w:top w:w="0" w:type="dxa"/>
            <w:bottom w:w="0" w:type="dxa"/>
          </w:tblCellMar>
        </w:tblPrEx>
        <w:trPr>
          <w:gridAfter w:val="1"/>
          <w:wAfter w:w="851" w:type="dxa"/>
          <w:cantSplit/>
          <w:trHeight w:val="6000"/>
        </w:trPr>
        <w:tc>
          <w:tcPr>
            <w:tcW w:w="6449" w:type="dxa"/>
            <w:gridSpan w:val="4"/>
          </w:tcPr>
          <w:p w:rsidR="00AE50BA" w:rsidRPr="00237A2C" w:rsidRDefault="00AE50BA">
            <w:pPr>
              <w:pStyle w:val="RubrikFrstaSida"/>
            </w:pPr>
            <w:r w:rsidRPr="00237A2C">
              <w:t>Den svenska förvaltningsmodellen</w:t>
            </w:r>
          </w:p>
          <w:p w:rsidR="00AE50BA" w:rsidRPr="00237A2C" w:rsidRDefault="00AE50BA">
            <w:pPr>
              <w:pStyle w:val="RubrikFrstaSida"/>
              <w:rPr>
                <w:sz w:val="40"/>
              </w:rPr>
            </w:pPr>
            <w:r w:rsidRPr="00237A2C">
              <w:rPr>
                <w:sz w:val="40"/>
              </w:rPr>
              <w:t xml:space="preserve">En forskarrapport av Anders Lindbom, </w:t>
            </w:r>
          </w:p>
          <w:p w:rsidR="00AE50BA" w:rsidRPr="00237A2C" w:rsidRDefault="00AE50BA">
            <w:pPr>
              <w:pStyle w:val="RubrikFrstaSida"/>
              <w:rPr>
                <w:sz w:val="40"/>
              </w:rPr>
            </w:pPr>
            <w:r w:rsidRPr="00237A2C">
              <w:rPr>
                <w:sz w:val="40"/>
              </w:rPr>
              <w:t xml:space="preserve">Helena Wockelberg och </w:t>
            </w:r>
          </w:p>
          <w:p w:rsidR="00AE50BA" w:rsidRPr="00237A2C" w:rsidRDefault="00AE50BA">
            <w:pPr>
              <w:pStyle w:val="RubrikFrstaSida"/>
              <w:rPr>
                <w:sz w:val="40"/>
              </w:rPr>
            </w:pPr>
            <w:r w:rsidRPr="00237A2C">
              <w:rPr>
                <w:sz w:val="40"/>
              </w:rPr>
              <w:t>Liv Hammargren</w:t>
            </w:r>
          </w:p>
          <w:p w:rsidR="00AE50BA" w:rsidRPr="00237A2C" w:rsidRDefault="00AE50BA">
            <w:pPr>
              <w:pStyle w:val="RubrikFrstaSida"/>
            </w:pPr>
          </w:p>
        </w:tc>
      </w:tr>
      <w:tr w:rsidR="00000000" w:rsidRPr="00237A2C">
        <w:tblPrEx>
          <w:tblCellMar>
            <w:top w:w="0" w:type="dxa"/>
            <w:bottom w:w="0" w:type="dxa"/>
          </w:tblCellMar>
        </w:tblPrEx>
        <w:trPr>
          <w:cantSplit/>
          <w:trHeight w:val="480"/>
        </w:trPr>
        <w:tc>
          <w:tcPr>
            <w:tcW w:w="7300" w:type="dxa"/>
            <w:gridSpan w:val="5"/>
          </w:tcPr>
          <w:p w:rsidR="00AE50BA" w:rsidRPr="00237A2C" w:rsidRDefault="00AE50BA">
            <w:pPr>
              <w:spacing w:before="0" w:line="240" w:lineRule="auto"/>
              <w:rPr>
                <w:rFonts w:ascii="GillSans Light" w:hAnsi="GillSans Light"/>
                <w:spacing w:val="10"/>
              </w:rPr>
            </w:pPr>
          </w:p>
        </w:tc>
      </w:tr>
    </w:tbl>
    <w:p w:rsidR="00AE50BA" w:rsidRPr="00237A2C" w:rsidRDefault="00AE50BA"/>
    <w:p w:rsidR="00AE50BA" w:rsidRPr="00237A2C" w:rsidRDefault="00AE50BA">
      <w:pPr>
        <w:pStyle w:val="Rubrik1-Utannumrering"/>
        <w:sectPr w:rsidR="00000000" w:rsidRPr="00237A2C">
          <w:headerReference w:type="default" r:id="rId26"/>
          <w:pgSz w:w="11906" w:h="16838" w:code="9"/>
          <w:pgMar w:top="567" w:right="4876" w:bottom="4508" w:left="1134" w:header="227" w:footer="227" w:gutter="0"/>
          <w:cols w:space="720"/>
        </w:sectPr>
      </w:pPr>
    </w:p>
    <w:p w:rsidR="00AE50BA" w:rsidRPr="00237A2C" w:rsidRDefault="00AE50BA">
      <w:pPr>
        <w:pStyle w:val="Rubrik1-Utannumrering"/>
        <w:sectPr w:rsidR="00000000" w:rsidRPr="00237A2C">
          <w:headerReference w:type="default" r:id="rId27"/>
          <w:pgSz w:w="11906" w:h="16838" w:code="9"/>
          <w:pgMar w:top="567" w:right="4876" w:bottom="4508" w:left="1134" w:header="227" w:footer="227" w:gutter="0"/>
          <w:cols w:space="720"/>
        </w:sectPr>
      </w:pPr>
    </w:p>
    <w:p w:rsidR="00AE50BA" w:rsidRPr="00237A2C" w:rsidRDefault="00AE50BA">
      <w:pPr>
        <w:pStyle w:val="Rubrik1-Utannumrering"/>
      </w:pPr>
      <w:bookmarkStart w:id="243" w:name="_Toc509711225"/>
      <w:bookmarkStart w:id="244" w:name="_Toc509738047"/>
      <w:bookmarkStart w:id="245" w:name="_Toc516991667"/>
      <w:r w:rsidRPr="00237A2C">
        <w:t>Förord</w:t>
      </w:r>
      <w:bookmarkEnd w:id="243"/>
      <w:bookmarkEnd w:id="244"/>
      <w:bookmarkEnd w:id="245"/>
    </w:p>
    <w:p w:rsidR="00AE50BA" w:rsidRPr="00237A2C" w:rsidRDefault="00AE50BA">
      <w:r w:rsidRPr="00237A2C">
        <w:t>Dnr 1999:132(4)</w:t>
      </w:r>
    </w:p>
    <w:p w:rsidR="00AE50BA" w:rsidRPr="00237A2C" w:rsidRDefault="00AE50BA">
      <w:r w:rsidRPr="00237A2C">
        <w:t>Föreliggande rapport har skrivits på uppdrag av Riksdagens revisorer som ett led i en granskning av anslag som står till regeringens disposition. Uppdraget har bestått i att belysa och analysera den s.k. svenska förvaltningsmodellen.</w:t>
      </w:r>
    </w:p>
    <w:p w:rsidR="00AE50BA" w:rsidRPr="00237A2C" w:rsidRDefault="00AE50BA">
      <w:pPr>
        <w:pStyle w:val="Normaltindrag"/>
      </w:pPr>
      <w:r w:rsidRPr="00237A2C">
        <w:t>Arbetet har utförts av fil.dr., Anders Lindbom, projektledare, doktorand Helena Wockelberg och fil.kand. Liv Hammargren, samtliga vid Statsvete</w:t>
      </w:r>
      <w:r w:rsidRPr="00237A2C">
        <w:t>n</w:t>
      </w:r>
      <w:r w:rsidRPr="00237A2C">
        <w:t>skapliga institutionen vid Uppsala universitet. Rapporten överlämnades till revisorerna den 1 december 2000.</w:t>
      </w:r>
    </w:p>
    <w:p w:rsidR="00AE50BA" w:rsidRPr="00237A2C" w:rsidRDefault="00AE50BA">
      <w:pPr>
        <w:pStyle w:val="Normaltindrag"/>
      </w:pPr>
      <w:r w:rsidRPr="00237A2C">
        <w:t>Rapporten består av tre delundersökningar och en sammanfattande disku</w:t>
      </w:r>
      <w:r w:rsidRPr="00237A2C">
        <w:t>s</w:t>
      </w:r>
      <w:r w:rsidRPr="00237A2C">
        <w:t>sion. Helena Wockelberg har genomfört det huvudsakliga arbetet för den första delundersökningen om debatten om den svenska förvaltningsmodellen, Liv Hammargren för den andra om hur modellen enligt forskningen fungerar i praktiken och Anders Lindbom för den tredje som gäller en jämförelse med förhållandena i Danmark och Norge. Författarna svarar gemensamt för ra</w:t>
      </w:r>
      <w:r w:rsidRPr="00237A2C">
        <w:t>p</w:t>
      </w:r>
      <w:r w:rsidRPr="00237A2C">
        <w:t>porten i sin helhet.</w:t>
      </w:r>
    </w:p>
    <w:p w:rsidR="00AE50BA" w:rsidRPr="00237A2C" w:rsidRDefault="00AE50BA">
      <w:pPr>
        <w:pStyle w:val="Rubrik1-Utannumrering"/>
        <w:sectPr w:rsidR="00000000" w:rsidRPr="00237A2C">
          <w:headerReference w:type="default" r:id="rId28"/>
          <w:pgSz w:w="11906" w:h="16838" w:code="9"/>
          <w:pgMar w:top="567" w:right="4876" w:bottom="4508" w:left="1134" w:header="227" w:footer="227" w:gutter="0"/>
          <w:cols w:space="720"/>
        </w:sectPr>
      </w:pPr>
    </w:p>
    <w:p w:rsidR="00AE50BA" w:rsidRPr="00237A2C" w:rsidRDefault="00AE50BA">
      <w:pPr>
        <w:pStyle w:val="Rubrik1-Utannumrering"/>
        <w:sectPr w:rsidR="00000000" w:rsidRPr="00237A2C">
          <w:headerReference w:type="default" r:id="rId29"/>
          <w:pgSz w:w="11906" w:h="16838" w:code="9"/>
          <w:pgMar w:top="567" w:right="4876" w:bottom="4508" w:left="1134" w:header="227" w:footer="227" w:gutter="0"/>
          <w:cols w:space="720"/>
        </w:sectPr>
      </w:pPr>
    </w:p>
    <w:p w:rsidR="00AE50BA" w:rsidRPr="00237A2C" w:rsidRDefault="00AE50BA">
      <w:pPr>
        <w:pStyle w:val="Rubrik1-Utannumrering"/>
      </w:pPr>
      <w:bookmarkStart w:id="246" w:name="_Hlt509126874"/>
      <w:bookmarkStart w:id="247" w:name="_Toc509711227"/>
      <w:bookmarkStart w:id="248" w:name="_Toc509738049"/>
      <w:bookmarkStart w:id="249" w:name="_Toc516991668"/>
      <w:bookmarkEnd w:id="246"/>
      <w:r w:rsidRPr="00237A2C">
        <w:t>Introduktion</w:t>
      </w:r>
      <w:bookmarkEnd w:id="247"/>
      <w:bookmarkEnd w:id="248"/>
      <w:bookmarkEnd w:id="249"/>
    </w:p>
    <w:p w:rsidR="00AE50BA" w:rsidRPr="00237A2C" w:rsidRDefault="00AE50BA">
      <w:r w:rsidRPr="00237A2C">
        <w:t>Det talas i den förvaltningspolitiska debatten ofta om en ”svensk förvalt</w:t>
      </w:r>
      <w:r w:rsidRPr="00237A2C">
        <w:softHyphen/>
        <w:t>nings</w:t>
      </w:r>
      <w:r w:rsidRPr="00237A2C">
        <w:softHyphen/>
        <w:t>modell”. I den här kunskapsbakgrunden, skriven för Riksdagens revis</w:t>
      </w:r>
      <w:r w:rsidRPr="00237A2C">
        <w:t>o</w:t>
      </w:r>
      <w:r w:rsidRPr="00237A2C">
        <w:t>rers gransk</w:t>
      </w:r>
      <w:r w:rsidRPr="00237A2C">
        <w:softHyphen/>
        <w:t>ning av hur styrningen och kontrollen fungerar när regeringen själv fördelar pengar, ska vi försöka reda ut vad begreppet närmare innebär. Vari består denna ”förvaltningsmodell” och i vad mån är den ”svensk”, det vill säga särpräglad vid en internationell jämförelse? Det sammanhang vi arbetar i gör att ett fokus på centralför</w:t>
      </w:r>
      <w:r w:rsidRPr="00237A2C">
        <w:softHyphen/>
        <w:t>valt</w:t>
      </w:r>
      <w:r w:rsidRPr="00237A2C">
        <w:softHyphen/>
        <w:t>ning</w:t>
      </w:r>
      <w:r w:rsidRPr="00237A2C">
        <w:softHyphen/>
        <w:t>en är naturligt. Vi kommer således inte att gå in på förhållandet mellan stat och kommu</w:t>
      </w:r>
      <w:r w:rsidRPr="00237A2C">
        <w:t xml:space="preserve">ner och liknande, utan inrikta oss på att diskutera relationen mellan regering, departement och ämbetsverk. </w:t>
      </w:r>
    </w:p>
    <w:p w:rsidR="00AE50BA" w:rsidRPr="00237A2C" w:rsidRDefault="00AE50BA">
      <w:pPr>
        <w:pStyle w:val="Normaltindrag"/>
      </w:pPr>
      <w:r w:rsidRPr="00237A2C">
        <w:t>Här brukar tudelningen mellan departement och ämbetsverk framhållas. En internationellt sett ganska egenartad dualism råder i Sverige mellan departe</w:t>
      </w:r>
      <w:r w:rsidRPr="00237A2C">
        <w:softHyphen/>
        <w:t>men</w:t>
      </w:r>
      <w:r w:rsidRPr="00237A2C">
        <w:softHyphen/>
        <w:t>ten och ämbetsverken. De svenska ämbetsverken är ”självständiga”. Den juridiska grunden för självständigheten är regeringsformens paragraf 11:7 som stadgar att det är förbjudet för ett statsråd eller regeringen som kollektiv att bestämma hur en förvaltningsmyndighet skall besluta i ett enstaka fall av myndighetsutövning mot enskild eller mot kommun eller vid tillämpning av lag. I de flesta andra länder är sådan politisk styrning av förvaltningen dä</w:t>
      </w:r>
      <w:r w:rsidRPr="00237A2C">
        <w:t>r</w:t>
      </w:r>
      <w:r w:rsidRPr="00237A2C">
        <w:t>emot högst legitim.</w:t>
      </w:r>
    </w:p>
    <w:p w:rsidR="00AE50BA" w:rsidRPr="00237A2C" w:rsidRDefault="00AE50BA">
      <w:pPr>
        <w:pStyle w:val="Normaltindrag"/>
      </w:pPr>
      <w:r w:rsidRPr="00237A2C">
        <w:t>Internationella jämförelser brukar</w:t>
      </w:r>
      <w:r w:rsidRPr="00237A2C">
        <w:t xml:space="preserve"> också framhålla ett till ovan delvis rel</w:t>
      </w:r>
      <w:r w:rsidRPr="00237A2C">
        <w:t>a</w:t>
      </w:r>
      <w:r w:rsidRPr="00237A2C">
        <w:t>terat svenskt särdrag: de svenska departementen är små. De är närmast att betrakta som ett slags stabsorgan för statsrådet. Deras huvudsakliga arbets</w:t>
      </w:r>
      <w:r w:rsidRPr="00237A2C">
        <w:softHyphen/>
        <w:t>upp</w:t>
      </w:r>
      <w:r w:rsidRPr="00237A2C">
        <w:softHyphen/>
        <w:t>gift är att hjälpa honom eller henne att samordna, planera och utforma de viktiga</w:t>
      </w:r>
      <w:r w:rsidRPr="00237A2C">
        <w:softHyphen/>
        <w:t>re riktlinjerna för ett politikområde. Den stora mängden löpande fö</w:t>
      </w:r>
      <w:r w:rsidRPr="00237A2C">
        <w:t>r</w:t>
      </w:r>
      <w:r w:rsidRPr="00237A2C">
        <w:t>valtningsärenden antas hanteras av ämbets</w:t>
      </w:r>
      <w:r w:rsidRPr="00237A2C">
        <w:softHyphen/>
        <w:t>verken. I alla förvaltnings</w:t>
      </w:r>
      <w:r w:rsidRPr="00237A2C">
        <w:softHyphen/>
        <w:t>politi</w:t>
      </w:r>
      <w:r w:rsidRPr="00237A2C">
        <w:softHyphen/>
        <w:t>ska läroböcker lyfts dock fram att eftersom också sådan löpande förvaltning handlar om fö</w:t>
      </w:r>
      <w:r w:rsidRPr="00237A2C">
        <w:t xml:space="preserve">rdelning av värden </w:t>
      </w:r>
      <w:r w:rsidRPr="00237A2C">
        <w:sym w:font="Symbol" w:char="F02D"/>
      </w:r>
      <w:r w:rsidRPr="00237A2C">
        <w:t xml:space="preserve"> något som enligt en välkänd definition är precis vad som karakteriserar ”politik” </w:t>
      </w:r>
      <w:r w:rsidRPr="00237A2C">
        <w:sym w:font="Symbol" w:char="F02D"/>
      </w:r>
      <w:r w:rsidRPr="00237A2C">
        <w:t xml:space="preserve"> så ägnar sig också förvaltningen åt politik. Mindre ofta poängteras att politiska institutioner som till exempel  regeringen ägnar sig åt förvalt</w:t>
      </w:r>
      <w:r w:rsidRPr="00237A2C">
        <w:softHyphen/>
        <w:t>ning. Regering</w:t>
      </w:r>
      <w:r w:rsidRPr="00237A2C">
        <w:softHyphen/>
        <w:t>en fattar beslut i mängder av förvaltningsärenden och det är helt juridiskt korrekt.</w:t>
      </w:r>
    </w:p>
    <w:p w:rsidR="00AE50BA" w:rsidRPr="00237A2C" w:rsidRDefault="00AE50BA">
      <w:pPr>
        <w:pStyle w:val="Normaltindrag"/>
      </w:pPr>
      <w:r w:rsidRPr="00237A2C">
        <w:t>Medan den första karakteristiken handlar om styrningsrelationen mellan statsråd och ämbetsverk handlar den senare om arbetsfördelningen mellan departe</w:t>
      </w:r>
      <w:r w:rsidRPr="00237A2C">
        <w:softHyphen/>
        <w:t xml:space="preserve">ment och ämbetsverk. Den senare är till skillnad från den förra inte närmare reglerad i den svenska författningen. Vi kommer i rapporten att återkomma till dessa två dimensioner av den svenska förvaltningsmodellen. </w:t>
      </w:r>
    </w:p>
    <w:p w:rsidR="00AE50BA" w:rsidRPr="00237A2C" w:rsidRDefault="00AE50BA"/>
    <w:p w:rsidR="00AE50BA" w:rsidRPr="00237A2C" w:rsidRDefault="00AE50BA">
      <w:r w:rsidRPr="00237A2C">
        <w:t>De kommer närmare att undersökas på tre olika sätt</w:t>
      </w:r>
      <w:r w:rsidRPr="00237A2C">
        <w:rPr>
          <w:rStyle w:val="Fotnotsreferens"/>
        </w:rPr>
        <w:footnoteReference w:id="1"/>
      </w:r>
      <w:r w:rsidRPr="00237A2C">
        <w:t>:</w:t>
      </w:r>
    </w:p>
    <w:p w:rsidR="00AE50BA" w:rsidRPr="00237A2C" w:rsidRDefault="00AE50BA">
      <w:r w:rsidRPr="00237A2C">
        <w:t>1) En första delundersökning behandlar debatten om den svenska förval</w:t>
      </w:r>
      <w:r w:rsidRPr="00237A2C">
        <w:t>t</w:t>
      </w:r>
      <w:r w:rsidRPr="00237A2C">
        <w:t>nings</w:t>
      </w:r>
      <w:r w:rsidRPr="00237A2C">
        <w:softHyphen/>
        <w:t>model</w:t>
      </w:r>
      <w:r w:rsidRPr="00237A2C">
        <w:softHyphen/>
        <w:t xml:space="preserve">len. Hur ser man från politiskt håll på relationen mellan politik och förvaltning? Hur definierar deltagarna i den parlamentariska debatten </w:t>
      </w:r>
      <w:r w:rsidRPr="00237A2C">
        <w:rPr>
          <w:i/>
        </w:rPr>
        <w:t>den svenska</w:t>
      </w:r>
      <w:r w:rsidRPr="00237A2C">
        <w:t xml:space="preserve"> </w:t>
      </w:r>
      <w:r w:rsidRPr="00237A2C">
        <w:rPr>
          <w:i/>
        </w:rPr>
        <w:t>förvaltnings</w:t>
      </w:r>
      <w:r w:rsidRPr="00237A2C">
        <w:rPr>
          <w:i/>
        </w:rPr>
        <w:softHyphen/>
        <w:t>model</w:t>
      </w:r>
      <w:r w:rsidRPr="00237A2C">
        <w:rPr>
          <w:i/>
        </w:rPr>
        <w:softHyphen/>
        <w:t>len</w:t>
      </w:r>
      <w:r w:rsidRPr="00237A2C">
        <w:t>? Vidare ställs frågan om synen på den svenska förvaltnings</w:t>
      </w:r>
      <w:r w:rsidRPr="00237A2C">
        <w:softHyphen/>
        <w:t>model</w:t>
      </w:r>
      <w:r w:rsidRPr="00237A2C">
        <w:softHyphen/>
        <w:t>len har förändrats över tid.</w:t>
      </w:r>
    </w:p>
    <w:p w:rsidR="00AE50BA" w:rsidRPr="00237A2C" w:rsidRDefault="00AE50BA">
      <w:r w:rsidRPr="00237A2C">
        <w:t>2) En andra delundersökning har genomförts om hur den svenska förval</w:t>
      </w:r>
      <w:r w:rsidRPr="00237A2C">
        <w:t>t</w:t>
      </w:r>
      <w:r w:rsidRPr="00237A2C">
        <w:t xml:space="preserve">ningsmodellen </w:t>
      </w:r>
      <w:r w:rsidRPr="00237A2C">
        <w:sym w:font="Symbol" w:char="F02D"/>
      </w:r>
      <w:r w:rsidRPr="00237A2C">
        <w:t xml:space="preserve"> enligt forskningen </w:t>
      </w:r>
      <w:r w:rsidRPr="00237A2C">
        <w:sym w:font="Symbol" w:char="F02D"/>
      </w:r>
      <w:r w:rsidRPr="00237A2C">
        <w:t xml:space="preserve"> fungerar i praktiken. I vad mån och på vilket sätt styr regeringen förvaltningen?</w:t>
      </w:r>
    </w:p>
    <w:p w:rsidR="00AE50BA" w:rsidRPr="00237A2C" w:rsidRDefault="00AE50BA">
      <w:r w:rsidRPr="00237A2C">
        <w:t xml:space="preserve">3) I den avslutande och tredje delundersökningen ställs frågan hur </w:t>
      </w:r>
      <w:r w:rsidRPr="00237A2C">
        <w:rPr>
          <w:i/>
        </w:rPr>
        <w:t>svensk</w:t>
      </w:r>
      <w:r w:rsidRPr="00237A2C">
        <w:t xml:space="preserve"> den svenska förvaltningsmodellen är. Skiljer den svenska förvalt</w:t>
      </w:r>
      <w:r w:rsidRPr="00237A2C">
        <w:softHyphen/>
        <w:t>ning</w:t>
      </w:r>
      <w:r w:rsidRPr="00237A2C">
        <w:softHyphen/>
        <w:t>ens fun</w:t>
      </w:r>
      <w:r w:rsidRPr="00237A2C">
        <w:t>k</w:t>
      </w:r>
      <w:r w:rsidRPr="00237A2C">
        <w:t>tionssätt sig i praktiken kraftigt från förvaltningen i andra länder?</w:t>
      </w:r>
    </w:p>
    <w:p w:rsidR="00AE50BA" w:rsidRPr="00237A2C" w:rsidRDefault="00AE50BA">
      <w:pPr>
        <w:pStyle w:val="Normaltindrag"/>
      </w:pPr>
      <w:r w:rsidRPr="00237A2C">
        <w:t xml:space="preserve">Rapporten avslutas med en sammanfattande diskussion av resultaten i de tre delundersökningarna. I avsnittet undersöks också i vad mån det är något nytt att regeringen åtar sig förvaltningsuppgifter med ett särskilt fokus på rollen att fördela anslag. </w:t>
      </w:r>
    </w:p>
    <w:p w:rsidR="00AE50BA" w:rsidRPr="00237A2C" w:rsidRDefault="00AE50BA">
      <w:pPr>
        <w:pStyle w:val="Normaltindrag"/>
      </w:pPr>
      <w:r w:rsidRPr="00237A2C">
        <w:t xml:space="preserve">Sammanfattningsvis är den här rapporten </w:t>
      </w:r>
      <w:r w:rsidRPr="00237A2C">
        <w:rPr>
          <w:i/>
        </w:rPr>
        <w:t>inte</w:t>
      </w:r>
      <w:r w:rsidRPr="00237A2C">
        <w:t xml:space="preserve"> en undersökning av den svenska förvaltningsmodellens rättsliga sida,</w:t>
      </w:r>
      <w:r w:rsidRPr="00237A2C">
        <w:rPr>
          <w:rStyle w:val="Fotnotsreferens"/>
        </w:rPr>
        <w:footnoteReference w:id="2"/>
      </w:r>
      <w:r w:rsidRPr="00237A2C">
        <w:t xml:space="preserve"> utan en studie av dess politiska innebörd. Vi ägnar oss inte åt att tolka de rättsliga regleringarna, utan stud</w:t>
      </w:r>
      <w:r w:rsidRPr="00237A2C">
        <w:t>e</w:t>
      </w:r>
      <w:r w:rsidRPr="00237A2C">
        <w:t>rar de föreställ</w:t>
      </w:r>
      <w:r w:rsidRPr="00237A2C">
        <w:softHyphen/>
        <w:t>ningar om dem som finns bland politiker och tjänste</w:t>
      </w:r>
      <w:r w:rsidRPr="00237A2C">
        <w:softHyphen/>
        <w:t>män, samt analyse</w:t>
      </w:r>
      <w:r w:rsidRPr="00237A2C">
        <w:softHyphen/>
        <w:t>rar undersökningar av hur relationen mellan regering/depar</w:t>
      </w:r>
      <w:r w:rsidRPr="00237A2C">
        <w:softHyphen/>
        <w:t>tement och ämbetsverken ser ut i praktiken.</w:t>
      </w:r>
    </w:p>
    <w:p w:rsidR="00AE50BA" w:rsidRPr="00237A2C" w:rsidRDefault="00AE50BA">
      <w:pPr>
        <w:pStyle w:val="Rubrik1"/>
      </w:pPr>
      <w:bookmarkStart w:id="250" w:name="_Toc509711228"/>
      <w:bookmarkStart w:id="251" w:name="_Toc509738050"/>
      <w:bookmarkStart w:id="252" w:name="_Toc516991669"/>
      <w:r w:rsidRPr="00237A2C">
        <w:t>Del 1</w:t>
      </w:r>
      <w:bookmarkEnd w:id="250"/>
      <w:bookmarkEnd w:id="251"/>
      <w:bookmarkEnd w:id="252"/>
    </w:p>
    <w:p w:rsidR="00AE50BA" w:rsidRPr="00237A2C" w:rsidRDefault="00AE50BA">
      <w:pPr>
        <w:pStyle w:val="Rubrik1"/>
      </w:pPr>
      <w:bookmarkStart w:id="253" w:name="_Toc509738051"/>
      <w:bookmarkStart w:id="254" w:name="_Toc516991670"/>
      <w:r w:rsidRPr="00237A2C">
        <w:t>Debatten om den svenska förvaltningsmodellen</w:t>
      </w:r>
      <w:bookmarkEnd w:id="253"/>
      <w:bookmarkEnd w:id="254"/>
    </w:p>
    <w:p w:rsidR="00AE50BA" w:rsidRPr="00237A2C" w:rsidRDefault="00AE50BA">
      <w:pPr>
        <w:pStyle w:val="Rubrik2"/>
      </w:pPr>
      <w:bookmarkStart w:id="255" w:name="_Toc509711230"/>
      <w:bookmarkStart w:id="256" w:name="_Toc509738052"/>
      <w:bookmarkStart w:id="257" w:name="_Toc516991671"/>
      <w:r w:rsidRPr="00237A2C">
        <w:t>Inledning</w:t>
      </w:r>
      <w:bookmarkEnd w:id="255"/>
      <w:bookmarkEnd w:id="256"/>
      <w:bookmarkEnd w:id="257"/>
    </w:p>
    <w:p w:rsidR="00AE50BA" w:rsidRPr="00237A2C" w:rsidRDefault="00AE50BA">
      <w:pPr>
        <w:pStyle w:val="Normalefterrubrik"/>
        <w:rPr>
          <w:sz w:val="19"/>
        </w:rPr>
      </w:pPr>
      <w:r w:rsidRPr="00237A2C">
        <w:rPr>
          <w:sz w:val="19"/>
        </w:rPr>
        <w:t>Syftet med detta avsnitt är att empiriskt undersöka hur deltagarna i den pa</w:t>
      </w:r>
      <w:r w:rsidRPr="00237A2C">
        <w:rPr>
          <w:sz w:val="19"/>
        </w:rPr>
        <w:t>r</w:t>
      </w:r>
      <w:r w:rsidRPr="00237A2C">
        <w:rPr>
          <w:sz w:val="19"/>
        </w:rPr>
        <w:t>lamentariska debatten definierar ”den svenska förvaltningsmodellen”. D</w:t>
      </w:r>
      <w:r w:rsidRPr="00237A2C">
        <w:rPr>
          <w:sz w:val="19"/>
        </w:rPr>
        <w:t>e</w:t>
      </w:r>
      <w:r w:rsidRPr="00237A2C">
        <w:rPr>
          <w:sz w:val="19"/>
        </w:rPr>
        <w:t>batten lider av några intressanta brister som innebär att det går att ifrågasätta hur tydlig idén om vad man skulle kunna kalla en svensk förvaltningsmodell egentligen är. Bristerna är i huvudsak två. Den första är den förvånande avsaknaden av diskussion och ifrågasättande. Till exempel nämns ofta ”ämbetsverkens självständighet” som en del av den svenska förvaltningsm</w:t>
      </w:r>
      <w:r w:rsidRPr="00237A2C">
        <w:rPr>
          <w:sz w:val="19"/>
        </w:rPr>
        <w:t>o</w:t>
      </w:r>
      <w:r w:rsidRPr="00237A2C">
        <w:rPr>
          <w:sz w:val="19"/>
        </w:rPr>
        <w:t>dellen, och då både som något internationellt unikt och som en månghu</w:t>
      </w:r>
      <w:r w:rsidRPr="00237A2C">
        <w:rPr>
          <w:sz w:val="19"/>
        </w:rPr>
        <w:t>ndr</w:t>
      </w:r>
      <w:r w:rsidRPr="00237A2C">
        <w:rPr>
          <w:sz w:val="19"/>
        </w:rPr>
        <w:t>a</w:t>
      </w:r>
      <w:r w:rsidRPr="00237A2C">
        <w:rPr>
          <w:sz w:val="19"/>
        </w:rPr>
        <w:t>årig tradition. Intresset för konstruktionens värde och potentiella konsekve</w:t>
      </w:r>
      <w:r w:rsidRPr="00237A2C">
        <w:rPr>
          <w:sz w:val="19"/>
        </w:rPr>
        <w:t>n</w:t>
      </w:r>
      <w:r w:rsidRPr="00237A2C">
        <w:rPr>
          <w:sz w:val="19"/>
        </w:rPr>
        <w:t xml:space="preserve">ser kan dock inte anses vara i paritet med dess ständigt omtalade särprägel. Det unika och konstitutionellt ärvda diskuteras, enkelt uttryckt, inte alltid då det </w:t>
      </w:r>
      <w:r w:rsidRPr="00237A2C">
        <w:rPr>
          <w:i/>
          <w:sz w:val="19"/>
        </w:rPr>
        <w:t>borde</w:t>
      </w:r>
      <w:r w:rsidRPr="00237A2C">
        <w:rPr>
          <w:sz w:val="19"/>
        </w:rPr>
        <w:t xml:space="preserve"> göras, till exempel</w:t>
      </w:r>
      <w:r w:rsidRPr="00237A2C">
        <w:t xml:space="preserve"> </w:t>
      </w:r>
      <w:r w:rsidRPr="00237A2C">
        <w:rPr>
          <w:sz w:val="19"/>
        </w:rPr>
        <w:t>då många andra delar av styrelseskicket är föremål för både debatt och reformer.</w:t>
      </w:r>
    </w:p>
    <w:p w:rsidR="00AE50BA" w:rsidRPr="00237A2C" w:rsidRDefault="00AE50BA">
      <w:pPr>
        <w:pStyle w:val="Normaltindrag"/>
      </w:pPr>
      <w:r w:rsidRPr="00237A2C">
        <w:t>Den andra bristen visar sig då den debatt som finns att tillgå utsätts för kritisk granskning. En mindre smickrande men antagligen träffande beskri</w:t>
      </w:r>
      <w:r w:rsidRPr="00237A2C">
        <w:t>v</w:t>
      </w:r>
      <w:r w:rsidRPr="00237A2C">
        <w:t xml:space="preserve">ning är att debattinläggen ibland har karaktären av ”önskelistor” snarare än av nyanserade försök att ta ställning till de värdekonflikter och svårigheter det principiella problemet rymmer. De kanske tydligaste exemplen på detta finner vi under 1990-talet. Diskussionen är vidare inte särskilt innovativ, även om deltagarna gärna använder just </w:t>
      </w:r>
      <w:r w:rsidRPr="00237A2C">
        <w:rPr>
          <w:i/>
        </w:rPr>
        <w:t>sin</w:t>
      </w:r>
      <w:r w:rsidRPr="00237A2C">
        <w:t xml:space="preserve"> samtids speciella krav i arg</w:t>
      </w:r>
      <w:r w:rsidRPr="00237A2C">
        <w:t>u</w:t>
      </w:r>
      <w:r w:rsidRPr="00237A2C">
        <w:t>mentationen. Likheterna mellan till exempel 1910-talets och 1980-talets debatter är på denna punkt slående. Den konstitutionella debat</w:t>
      </w:r>
      <w:r w:rsidRPr="00237A2C">
        <w:t>ten om relati</w:t>
      </w:r>
      <w:r w:rsidRPr="00237A2C">
        <w:t>o</w:t>
      </w:r>
      <w:r w:rsidRPr="00237A2C">
        <w:t xml:space="preserve">nen mellan politik och förvaltning verkar </w:t>
      </w:r>
      <w:r w:rsidRPr="00237A2C">
        <w:rPr>
          <w:i/>
        </w:rPr>
        <w:t>alltid</w:t>
      </w:r>
      <w:r w:rsidRPr="00237A2C">
        <w:t xml:space="preserve"> ha förts i en kontext där den tekniska utvecklingen upplevs som snabb och den offentliga sfärens expa</w:t>
      </w:r>
      <w:r w:rsidRPr="00237A2C">
        <w:t>n</w:t>
      </w:r>
      <w:r w:rsidRPr="00237A2C">
        <w:t>sion som omfattande. Denna kritik kan möjligen betraktas som en smula ogenerös om vi är beredda att anamma ett synsätt som innebär att de problem som är förknippade med politikens implementering och skillnaden mellan politik och förvaltning i själva verket är tidlösa. Denna typ av insikt kommer dock inte till uttryck i det material som här stude</w:t>
      </w:r>
      <w:r w:rsidRPr="00237A2C">
        <w:t>ras.</w:t>
      </w:r>
    </w:p>
    <w:p w:rsidR="00AE50BA" w:rsidRPr="00237A2C" w:rsidRDefault="00AE50BA">
      <w:pPr>
        <w:pStyle w:val="Normaltindrag"/>
      </w:pPr>
      <w:r w:rsidRPr="00237A2C">
        <w:t xml:space="preserve">En studie som denna kan inte göra anspråk på att förklara </w:t>
      </w:r>
      <w:r w:rsidRPr="00237A2C">
        <w:rPr>
          <w:i/>
        </w:rPr>
        <w:t>varför</w:t>
      </w:r>
      <w:r w:rsidRPr="00237A2C">
        <w:t xml:space="preserve"> disku</w:t>
      </w:r>
      <w:r w:rsidRPr="00237A2C">
        <w:t>s</w:t>
      </w:r>
      <w:r w:rsidRPr="00237A2C">
        <w:t>sionen om relationen mellan den politiska sfären och förvaltningen ser ut som den gör. Våra (oprövade) aningar om orsakssammanhangen kan dock hjälpa oss i sökandet efter mönster som ger en rimlig sammanfattande analys av debatten. Det mönster som ”de två bristerna” utgör kan delvis peka mot vad vi kan kalla ”tabuhypotesen”. Den svenska förvaltningsmodellen, som helig ko betraktad, går då inte att ifrågasätta utan höga kostnader av något slag. Om vi översätter dessa kostnader i makttermer kan vi</w:t>
      </w:r>
      <w:r w:rsidRPr="00237A2C">
        <w:t xml:space="preserve"> anta att deltaga</w:t>
      </w:r>
      <w:r w:rsidRPr="00237A2C">
        <w:t>r</w:t>
      </w:r>
      <w:r w:rsidRPr="00237A2C">
        <w:t>na i debatten formulerar versioner av den svenska förvaltningsmodellen utifrån strategiska överväganden.</w:t>
      </w:r>
      <w:r w:rsidRPr="00237A2C">
        <w:rPr>
          <w:rStyle w:val="Fotnotsreferens"/>
        </w:rPr>
        <w:footnoteReference w:id="3"/>
      </w:r>
      <w:r w:rsidRPr="00237A2C">
        <w:t xml:space="preserve"> Tidigare forskning och denna studie ind</w:t>
      </w:r>
      <w:r w:rsidRPr="00237A2C">
        <w:t>i</w:t>
      </w:r>
      <w:r w:rsidRPr="00237A2C">
        <w:t>kerar det rimliga i detta antagande. Det visar sig till exempel att parlament</w:t>
      </w:r>
      <w:r w:rsidRPr="00237A2C">
        <w:t>a</w:t>
      </w:r>
      <w:r w:rsidRPr="00237A2C">
        <w:t>risk position verkar ha en viss inverkan på hur man ser på relationen mellan den politiska sfären och förvaltningen.</w:t>
      </w:r>
      <w:r w:rsidRPr="00237A2C">
        <w:rPr>
          <w:rStyle w:val="Fotnotsreferens"/>
        </w:rPr>
        <w:footnoteReference w:id="4"/>
      </w:r>
      <w:r w:rsidRPr="00237A2C">
        <w:t xml:space="preserve"> </w:t>
      </w:r>
    </w:p>
    <w:p w:rsidR="00AE50BA" w:rsidRPr="00237A2C" w:rsidRDefault="00AE50BA">
      <w:pPr>
        <w:pStyle w:val="Normaltindrag"/>
      </w:pPr>
      <w:r w:rsidRPr="00237A2C">
        <w:t>Explicita debatter där deltagarna själva identifierar att det är en ”svensk förvaltningsmodell” de diskuterar är ganska ovanliga i det undersökta mat</w:t>
      </w:r>
      <w:r w:rsidRPr="00237A2C">
        <w:t>e</w:t>
      </w:r>
      <w:r w:rsidRPr="00237A2C">
        <w:t xml:space="preserve">rialet. Det är med andra ord sällsynt att dessa debattörer öppet och tydligt definierar ”den svenska förvaltningsmodellen”. Att studera ståndpunkter och argument i förvaltningspolitiska frågor ger oss dock en bild av vad man anser att den svenska förvaltningsmodellen rymmer. De debatter som här studeras handlar alla om </w:t>
      </w:r>
      <w:r w:rsidRPr="00237A2C">
        <w:rPr>
          <w:i/>
        </w:rPr>
        <w:t>styrningsfrågor</w:t>
      </w:r>
      <w:r w:rsidRPr="00237A2C">
        <w:t>, om hur och hur mycket den politiska sfären ska styra myndigheterna, och varför.</w:t>
      </w:r>
    </w:p>
    <w:p w:rsidR="00AE50BA" w:rsidRPr="00237A2C" w:rsidRDefault="00AE50BA">
      <w:pPr>
        <w:pStyle w:val="Normaltindrag"/>
      </w:pPr>
      <w:r w:rsidRPr="00237A2C">
        <w:t>Två i sammanhanget centrala tidsperioder är föremål för analys. De g</w:t>
      </w:r>
      <w:r w:rsidRPr="00237A2C">
        <w:t>e</w:t>
      </w:r>
      <w:r w:rsidRPr="00237A2C">
        <w:t>nomgripande förändringarna av det svenska styrelseskicket, införandet av demokrati och parlamentarism i början av förra seklet, genererade en omfa</w:t>
      </w:r>
      <w:r w:rsidRPr="00237A2C">
        <w:t>t</w:t>
      </w:r>
      <w:r w:rsidRPr="00237A2C">
        <w:t>tande författnings- och förvaltningspolitisk debatt. Här analyseras därför delar av ett större material från perioden 1900 till 1930.</w:t>
      </w:r>
      <w:r w:rsidRPr="00237A2C">
        <w:rPr>
          <w:rStyle w:val="Fotnotsreferens"/>
        </w:rPr>
        <w:footnoteReference w:id="5"/>
      </w:r>
      <w:r w:rsidRPr="00237A2C">
        <w:t xml:space="preserve"> Vid tiden för det demokratiska och parlamentariska styrelseskickets </w:t>
      </w:r>
      <w:r w:rsidRPr="00237A2C">
        <w:rPr>
          <w:i/>
        </w:rPr>
        <w:t>kodifiering</w:t>
      </w:r>
      <w:r w:rsidRPr="00237A2C">
        <w:t>, det vill säga grundlagsreformen, stod dock förvaltningens roll i styrelseskicket långt ned på dagordningen i grundlagsdebatten. Denna period är därför (men också av utrymmesskäl) inte föremål för någon empirisk analys.</w:t>
      </w:r>
      <w:r w:rsidRPr="00237A2C">
        <w:rPr>
          <w:rStyle w:val="Fotnotsreferens"/>
        </w:rPr>
        <w:footnoteReference w:id="6"/>
      </w:r>
      <w:r w:rsidRPr="00237A2C">
        <w:t xml:space="preserve"> Under den tid som förflutit sedan den nya grundlagen trädde i kraft har förvaltningspolitiska frågor diskuterats vid upprepade tillfällen. Dessa debatter har sin utgång</w:t>
      </w:r>
      <w:r w:rsidRPr="00237A2C">
        <w:t>s</w:t>
      </w:r>
      <w:r w:rsidRPr="00237A2C">
        <w:t>punkt i 1980-talets stora förvaltningspolitiska utredningar. Debatter under åren 1987–1998 analyseras därför här. Möjligheten att under en relativt kort tidsperiod följa jämförbara debatter leder till flera intressanta slutsatser.</w:t>
      </w:r>
    </w:p>
    <w:p w:rsidR="00AE50BA" w:rsidRPr="00237A2C" w:rsidRDefault="00AE50BA">
      <w:pPr>
        <w:pStyle w:val="Normaltindrag"/>
      </w:pPr>
      <w:r w:rsidRPr="00237A2C">
        <w:t>Att studera förvaltningspolitiska debatter från två vitt skilda tidsperioder är särskilt intressant i detta sam</w:t>
      </w:r>
      <w:r w:rsidRPr="00237A2C">
        <w:t>manhang där diskussionen rör vad som påstås vara en ”tradition” eller historiskt framväxt norm. Vi kan genom att jämföra utsagor från respektive tidsperiod bilda oss en uppfattning om huruvida den svenska förvaltningsmodellen ges samma eller olika innehåll vid de båda tidpunkterna. En distinkt och tydlig bild av den svenska förvaltningsmode</w:t>
      </w:r>
      <w:r w:rsidRPr="00237A2C">
        <w:t>l</w:t>
      </w:r>
      <w:r w:rsidRPr="00237A2C">
        <w:t>len innebär att det verkligen finns en ”tradition” att referera till. En otydlig bild innebär dock motsatsen och ställer högre krav på att våra samtida polit</w:t>
      </w:r>
      <w:r w:rsidRPr="00237A2C">
        <w:t>i</w:t>
      </w:r>
      <w:r w:rsidRPr="00237A2C">
        <w:t xml:space="preserve">ker själva </w:t>
      </w:r>
      <w:r w:rsidRPr="00237A2C">
        <w:t>definierar modellen. Detta är en viktig insikt grundad i övertyge</w:t>
      </w:r>
      <w:r w:rsidRPr="00237A2C">
        <w:t>l</w:t>
      </w:r>
      <w:r w:rsidRPr="00237A2C">
        <w:t>sen att frågor som rör styrelseskickets grundläggande struktur i en demokrati förtjänar de folkvaldas uppmärksamhet och tankemöda.</w:t>
      </w:r>
    </w:p>
    <w:p w:rsidR="00AE50BA" w:rsidRPr="00237A2C" w:rsidRDefault="00AE50BA">
      <w:pPr>
        <w:pStyle w:val="Normaltindrag"/>
      </w:pPr>
      <w:r w:rsidRPr="00237A2C">
        <w:t>I undersökningen fokuseras förvaltningspolitiska debatter som förs på en generell nivå. Inlägg där till exempel en specifik myndighet diskuteras anal</w:t>
      </w:r>
      <w:r w:rsidRPr="00237A2C">
        <w:t>y</w:t>
      </w:r>
      <w:r w:rsidRPr="00237A2C">
        <w:t>seras därmed inte, och inte heller debatter om förvaltningens roll inom s</w:t>
      </w:r>
      <w:r w:rsidRPr="00237A2C">
        <w:t>a</w:t>
      </w:r>
      <w:r w:rsidRPr="00237A2C">
        <w:t>k-områden där tydliga innehållsliga argument legitimerar en viss grad av pol</w:t>
      </w:r>
      <w:r w:rsidRPr="00237A2C">
        <w:t>i</w:t>
      </w:r>
      <w:r w:rsidRPr="00237A2C">
        <w:t>tisk styrning. Detta innebär att debatter om försvarsmakten, utrikesförval</w:t>
      </w:r>
      <w:r w:rsidRPr="00237A2C">
        <w:t>t</w:t>
      </w:r>
      <w:r w:rsidRPr="00237A2C">
        <w:t>ningen, kyrkan, polisväsendet, de allmänna domstolarna och de statliga a</w:t>
      </w:r>
      <w:r w:rsidRPr="00237A2C">
        <w:t>f</w:t>
      </w:r>
      <w:r w:rsidRPr="00237A2C">
        <w:t>färsverken och bolagen inte är föremål för analys.</w:t>
      </w:r>
      <w:r w:rsidRPr="00237A2C">
        <w:rPr>
          <w:rStyle w:val="Fotnotsreferens"/>
        </w:rPr>
        <w:footnoteReference w:id="7"/>
      </w:r>
      <w:r w:rsidRPr="00237A2C">
        <w:t xml:space="preserve"> En ytterligare avgrän</w:t>
      </w:r>
      <w:r w:rsidRPr="00237A2C">
        <w:t>s</w:t>
      </w:r>
      <w:r w:rsidRPr="00237A2C">
        <w:t>ning gäller det interna urvalet av debattinlägg från respektive tidsperiod. Här gör uppdragets begränsning i tid och omfång det nödvändigt att välja strat</w:t>
      </w:r>
      <w:r w:rsidRPr="00237A2C">
        <w:t>e</w:t>
      </w:r>
      <w:r w:rsidRPr="00237A2C">
        <w:t>giskt i syfte att illustrera debattens huvudsakliga karaktär.</w:t>
      </w:r>
      <w:r w:rsidRPr="00237A2C">
        <w:rPr>
          <w:rStyle w:val="Fotnotsreferens"/>
        </w:rPr>
        <w:footnoteReference w:id="8"/>
      </w:r>
    </w:p>
    <w:p w:rsidR="00AE50BA" w:rsidRPr="00237A2C" w:rsidRDefault="00AE50BA">
      <w:pPr>
        <w:pStyle w:val="Normaltindrag"/>
      </w:pPr>
      <w:r w:rsidRPr="00237A2C">
        <w:t>Metodmässigt är studien en kvalitativ innehållsanalys av den debatt som återges i riksdagstrycket, i form av propositioner, motioner, utskottsbetä</w:t>
      </w:r>
      <w:r w:rsidRPr="00237A2C">
        <w:t>n</w:t>
      </w:r>
      <w:r w:rsidRPr="00237A2C">
        <w:t>kanden, interpellationer och enkla frågor samt inlägg i kammaren/kamrarna. Analysen av ståndpunkter och argument tar fasta på tre typer av utsagor, verklighetsbeskrivningar, värderande omdömen och handlingsrekommend</w:t>
      </w:r>
      <w:r w:rsidRPr="00237A2C">
        <w:t>a</w:t>
      </w:r>
      <w:r w:rsidRPr="00237A2C">
        <w:t>tioner. De kontextuella faktorer som ingår i analysen är i huvudsak tidsa</w:t>
      </w:r>
      <w:r w:rsidRPr="00237A2C">
        <w:t>s</w:t>
      </w:r>
      <w:r w:rsidRPr="00237A2C">
        <w:t>pekten (när ett inlägg görs), avsändarnas ”partitillhörighet”</w:t>
      </w:r>
      <w:r w:rsidRPr="00237A2C">
        <w:rPr>
          <w:rStyle w:val="Fotnotsreferens"/>
        </w:rPr>
        <w:footnoteReference w:id="9"/>
      </w:r>
      <w:r w:rsidRPr="00237A2C">
        <w:t xml:space="preserve"> samt i viss mån debattörernas parlamentariska ställning.</w:t>
      </w:r>
    </w:p>
    <w:p w:rsidR="00AE50BA" w:rsidRPr="00237A2C" w:rsidRDefault="00AE50BA">
      <w:pPr>
        <w:pStyle w:val="Rubrik2"/>
      </w:pPr>
      <w:bookmarkStart w:id="258" w:name="_Toc509711231"/>
      <w:bookmarkStart w:id="259" w:name="_Toc509738053"/>
      <w:bookmarkStart w:id="260" w:name="_Toc516991672"/>
      <w:r w:rsidRPr="00237A2C">
        <w:t>Ett nytt styrelseskick – den parlamentariska demokratins genombrott</w:t>
      </w:r>
      <w:bookmarkEnd w:id="258"/>
      <w:bookmarkEnd w:id="259"/>
      <w:bookmarkEnd w:id="260"/>
    </w:p>
    <w:p w:rsidR="00AE50BA" w:rsidRPr="00237A2C" w:rsidRDefault="00AE50BA">
      <w:pPr>
        <w:pStyle w:val="Normalefterrubrik"/>
        <w:rPr>
          <w:sz w:val="19"/>
        </w:rPr>
      </w:pPr>
      <w:r w:rsidRPr="00237A2C">
        <w:rPr>
          <w:sz w:val="19"/>
        </w:rPr>
        <w:t>Montesquieus maktdelningslära satte, som högsta konstitutionella mode, spår i 1809 års regeringsform. Lagstiftningsmakten delades dock på vissa punkter mellan riksdagen och kungamakten, ett avsteg från den klassiska åtskillnaden mellan lagstiftande, verkställande och dömande makt. Vad gäller relationen mellan den exekutiva regeringsmakten och förvaltningsmyndigheterna var grundlagstexten ganska sparsmakad. Parlamentarismens genombrott gav regeringsmakten en ny roll, där ansvarigheten gentemot riksdagen var</w:t>
      </w:r>
      <w:r w:rsidRPr="00237A2C">
        <w:rPr>
          <w:sz w:val="19"/>
        </w:rPr>
        <w:t xml:space="preserve"> en viktig dimension. Demokratins genomslag med folksuveräniteten som rik</w:t>
      </w:r>
      <w:r w:rsidRPr="00237A2C">
        <w:rPr>
          <w:sz w:val="19"/>
        </w:rPr>
        <w:t>s</w:t>
      </w:r>
      <w:r w:rsidRPr="00237A2C">
        <w:rPr>
          <w:sz w:val="19"/>
        </w:rPr>
        <w:t>dagens legitima grund fick därmed också konsekvenser för regeringsmakten. Parlamentarismen innebar också förändrade förhållanden internt i exekut</w:t>
      </w:r>
      <w:r w:rsidRPr="00237A2C">
        <w:rPr>
          <w:sz w:val="19"/>
        </w:rPr>
        <w:t>i</w:t>
      </w:r>
      <w:r w:rsidRPr="00237A2C">
        <w:rPr>
          <w:sz w:val="19"/>
        </w:rPr>
        <w:t>ven. Statsrådets ställning gentemot kungamakten och förvaltningen förän</w:t>
      </w:r>
      <w:r w:rsidRPr="00237A2C">
        <w:rPr>
          <w:sz w:val="19"/>
        </w:rPr>
        <w:t>d</w:t>
      </w:r>
      <w:r w:rsidRPr="00237A2C">
        <w:rPr>
          <w:sz w:val="19"/>
        </w:rPr>
        <w:t>rades. Förvaltningen framstod nu som regeringens arbetsredskap i högre grad än förut. Kraven på parlamentariskt ansvarsutkrävande skapade därmed ett större behov för reg</w:t>
      </w:r>
      <w:r w:rsidRPr="00237A2C">
        <w:rPr>
          <w:sz w:val="19"/>
        </w:rPr>
        <w:t>e</w:t>
      </w:r>
      <w:r w:rsidRPr="00237A2C">
        <w:rPr>
          <w:sz w:val="19"/>
        </w:rPr>
        <w:t>ringen att kunna styra förvaltningen.</w:t>
      </w:r>
      <w:r w:rsidRPr="00237A2C">
        <w:rPr>
          <w:rStyle w:val="Fotnotsreferens"/>
          <w:sz w:val="19"/>
        </w:rPr>
        <w:footnoteReference w:id="10"/>
      </w:r>
    </w:p>
    <w:p w:rsidR="00AE50BA" w:rsidRPr="00237A2C" w:rsidRDefault="00AE50BA">
      <w:pPr>
        <w:pStyle w:val="Normaltindrag"/>
      </w:pPr>
      <w:r w:rsidRPr="00237A2C">
        <w:t>Under 1900-talets inledande decennier diskuterades den svenska förval</w:t>
      </w:r>
      <w:r w:rsidRPr="00237A2C">
        <w:t>t</w:t>
      </w:r>
      <w:r w:rsidRPr="00237A2C">
        <w:t xml:space="preserve">ningsmodellen som ett unikt fenomen. Vad som då åsyftades var </w:t>
      </w:r>
      <w:r w:rsidRPr="00237A2C">
        <w:rPr>
          <w:i/>
        </w:rPr>
        <w:t>dualismen</w:t>
      </w:r>
      <w:r w:rsidRPr="00237A2C">
        <w:t>, det vill säga gränsdragningen mellan den exekutiva maktens två delar, reg</w:t>
      </w:r>
      <w:r w:rsidRPr="00237A2C">
        <w:t>e</w:t>
      </w:r>
      <w:r w:rsidRPr="00237A2C">
        <w:t>ringen och ämbetsverken. Retoriskt var dualismen en allmänt omhuldad princip, men vad den egentligen innebar för regeringens möjligheter att styra ämbetsverken var omdiskuterat. Idén om regeringens behov av att styra konfronterades ständigt med idén om det önskvärda i att bevara självständiga ämbetsverk.</w:t>
      </w:r>
    </w:p>
    <w:p w:rsidR="00AE50BA" w:rsidRPr="00237A2C" w:rsidRDefault="00AE50BA">
      <w:pPr>
        <w:pStyle w:val="Normaltindrag"/>
      </w:pPr>
      <w:r w:rsidRPr="00237A2C">
        <w:t>Konflikten mellan styrning och självständighet blev särski</w:t>
      </w:r>
      <w:r w:rsidRPr="00237A2C">
        <w:t>lt tydlig då de så kallade departementalkommitterade 1912 föreslog att ämbetsverken skulle flyttas in i departementen.</w:t>
      </w:r>
      <w:r w:rsidRPr="00237A2C">
        <w:rPr>
          <w:rStyle w:val="Fotnotsreferens"/>
        </w:rPr>
        <w:footnoteReference w:id="11"/>
      </w:r>
      <w:r w:rsidRPr="00237A2C">
        <w:t xml:space="preserve"> Den svenska förvaltningsmodellens arbetsfö</w:t>
      </w:r>
      <w:r w:rsidRPr="00237A2C">
        <w:t>r</w:t>
      </w:r>
      <w:r w:rsidRPr="00237A2C">
        <w:t>delning måste enligt kommitterade betraktas som en ”utmärkande egendo</w:t>
      </w:r>
      <w:r w:rsidRPr="00237A2C">
        <w:t>m</w:t>
      </w:r>
      <w:r w:rsidRPr="00237A2C">
        <w:t>lighet”.</w:t>
      </w:r>
      <w:r w:rsidRPr="00237A2C">
        <w:rPr>
          <w:rStyle w:val="Fotnotsreferens"/>
        </w:rPr>
        <w:footnoteReference w:id="12"/>
      </w:r>
      <w:r w:rsidRPr="00237A2C">
        <w:t xml:space="preserve"> Problemet var att chefer, enrådigt eller i kollegial form, hade b</w:t>
      </w:r>
      <w:r w:rsidRPr="00237A2C">
        <w:t>e</w:t>
      </w:r>
      <w:r w:rsidRPr="00237A2C">
        <w:t>slutanderätt i förvaltningsärenden medan departementscheferna saknade denna kompetens. Styrningsmöjligheterna var enligt kommitterade tämligen begränsade och verkscheferna intog därmed en ”i stort sett oberoende stäl</w:t>
      </w:r>
      <w:r w:rsidRPr="00237A2C">
        <w:t>l</w:t>
      </w:r>
      <w:r w:rsidRPr="00237A2C">
        <w:t>ning”.</w:t>
      </w:r>
      <w:r w:rsidRPr="00237A2C">
        <w:rPr>
          <w:rStyle w:val="Fotnotsreferens"/>
        </w:rPr>
        <w:footnoteReference w:id="13"/>
      </w:r>
      <w:r w:rsidRPr="00237A2C">
        <w:t xml:space="preserve"> Arbete hade delegerats, men inte ansvar, och departementen hade inga reella möjligheter att styra ämbetsverken.</w:t>
      </w:r>
      <w:r w:rsidRPr="00237A2C">
        <w:rPr>
          <w:rStyle w:val="Fotnotsreferens"/>
        </w:rPr>
        <w:footnoteReference w:id="14"/>
      </w:r>
      <w:r w:rsidRPr="00237A2C">
        <w:t xml:space="preserve"> </w:t>
      </w:r>
    </w:p>
    <w:p w:rsidR="00AE50BA" w:rsidRPr="00237A2C" w:rsidRDefault="00AE50BA">
      <w:pPr>
        <w:pStyle w:val="Normaltindrag"/>
      </w:pPr>
      <w:r w:rsidRPr="00237A2C">
        <w:t xml:space="preserve">Departementalkommitterade beskrev några klassiska styrningsproblem. Formuleringarna och problematiken känner vi väl igen från vår egen samtid. Man hävdade att departementen </w:t>
      </w:r>
      <w:r w:rsidRPr="00237A2C">
        <w:rPr>
          <w:i/>
        </w:rPr>
        <w:t>saknade</w:t>
      </w:r>
      <w:r w:rsidRPr="00237A2C">
        <w:t xml:space="preserve"> den </w:t>
      </w:r>
      <w:r w:rsidRPr="00237A2C">
        <w:rPr>
          <w:i/>
        </w:rPr>
        <w:t>fackkunskap</w:t>
      </w:r>
      <w:r w:rsidRPr="00237A2C">
        <w:t xml:space="preserve"> som behövdes i beredningsarbete och föredragningar, att dualismen i statsförvaltningen ors</w:t>
      </w:r>
      <w:r w:rsidRPr="00237A2C">
        <w:t>a</w:t>
      </w:r>
      <w:r w:rsidRPr="00237A2C">
        <w:t xml:space="preserve">kade </w:t>
      </w:r>
      <w:r w:rsidRPr="00237A2C">
        <w:rPr>
          <w:i/>
        </w:rPr>
        <w:t>onödigt dubbelarbete</w:t>
      </w:r>
      <w:r w:rsidRPr="00237A2C">
        <w:t xml:space="preserve">, att självständiga ämbetsverk </w:t>
      </w:r>
      <w:r w:rsidRPr="00237A2C">
        <w:rPr>
          <w:i/>
        </w:rPr>
        <w:t>försvårade</w:t>
      </w:r>
      <w:r w:rsidRPr="00237A2C">
        <w:t xml:space="preserve"> vad man kallade ”</w:t>
      </w:r>
      <w:r w:rsidRPr="00237A2C">
        <w:rPr>
          <w:i/>
        </w:rPr>
        <w:t>enhetlig och planmässig ledning</w:t>
      </w:r>
      <w:r w:rsidRPr="00237A2C">
        <w:t xml:space="preserve">” av statsförvaltningen och att </w:t>
      </w:r>
      <w:r w:rsidRPr="00237A2C">
        <w:rPr>
          <w:i/>
        </w:rPr>
        <w:t>samarbetet</w:t>
      </w:r>
      <w:r w:rsidRPr="00237A2C">
        <w:t xml:space="preserve"> mellan departement och verk, </w:t>
      </w:r>
      <w:r w:rsidRPr="00237A2C">
        <w:rPr>
          <w:i/>
        </w:rPr>
        <w:t>brast</w:t>
      </w:r>
      <w:r w:rsidRPr="00237A2C">
        <w:t>. I kommitterades argument</w:t>
      </w:r>
      <w:r w:rsidRPr="00237A2C">
        <w:t>a</w:t>
      </w:r>
      <w:r w:rsidRPr="00237A2C">
        <w:t>tion finner vi också välkända tongångar. Mest uppenbar är idén om effekt</w:t>
      </w:r>
      <w:r w:rsidRPr="00237A2C">
        <w:t>i</w:t>
      </w:r>
      <w:r w:rsidRPr="00237A2C">
        <w:t>vitet och behovet av särskild, specialiserad kunskap. I betänkandet relater</w:t>
      </w:r>
      <w:r w:rsidRPr="00237A2C">
        <w:t>a</w:t>
      </w:r>
      <w:r w:rsidRPr="00237A2C">
        <w:t>des också den enskildes rätts</w:t>
      </w:r>
      <w:r w:rsidRPr="00237A2C">
        <w:t>säkerhet till problemen med slöseri med tid och resurser.</w:t>
      </w:r>
      <w:r w:rsidRPr="00237A2C">
        <w:rPr>
          <w:rStyle w:val="Fotnotsreferens"/>
        </w:rPr>
        <w:footnoteReference w:id="15"/>
      </w:r>
    </w:p>
    <w:p w:rsidR="00AE50BA" w:rsidRPr="00237A2C" w:rsidRDefault="00AE50BA">
      <w:pPr>
        <w:pStyle w:val="Normaltindrag"/>
      </w:pPr>
      <w:r w:rsidRPr="00237A2C">
        <w:t>En lösning på styrningsproblemen vore enligt kommitterade att öka d</w:t>
      </w:r>
      <w:r w:rsidRPr="00237A2C">
        <w:t>e</w:t>
      </w:r>
      <w:r w:rsidRPr="00237A2C">
        <w:t xml:space="preserve">partementschefernas kompetens, och att införa någon form av </w:t>
      </w:r>
      <w:r w:rsidRPr="00237A2C">
        <w:rPr>
          <w:i/>
        </w:rPr>
        <w:t>ministerstyre</w:t>
      </w:r>
      <w:r w:rsidRPr="00237A2C">
        <w:t>. Ett samlat inflytande hos en ansvarig minister gav möjligheter till ökad e</w:t>
      </w:r>
      <w:r w:rsidRPr="00237A2C">
        <w:t>f</w:t>
      </w:r>
      <w:r w:rsidRPr="00237A2C">
        <w:t>fektivitet och samordning. Ministerstyre hade dock enligt kommitterade flera uppenbara nackdelar. Tjänstemännens självständighet hotades. Vidare up</w:t>
      </w:r>
      <w:r w:rsidRPr="00237A2C">
        <w:t>p</w:t>
      </w:r>
      <w:r w:rsidRPr="00237A2C">
        <w:t>stod risken att stabiliteten i statsförvaltningen minskade eftersom växlingar i regeringsmakten fick större genomslag. Att självständigheten var sanktion</w:t>
      </w:r>
      <w:r w:rsidRPr="00237A2C">
        <w:t>e</w:t>
      </w:r>
      <w:r w:rsidRPr="00237A2C">
        <w:t>rad i grundlagen talade också mot ett införande av minister</w:t>
      </w:r>
      <w:r w:rsidRPr="00237A2C">
        <w:t>styre.</w:t>
      </w:r>
      <w:r w:rsidRPr="00237A2C">
        <w:rPr>
          <w:rStyle w:val="Fotnotsreferens"/>
        </w:rPr>
        <w:footnoteReference w:id="16"/>
      </w:r>
      <w:r w:rsidRPr="00237A2C">
        <w:t xml:space="preserve"> Kommi</w:t>
      </w:r>
      <w:r w:rsidRPr="00237A2C">
        <w:t>t</w:t>
      </w:r>
      <w:r w:rsidRPr="00237A2C">
        <w:t>terade förordade därför istället att ”de centrala verken i allmänhet förenas med de statsdepartement, till hvilka de höra, och organiseras såsom b</w:t>
      </w:r>
      <w:r w:rsidRPr="00237A2C">
        <w:t>e</w:t>
      </w:r>
      <w:r w:rsidRPr="00237A2C">
        <w:t>ståndsdelar af dessa departement”.</w:t>
      </w:r>
      <w:r w:rsidRPr="00237A2C">
        <w:rPr>
          <w:rStyle w:val="Fotnotsreferens"/>
        </w:rPr>
        <w:footnoteReference w:id="17"/>
      </w:r>
      <w:r w:rsidRPr="00237A2C">
        <w:t xml:space="preserve"> Vad kommitterade här försökte göra var att öka departementens styrningsmöjligheter samtidigt som ämbetsverkens självständighet bibehölls. Här finns vissa likheter med ambitionerna att sa</w:t>
      </w:r>
      <w:r w:rsidRPr="00237A2C">
        <w:t>m</w:t>
      </w:r>
      <w:r w:rsidRPr="00237A2C">
        <w:t>tidigt ”styra mer och styra mindre” i vår egen tid. Argumenten för självstä</w:t>
      </w:r>
      <w:r w:rsidRPr="00237A2C">
        <w:t>n</w:t>
      </w:r>
      <w:r w:rsidRPr="00237A2C">
        <w:t>digheten var rättssäkerhetsorienterade samt uttryck för idéer om det önskvä</w:t>
      </w:r>
      <w:r w:rsidRPr="00237A2C">
        <w:t>r</w:t>
      </w:r>
      <w:r w:rsidRPr="00237A2C">
        <w:t>da i stabilitet och kontinuitet. Kommitterade var med största sannolikhet medvetna om förslagets radikalism vad gäller ämbetsverkens ställning och bemödade sig om att försä</w:t>
      </w:r>
      <w:r w:rsidRPr="00237A2C">
        <w:t>kra att en ”inflyttning” inte hotade självständigh</w:t>
      </w:r>
      <w:r w:rsidRPr="00237A2C">
        <w:t>e</w:t>
      </w:r>
      <w:r w:rsidRPr="00237A2C">
        <w:t>ten.</w:t>
      </w:r>
      <w:r w:rsidRPr="00237A2C">
        <w:rPr>
          <w:rStyle w:val="Fotnotsreferens"/>
        </w:rPr>
        <w:footnoteReference w:id="18"/>
      </w:r>
      <w:r w:rsidRPr="00237A2C">
        <w:t xml:space="preserve"> Inte ens med en generös tolkning kan vi dock hävda att kommitterade är särskilt övertygande på denna punkt. Argumentationen är helt enkelt bris</w:t>
      </w:r>
      <w:r w:rsidRPr="00237A2C">
        <w:t>t</w:t>
      </w:r>
      <w:r w:rsidRPr="00237A2C">
        <w:t>fällig i betänkandet, som dessutom innehåller en vag formulering vilken öppnar för en ökad styrning av ämbetsverken utan att vi får några ledtrådar om omfattningen av denna sty</w:t>
      </w:r>
      <w:r w:rsidRPr="00237A2C">
        <w:t>r</w:t>
      </w:r>
      <w:r w:rsidRPr="00237A2C">
        <w:t>ning.</w:t>
      </w:r>
      <w:r w:rsidRPr="00237A2C">
        <w:rPr>
          <w:rStyle w:val="Fotnotsreferens"/>
        </w:rPr>
        <w:footnoteReference w:id="19"/>
      </w:r>
    </w:p>
    <w:p w:rsidR="00AE50BA" w:rsidRPr="00237A2C" w:rsidRDefault="00AE50BA">
      <w:pPr>
        <w:pStyle w:val="Normaltindrag"/>
      </w:pPr>
      <w:r w:rsidRPr="00237A2C">
        <w:t>Förslaget fick inget större gensvar i den politiska samtiden.</w:t>
      </w:r>
      <w:r w:rsidRPr="00237A2C">
        <w:rPr>
          <w:rStyle w:val="Fotnotsreferens"/>
        </w:rPr>
        <w:footnoteReference w:id="20"/>
      </w:r>
      <w:r w:rsidRPr="00237A2C">
        <w:t xml:space="preserve"> Chefen för justitiedepartementet kommenterade 1914 den hårda kritik som på vissa håll riktats mot departementalkommitterade, men tog själv inte explicit ställning. Konstitutionsutskottet ignorerade helt frågan, som dock omnämndes i kriti</w:t>
      </w:r>
      <w:r w:rsidRPr="00237A2C">
        <w:t>s</w:t>
      </w:r>
      <w:r w:rsidRPr="00237A2C">
        <w:t>ka ordalag i en till betänkandet fogad reservation.</w:t>
      </w:r>
      <w:r w:rsidRPr="00237A2C">
        <w:rPr>
          <w:rStyle w:val="Fotnotsreferens"/>
        </w:rPr>
        <w:footnoteReference w:id="21"/>
      </w:r>
      <w:r w:rsidRPr="00237A2C">
        <w:t xml:space="preserve"> Nästan tio år senare, 1923, återkom förslaget i en motion där argumentationen i stort följde ko</w:t>
      </w:r>
      <w:r w:rsidRPr="00237A2C">
        <w:t>m</w:t>
      </w:r>
      <w:r w:rsidRPr="00237A2C">
        <w:t>mitterades. Meningsmotståndare i debatten delade inte motionens verkli</w:t>
      </w:r>
      <w:r w:rsidRPr="00237A2C">
        <w:t>g</w:t>
      </w:r>
      <w:r w:rsidRPr="00237A2C">
        <w:t>hetsbeskrivning, det vill säga bedömningen av departementens rådande b</w:t>
      </w:r>
      <w:r w:rsidRPr="00237A2C">
        <w:t>e</w:t>
      </w:r>
      <w:r w:rsidRPr="00237A2C">
        <w:t>hov av fackkunskap och det bristande samarbetet i statsförvaltningen. Man delade heller inte ståndpunkten att en inflyttning var möjlig utan att själ</w:t>
      </w:r>
      <w:r w:rsidRPr="00237A2C">
        <w:t>v</w:t>
      </w:r>
      <w:r w:rsidRPr="00237A2C">
        <w:t>ständigheten, och därmed rättssäkerheten, hotades. Man kunde också, enligt motståndarna, se det hela som ett legitimitetspr</w:t>
      </w:r>
      <w:r w:rsidRPr="00237A2C">
        <w:t>oblem. Ett ”inflyttat” verk ansågs inte ha samma tyngd som de då existerande. En central fråga var arbetsfördelningen, vad respektive nivå i styrelseskicket skulle syssla med. Det utskott som behandlade motionen tänkte sig en strikt uppdelning mellan politik och förvaltning. Ämbetsverken borde inte ha till uppgift att göra andra bedömningar än rent fackmässiga, och alltså inte avge allmänna o</w:t>
      </w:r>
      <w:r w:rsidRPr="00237A2C">
        <w:t>m</w:t>
      </w:r>
      <w:r w:rsidRPr="00237A2C">
        <w:t>dömen eller bedömningar av ”lämplighet”. Alternativet till dualismen var enligt utskottslinjen ministerstyre, ett ho</w:t>
      </w:r>
      <w:r w:rsidRPr="00237A2C">
        <w:t>t mot kontinuiteten i förvaltnin</w:t>
      </w:r>
      <w:r w:rsidRPr="00237A2C">
        <w:t>g</w:t>
      </w:r>
      <w:r w:rsidRPr="00237A2C">
        <w:t>en.</w:t>
      </w:r>
      <w:r w:rsidRPr="00237A2C">
        <w:rPr>
          <w:rStyle w:val="Fotnotsreferens"/>
        </w:rPr>
        <w:footnoteReference w:id="22"/>
      </w:r>
      <w:r w:rsidRPr="00237A2C">
        <w:t xml:space="preserve"> </w:t>
      </w:r>
    </w:p>
    <w:p w:rsidR="00AE50BA" w:rsidRPr="00237A2C" w:rsidRDefault="00AE50BA">
      <w:pPr>
        <w:pStyle w:val="Normaltindrag"/>
      </w:pPr>
      <w:r w:rsidRPr="00237A2C">
        <w:t>Försvaret av förvaltningsdualismen bottnade i uppfattningen om möjli</w:t>
      </w:r>
      <w:r w:rsidRPr="00237A2C">
        <w:t>g</w:t>
      </w:r>
      <w:r w:rsidRPr="00237A2C">
        <w:t>heten, och det önskvärda i, att hålla isär de båda nivåernas arbetsuppgifter, alltså i idén om en tydlig arbetsfördelning. Ämbetsverken skulle stå för ”fackkunskap” och den politiska sfären för andra typer av omdömen. Samma tema, arbetsfördelningen, och samma utmaning av självständigheten återkom i debatter om ämbetsverkens deltagande i beredningsfasen. Här konfronter</w:t>
      </w:r>
      <w:r w:rsidRPr="00237A2C">
        <w:t>a</w:t>
      </w:r>
      <w:r w:rsidRPr="00237A2C">
        <w:t>des regeringens styrningsbehov och handlingskraft med ämbetsverkens up</w:t>
      </w:r>
      <w:r w:rsidRPr="00237A2C">
        <w:t>p</w:t>
      </w:r>
      <w:r w:rsidRPr="00237A2C">
        <w:t>gift som kunskapsproducent. I sak diskuterades huruvida grundlagen sk</w:t>
      </w:r>
      <w:r w:rsidRPr="00237A2C">
        <w:t>ulle tolkas som att ämbetsverken alltid skulle höras i denna fas av beslutskedjan, eller om departementscheferna själva kunde välja när och vilka verk man vände sig till. Argumenten för en ökad flexibilitet och därmed ökat han</w:t>
      </w:r>
      <w:r w:rsidRPr="00237A2C">
        <w:t>d</w:t>
      </w:r>
      <w:r w:rsidRPr="00237A2C">
        <w:t>lingsutrymme för enskilda departementschefer grundades i en kritik av ä</w:t>
      </w:r>
      <w:r w:rsidRPr="00237A2C">
        <w:t>m</w:t>
      </w:r>
      <w:r w:rsidRPr="00237A2C">
        <w:t xml:space="preserve">betsverkens bidrag och mot förfarandets ineffektivitet. Motståndet mot att öka departementschefernas inflytande var dock starkt. Försvararna av </w:t>
      </w:r>
      <w:r w:rsidRPr="00237A2C">
        <w:rPr>
          <w:i/>
        </w:rPr>
        <w:t>status quo</w:t>
      </w:r>
      <w:r w:rsidRPr="00237A2C">
        <w:t xml:space="preserve"> argumenterade utifrån ståndpunkten att man inte på förhand</w:t>
      </w:r>
      <w:r w:rsidRPr="00237A2C">
        <w:t xml:space="preserve"> kunde veta vilka upplysningar som var viktiga och att departementscheferna därmed inte kunde tillåtas välja bort vissa ämbetsverks bidrag.</w:t>
      </w:r>
      <w:r w:rsidRPr="00237A2C">
        <w:rPr>
          <w:rStyle w:val="Fotnotsreferens"/>
        </w:rPr>
        <w:footnoteReference w:id="23"/>
      </w:r>
    </w:p>
    <w:p w:rsidR="00AE50BA" w:rsidRPr="00237A2C" w:rsidRDefault="00AE50BA">
      <w:pPr>
        <w:pStyle w:val="Normaltindrag"/>
      </w:pPr>
      <w:r w:rsidRPr="00237A2C">
        <w:t>Motståndarna satte här en uppfattning om ”bra kunskap” före ”snabb” och värderade ämbetsverkens bidrag högre än de som ville ge regeringens infl</w:t>
      </w:r>
      <w:r w:rsidRPr="00237A2C">
        <w:t>y</w:t>
      </w:r>
      <w:r w:rsidRPr="00237A2C">
        <w:t>tande över processen större utrymme. Möjligen har denna konflikt sin grund i olikartade kunskapssyner. Vi kan dock också förstå dessa resonemang som en diskussion om makt, där mer pragmatiska motiv är centrala för debatt</w:t>
      </w:r>
      <w:r w:rsidRPr="00237A2C">
        <w:t>ö</w:t>
      </w:r>
      <w:r w:rsidRPr="00237A2C">
        <w:t>rerna. Sådana motiv är ofta svåra att belägga empiriskt. Det är ytterst ova</w:t>
      </w:r>
      <w:r w:rsidRPr="00237A2C">
        <w:t>n</w:t>
      </w:r>
      <w:r w:rsidRPr="00237A2C">
        <w:t xml:space="preserve">ligt att debattörer ger explicita uttryck för egenintressen. Däremot finns det exempel där man öppet diskuterar saken </w:t>
      </w:r>
      <w:r w:rsidRPr="00237A2C">
        <w:rPr>
          <w:i/>
        </w:rPr>
        <w:t>som</w:t>
      </w:r>
      <w:r w:rsidRPr="00237A2C">
        <w:t xml:space="preserve"> en maktfråga. En intressant distinktion är i detta sammanhang den mellan ämbetsverkens själv</w:t>
      </w:r>
      <w:r w:rsidRPr="00237A2C">
        <w:t>ständighet som ett ideal och deras funktion i praktiken. Idén om självständiga ämbet</w:t>
      </w:r>
      <w:r w:rsidRPr="00237A2C">
        <w:t>s</w:t>
      </w:r>
      <w:r w:rsidRPr="00237A2C">
        <w:t>verk som en motvikt till regeringsmakten värderades högt, men konstrukti</w:t>
      </w:r>
      <w:r w:rsidRPr="00237A2C">
        <w:t>o</w:t>
      </w:r>
      <w:r w:rsidRPr="00237A2C">
        <w:t>nen ansågs brista i praktiken eftersom ämbetsverken gick makthavarnas ärenden. Självständigheten villkorades här med en idé om att ämbetsverken måste vara representativa i relation till folkviljan.</w:t>
      </w:r>
      <w:r w:rsidRPr="00237A2C">
        <w:rPr>
          <w:rStyle w:val="Fotnotsreferens"/>
        </w:rPr>
        <w:footnoteReference w:id="24"/>
      </w:r>
    </w:p>
    <w:p w:rsidR="00AE50BA" w:rsidRPr="00237A2C" w:rsidRDefault="00AE50BA">
      <w:pPr>
        <w:pStyle w:val="Normaltindrag"/>
      </w:pPr>
      <w:r w:rsidRPr="00237A2C">
        <w:t>Tydliga ”partipolitiska” linjer var ovanliga i debatten under denna tidsp</w:t>
      </w:r>
      <w:r w:rsidRPr="00237A2C">
        <w:t>e</w:t>
      </w:r>
      <w:r w:rsidRPr="00237A2C">
        <w:t>riod. Ett undantag är en diskussion om ministerstyre som konstitutionsu</w:t>
      </w:r>
      <w:r w:rsidRPr="00237A2C">
        <w:t>t</w:t>
      </w:r>
      <w:r w:rsidRPr="00237A2C">
        <w:t>skottet initierade 1914. Vad som diskuterades var enskilda departementsch</w:t>
      </w:r>
      <w:r w:rsidRPr="00237A2C">
        <w:t>e</w:t>
      </w:r>
      <w:r w:rsidRPr="00237A2C">
        <w:t>fers rätt att utan att först få ett ärende behandlat i statsrådet använda sig av uttrycket ”på nådigaste befallning” då de vände sig till ämbetsverken. I d</w:t>
      </w:r>
      <w:r w:rsidRPr="00237A2C">
        <w:t>e</w:t>
      </w:r>
      <w:r w:rsidRPr="00237A2C">
        <w:t>batten fanns olika uppfattningar om vad som var att betrakta som styrning, och därmed som problematiskt i förhållande till ämbetsverkens självständi</w:t>
      </w:r>
      <w:r w:rsidRPr="00237A2C">
        <w:t>g</w:t>
      </w:r>
      <w:r w:rsidRPr="00237A2C">
        <w:t xml:space="preserve">het. </w:t>
      </w:r>
    </w:p>
    <w:p w:rsidR="00AE50BA" w:rsidRPr="00237A2C" w:rsidRDefault="00AE50BA">
      <w:pPr>
        <w:pStyle w:val="Normaltindrag"/>
      </w:pPr>
      <w:r w:rsidRPr="00237A2C">
        <w:t xml:space="preserve">Högerledamöter menade att om enskilda statsråd själva </w:t>
      </w:r>
      <w:r w:rsidRPr="00237A2C">
        <w:t xml:space="preserve">använde sig av ”på nådigaste befallning” ägnade de sig åt grundlagsvidrigt </w:t>
      </w:r>
      <w:r w:rsidRPr="00237A2C">
        <w:rPr>
          <w:i/>
        </w:rPr>
        <w:t>ministerstyre</w:t>
      </w:r>
      <w:r w:rsidRPr="00237A2C">
        <w:t xml:space="preserve">. En risk att dessa då handlade mot regeringsmaktens egentliga avsikter uppstod. Utan förankring i statsrådet saknades protokoll, vilket försvårade kontroll och ansvarsutkrävande. Tjänstemännens reaktioner på självsvåldig styrning från enskilda statsråd kunde bli ett problem. Denna typ av </w:t>
      </w:r>
      <w:r w:rsidRPr="00237A2C">
        <w:rPr>
          <w:i/>
        </w:rPr>
        <w:t>ministerstyre</w:t>
      </w:r>
      <w:r w:rsidRPr="00237A2C">
        <w:t xml:space="preserve"> ansågs också hota medborgarnas fri- och rättigheter samt stabiliteten och kontinu</w:t>
      </w:r>
      <w:r w:rsidRPr="00237A2C">
        <w:t>i</w:t>
      </w:r>
      <w:r w:rsidRPr="00237A2C">
        <w:t>teten i förvaltningen. I vänsterlägret</w:t>
      </w:r>
      <w:r w:rsidRPr="00237A2C">
        <w:t xml:space="preserve"> gjordes en helt annan bedömning av de enskilda statsrådens handlingsutrymme, </w:t>
      </w:r>
      <w:r w:rsidRPr="00237A2C">
        <w:rPr>
          <w:i/>
        </w:rPr>
        <w:t>de facto</w:t>
      </w:r>
      <w:r w:rsidRPr="00237A2C">
        <w:t xml:space="preserve"> och normativt. Att begära upplysningar som enskilt statsråd kunde knappast vara ministerstyre, och att använda uttrycket ”på nådigaste befallning” var bara en tillämpning av den formella regleringen av regeringsmakten. Ett centralt argument för att e</w:t>
      </w:r>
      <w:r w:rsidRPr="00237A2C">
        <w:t>n</w:t>
      </w:r>
      <w:r w:rsidRPr="00237A2C">
        <w:t>skilda ministrar skulle slippa ta vägen via statsrådet var regeringsmaktens handlingskraft. Några debattörer försökte avdramatisera själva företeelsen ministerstyre genom att</w:t>
      </w:r>
      <w:r w:rsidRPr="00237A2C">
        <w:t xml:space="preserve"> betrakta detta som ”delegering”, vilket var en vanlig företeelse i andra länders styrelseskick. Andra typer av kontakter mellan departement och verk fick illustrera det rådande styrelseskicket. Muntliga kontakter hade till exe</w:t>
      </w:r>
      <w:r w:rsidRPr="00237A2C">
        <w:t>m</w:t>
      </w:r>
      <w:r w:rsidRPr="00237A2C">
        <w:t>pel blivit vanliga.</w:t>
      </w:r>
      <w:r w:rsidRPr="00237A2C">
        <w:rPr>
          <w:rStyle w:val="Fotnotsreferens"/>
        </w:rPr>
        <w:footnoteReference w:id="25"/>
      </w:r>
    </w:p>
    <w:p w:rsidR="00AE50BA" w:rsidRPr="00237A2C" w:rsidRDefault="00AE50BA">
      <w:pPr>
        <w:pStyle w:val="Normaltindrag"/>
      </w:pPr>
      <w:r w:rsidRPr="00237A2C">
        <w:t>En liknande diskussion om vad som ska betraktas som styrmedel i relati</w:t>
      </w:r>
      <w:r w:rsidRPr="00237A2C">
        <w:t>o</w:t>
      </w:r>
      <w:r w:rsidRPr="00237A2C">
        <w:t>nen mellan departement och verk finner vi i debatten om informella konta</w:t>
      </w:r>
      <w:r w:rsidRPr="00237A2C">
        <w:t>k</w:t>
      </w:r>
      <w:r w:rsidRPr="00237A2C">
        <w:t xml:space="preserve">ter 1987 (se nedan).Vår samtids diskussioner om </w:t>
      </w:r>
      <w:r w:rsidRPr="00237A2C">
        <w:rPr>
          <w:i/>
        </w:rPr>
        <w:t>normgivningens precision</w:t>
      </w:r>
      <w:r w:rsidRPr="00237A2C">
        <w:t>, till exempel om ramlagar och mål- och resultatstyrning, har dock endast undantagsvis en motsvarighet under 1900-talets början.</w:t>
      </w:r>
      <w:r w:rsidRPr="00237A2C">
        <w:rPr>
          <w:rStyle w:val="Fotnotsreferens"/>
        </w:rPr>
        <w:footnoteReference w:id="26"/>
      </w:r>
      <w:r w:rsidRPr="00237A2C">
        <w:t xml:space="preserve"> Hur man skulle styra förvaltningen diskuterades i stor utsträckning i relation till frågan om vilken typ av tjänstemän som var att föredra. I vad som på annat håll identif</w:t>
      </w:r>
      <w:r w:rsidRPr="00237A2C">
        <w:t>i</w:t>
      </w:r>
      <w:r w:rsidRPr="00237A2C">
        <w:t>erats som ”rekryteringsdebatten” blir detta tydligt.</w:t>
      </w:r>
      <w:r w:rsidRPr="00237A2C">
        <w:rPr>
          <w:rStyle w:val="Fotnotsreferens"/>
        </w:rPr>
        <w:footnoteReference w:id="27"/>
      </w:r>
    </w:p>
    <w:p w:rsidR="00AE50BA" w:rsidRPr="00237A2C" w:rsidRDefault="00AE50BA">
      <w:pPr>
        <w:pStyle w:val="Normaltindrag"/>
      </w:pPr>
      <w:r w:rsidRPr="00237A2C">
        <w:t>En allmänt utbredd kritik mot ämbetsmännen och förvaltningen som en konservativ kraft fanns hos många vänsterdebattörer under tidsperioden. Frågan om lämpligheten och behovet av att utbilda ämbetsmännen i social etik och humanism diskuterades. I debatten gjordes explicita kopplingar mellan makt- och organisationsfrågor, och långtgående förändringar på o</w:t>
      </w:r>
      <w:r w:rsidRPr="00237A2C">
        <w:t>m</w:t>
      </w:r>
      <w:r w:rsidRPr="00237A2C">
        <w:t xml:space="preserve">rådet föreslogs. Till exempel föreslogs införandet av folkvalda tjänstemän och ett slags lagstadgad plikt och rätt för tjänstemän att anmärka på fel och brister. Detta är vad vi idag skulle kalla </w:t>
      </w:r>
      <w:r w:rsidRPr="00237A2C">
        <w:rPr>
          <w:i/>
        </w:rPr>
        <w:t>whistle blowing</w:t>
      </w:r>
      <w:r w:rsidRPr="00237A2C">
        <w:t>, eller i författning</w:t>
      </w:r>
      <w:r w:rsidRPr="00237A2C">
        <w:t>s</w:t>
      </w:r>
      <w:r w:rsidRPr="00237A2C">
        <w:t xml:space="preserve">termer meddelarfrihet. Vissa av debattinläggen visar med önskvärd tydlighet att vi när vi diskuterar ämbetsverkens självständighet måste precisera frågan genom tillägget självständighet </w:t>
      </w:r>
      <w:r w:rsidRPr="00237A2C">
        <w:rPr>
          <w:i/>
        </w:rPr>
        <w:t>gentemot vad?</w:t>
      </w:r>
      <w:r w:rsidRPr="00237A2C">
        <w:t xml:space="preserve"> Några av de förslag som diskuterades syftade visserligen till en relativt stor</w:t>
      </w:r>
      <w:r w:rsidRPr="00237A2C">
        <w:t xml:space="preserve"> självständighet gentemot överordnade nivåer i styrelseskicket. Den självständiga rollen var dock starkt villkorad av en annan norm, den som ger förvaltningen rollen som folkvi</w:t>
      </w:r>
      <w:r w:rsidRPr="00237A2C">
        <w:t>l</w:t>
      </w:r>
      <w:r w:rsidRPr="00237A2C">
        <w:t>jans förverkligare. Ämbetsverken levde dock inte upp till idealet utan var snarare folkets fiende. Genom utbildning och genom en intim kontakt med folket självt (till exempel genom direkta val) kunde situationen förbättras.</w:t>
      </w:r>
      <w:r w:rsidRPr="00237A2C">
        <w:rPr>
          <w:rStyle w:val="Fotnotsreferens"/>
        </w:rPr>
        <w:footnoteReference w:id="28"/>
      </w:r>
    </w:p>
    <w:p w:rsidR="00AE50BA" w:rsidRPr="00237A2C" w:rsidRDefault="00AE50BA">
      <w:pPr>
        <w:pStyle w:val="Normaltindrag"/>
      </w:pPr>
      <w:r w:rsidRPr="00237A2C">
        <w:t>De konkreta reformförslagen fick inget brett stöd i riksdagen. Många av inläggen präglades av en motvilja mot att närmare reglera dessa frågor och förespråkade istället flexibilitet och ett stort handlingsutrymme för reg</w:t>
      </w:r>
      <w:r w:rsidRPr="00237A2C">
        <w:t>e</w:t>
      </w:r>
      <w:r w:rsidRPr="00237A2C">
        <w:t>ringsmakten.</w:t>
      </w:r>
      <w:r w:rsidRPr="00237A2C">
        <w:rPr>
          <w:rStyle w:val="Fotnotsreferens"/>
        </w:rPr>
        <w:footnoteReference w:id="29"/>
      </w:r>
      <w:r w:rsidRPr="00237A2C">
        <w:t xml:space="preserve"> Frågor som meddelarfrihet, etik och utbildning diskuterades också i debatten 1998. Den dominerande uppfattningen var också då att man inte borde reglera området närmare (se nedan).</w:t>
      </w:r>
    </w:p>
    <w:p w:rsidR="00AE50BA" w:rsidRPr="00237A2C" w:rsidRDefault="00AE50BA">
      <w:pPr>
        <w:pStyle w:val="Normaltindrag"/>
      </w:pPr>
      <w:r w:rsidRPr="00237A2C">
        <w:t>I debatten om departementalkommitterades förslag rörde diskussionen som vi sett ovan en inflyttning av ämbetsverken i departementen. Under perioden debatterades också en motsatt rörelse, en ”utflyttning” i samband med inf</w:t>
      </w:r>
      <w:r w:rsidRPr="00237A2C">
        <w:t>ö</w:t>
      </w:r>
      <w:r w:rsidRPr="00237A2C">
        <w:t>randet av en högsta förvaltningsdomstol, Regeringsrätten 1909. Om man betraktar beslut som korrigeras i besvärsprocesser som en typ av normgi</w:t>
      </w:r>
      <w:r w:rsidRPr="00237A2C">
        <w:t>v</w:t>
      </w:r>
      <w:r w:rsidRPr="00237A2C">
        <w:t>ning eller styrning ”i efterhand” innebar utflyttningen att politikens överhö</w:t>
      </w:r>
      <w:r w:rsidRPr="00237A2C">
        <w:t>g</w:t>
      </w:r>
      <w:r w:rsidRPr="00237A2C">
        <w:t xml:space="preserve">het på vissa områden utmanades. Med införandet av en högsta administrativ domstol följde därmed en potentiell omfördelning av tolkningsföreträdet. </w:t>
      </w:r>
    </w:p>
    <w:p w:rsidR="00AE50BA" w:rsidRPr="00237A2C" w:rsidRDefault="00AE50BA">
      <w:pPr>
        <w:pStyle w:val="Normaltindrag"/>
      </w:pPr>
      <w:r w:rsidRPr="00237A2C">
        <w:t>Till en början handlade debatten om kompetensuppdelningen mellan reg</w:t>
      </w:r>
      <w:r w:rsidRPr="00237A2C">
        <w:t>e</w:t>
      </w:r>
      <w:r w:rsidRPr="00237A2C">
        <w:t xml:space="preserve">ringen och Regeringsrätten. Diskussionen rörde bland annat vilken typ av korrigeringar som borde delegeras från den politiska sfären – hur </w:t>
      </w:r>
      <w:r w:rsidRPr="00237A2C">
        <w:rPr>
          <w:i/>
        </w:rPr>
        <w:t>arbetsfö</w:t>
      </w:r>
      <w:r w:rsidRPr="00237A2C">
        <w:rPr>
          <w:i/>
        </w:rPr>
        <w:t>r</w:t>
      </w:r>
      <w:r w:rsidRPr="00237A2C">
        <w:rPr>
          <w:i/>
        </w:rPr>
        <w:t>delningen</w:t>
      </w:r>
      <w:r w:rsidRPr="00237A2C">
        <w:t xml:space="preserve"> mellan regeringen och Regeringsrätten skulle se ut. Distinktionen mellan juridisk och materiell och mellan formmässig och innehållslig tol</w:t>
      </w:r>
      <w:r w:rsidRPr="00237A2C">
        <w:t>k</w:t>
      </w:r>
      <w:r w:rsidRPr="00237A2C">
        <w:t>ning var här central. Oenighet rådde om vilken typ av prövning som borde vara politikens primat. På 1920-talet blev ämbetsverkens roll i sammanhan</w:t>
      </w:r>
      <w:r w:rsidRPr="00237A2C">
        <w:t>g</w:t>
      </w:r>
      <w:r w:rsidRPr="00237A2C">
        <w:t xml:space="preserve">et aktuell. Om dessa kunde anses lämpliga som besvärsinstans rådde </w:t>
      </w:r>
      <w:r w:rsidRPr="00237A2C">
        <w:t xml:space="preserve">det delade meningar om. Förespråkarna för att minska antalet instanser och nöja sig med ämbetsverken samt Regeringsrätten anförde effektivitet som sitt främsta argument, eller åtminstone som ett värde som gick att kombinera med en tillfredsställande grad av rättssäkerhet. Motståndare i båda kamrarna ansåg dock inte att två instanser räckte, eller att ämbetsverken var lämpade att pröva sina egna beslut. Diskussioner om vilken </w:t>
      </w:r>
      <w:r w:rsidRPr="00237A2C">
        <w:rPr>
          <w:i/>
        </w:rPr>
        <w:t>ledningsmodell</w:t>
      </w:r>
      <w:r w:rsidRPr="00237A2C">
        <w:t xml:space="preserve"> som var att föredra om ämbetsverken fungerade som besvärsinstans upp</w:t>
      </w:r>
      <w:r w:rsidRPr="00237A2C">
        <w:t>stod också. Enrådighetsmodellen förespråkades av vissa, då med ekonomisk effektivitet som främsta argument, den kollegiala modellen ansågs helt enkelt dyrare. Motståndarna ansåg dock att en enrådig chef fick för stort inflytande och att rättssäkerheten därmed var hotad.</w:t>
      </w:r>
      <w:r w:rsidRPr="00237A2C">
        <w:rPr>
          <w:rStyle w:val="Fotnotsreferens"/>
        </w:rPr>
        <w:footnoteReference w:id="30"/>
      </w:r>
    </w:p>
    <w:p w:rsidR="00AE50BA" w:rsidRPr="00237A2C" w:rsidRDefault="00AE50BA">
      <w:pPr>
        <w:pStyle w:val="Normaltindrag"/>
      </w:pPr>
      <w:r w:rsidRPr="00237A2C">
        <w:t>Vi kan konstatera att de frågor som diskuterades och det sätt på vilket di</w:t>
      </w:r>
      <w:r w:rsidRPr="00237A2C">
        <w:t>s</w:t>
      </w:r>
      <w:r w:rsidRPr="00237A2C">
        <w:t>kussionen fördes uppvisar flera likheter med den moderna debatten om rel</w:t>
      </w:r>
      <w:r w:rsidRPr="00237A2C">
        <w:t>a</w:t>
      </w:r>
      <w:r w:rsidRPr="00237A2C">
        <w:t>tionen mellan regeringen och myndigheterna. En viktig slutsats är att deba</w:t>
      </w:r>
      <w:r w:rsidRPr="00237A2C">
        <w:t>t</w:t>
      </w:r>
      <w:r w:rsidRPr="00237A2C">
        <w:t>ten rymde en konflikt mellan regeringens behov att styra och idén om själ</w:t>
      </w:r>
      <w:r w:rsidRPr="00237A2C">
        <w:t>v</w:t>
      </w:r>
      <w:r w:rsidRPr="00237A2C">
        <w:t>ständiga ämbetsverk. Oenigheten rörde bland annat vilken typ av styrsignaler som kunde anses förenliga med ”den svenska förvaltningsmodellen”, som när den definierades beskrevs som självständiga ämbetsverk och frånvaro av ministerstyre.</w:t>
      </w:r>
    </w:p>
    <w:p w:rsidR="00AE50BA" w:rsidRPr="00237A2C" w:rsidRDefault="00AE50BA">
      <w:pPr>
        <w:pStyle w:val="Normaltindrag"/>
      </w:pPr>
      <w:r w:rsidRPr="00237A2C">
        <w:t>Försvaret av den svenska förvaltningsmodellens duala</w:t>
      </w:r>
      <w:r w:rsidRPr="00237A2C">
        <w:t xml:space="preserve"> struktur grundades i uppfattningen om en lämplig arbetsfördelning mellan politik och förvaltning. Ämbetsverkens roll och prestationsförmåga som förmedlare av kunskap och förverkligare av de politiska intentionerna kritiserades dock. Myndigheternas representativitet och lyhördhet för folkviljan diskuterades också på ett mer övergripande plan, och i denna diskussion identifierades ämbetsverken ibland som en önskvärd motvikt till regeringsmakten. I sammanhanget d</w:t>
      </w:r>
      <w:r w:rsidRPr="00237A2C">
        <w:t>e</w:t>
      </w:r>
      <w:r w:rsidRPr="00237A2C">
        <w:t>batterades vidare tjänstemännens roller, utbil</w:t>
      </w:r>
      <w:r w:rsidRPr="00237A2C">
        <w:t>dning och etik. Frågan om my</w:t>
      </w:r>
      <w:r w:rsidRPr="00237A2C">
        <w:t>n</w:t>
      </w:r>
      <w:r w:rsidRPr="00237A2C">
        <w:t>digheternas ledning var också föremål för viss diskussion.</w:t>
      </w:r>
    </w:p>
    <w:p w:rsidR="00AE50BA" w:rsidRPr="00237A2C" w:rsidRDefault="00AE50BA">
      <w:pPr>
        <w:pStyle w:val="Normaltindrag"/>
      </w:pPr>
      <w:r w:rsidRPr="00237A2C">
        <w:t>Den utmaning av modellen som departementalkommitterades förslag om att flytta in ämbetsverken i departementen utgjorde vann ytterst begränsat gehör. Ingen gav explicit uttryck för att modellen borde avskaffas. Det är dock uppenbart att debattörerna inte var överens om vad denna allmänt o</w:t>
      </w:r>
      <w:r w:rsidRPr="00237A2C">
        <w:t>m</w:t>
      </w:r>
      <w:r w:rsidRPr="00237A2C">
        <w:t>huldade konstruktion innebar i relation till regeringens styrningsutrymme och olika styrningsformer. Vi kan möjligen dra slutsatsen att enigheten om modellens förtjänster i förhållande till andra mål och värden var skenbar. En sådan tolkning bygger på insikten att det är lätt att vara överens så länge man inte närmare preciserar vad man är överens om, en slutsats som återkommer också i analysen av den moderna förvaltningspolitiska debatt vi nu ska stud</w:t>
      </w:r>
      <w:r w:rsidRPr="00237A2C">
        <w:t>e</w:t>
      </w:r>
      <w:r w:rsidRPr="00237A2C">
        <w:t>ra närmare.</w:t>
      </w:r>
    </w:p>
    <w:p w:rsidR="00AE50BA" w:rsidRPr="00237A2C" w:rsidRDefault="00AE50BA">
      <w:pPr>
        <w:pStyle w:val="Rubrik2"/>
      </w:pPr>
      <w:bookmarkStart w:id="261" w:name="_Toc509711232"/>
      <w:bookmarkStart w:id="262" w:name="_Toc509738054"/>
      <w:bookmarkStart w:id="263" w:name="_Toc516991673"/>
      <w:r w:rsidRPr="00237A2C">
        <w:t>Förvaltningspolitisk debatt 1987–1998</w:t>
      </w:r>
      <w:bookmarkEnd w:id="261"/>
      <w:bookmarkEnd w:id="262"/>
      <w:bookmarkEnd w:id="263"/>
    </w:p>
    <w:p w:rsidR="00AE50BA" w:rsidRPr="00237A2C" w:rsidRDefault="00AE50BA">
      <w:pPr>
        <w:pStyle w:val="Normalefterrubrik"/>
        <w:rPr>
          <w:sz w:val="19"/>
        </w:rPr>
      </w:pPr>
      <w:r w:rsidRPr="00237A2C">
        <w:rPr>
          <w:sz w:val="19"/>
        </w:rPr>
        <w:t>Lite tillspetsat kan vi hävda att det åren efter grundlagsreformen pågick en ”kamp om förvaltningspolitiken” mellan socialdemokraterna och de borge</w:t>
      </w:r>
      <w:r w:rsidRPr="00237A2C">
        <w:rPr>
          <w:sz w:val="19"/>
        </w:rPr>
        <w:t>r</w:t>
      </w:r>
      <w:r w:rsidRPr="00237A2C">
        <w:rPr>
          <w:sz w:val="19"/>
        </w:rPr>
        <w:t>liga partierna. Socialdemokraterna associerades med byråkratins negativa sidor, den offentliga sektorn hade blivit ”ofantlig”. Till effektivitetsprobl</w:t>
      </w:r>
      <w:r w:rsidRPr="00237A2C">
        <w:rPr>
          <w:sz w:val="19"/>
        </w:rPr>
        <w:t>e</w:t>
      </w:r>
      <w:r w:rsidRPr="00237A2C">
        <w:rPr>
          <w:sz w:val="19"/>
        </w:rPr>
        <w:t>men lades också en demokratisk dimension. Såväl medborgare som folkva</w:t>
      </w:r>
      <w:r w:rsidRPr="00237A2C">
        <w:rPr>
          <w:sz w:val="19"/>
        </w:rPr>
        <w:t>l</w:t>
      </w:r>
      <w:r w:rsidRPr="00237A2C">
        <w:rPr>
          <w:sz w:val="19"/>
        </w:rPr>
        <w:t>da hade fått längre till makten, vilken fallit i händerna på en växande tjän</w:t>
      </w:r>
      <w:r w:rsidRPr="00237A2C">
        <w:rPr>
          <w:sz w:val="19"/>
        </w:rPr>
        <w:t>s</w:t>
      </w:r>
      <w:r w:rsidRPr="00237A2C">
        <w:rPr>
          <w:sz w:val="19"/>
        </w:rPr>
        <w:t>temannaklass. Att socialdemokraterna 1976 för första gången på över 40 år befann sig i opposition förklaras i vissa analyser delvis av antibyråkratiska yttringar i kombination med den ideologiska högervågen.</w:t>
      </w:r>
      <w:r w:rsidRPr="00237A2C">
        <w:rPr>
          <w:rStyle w:val="Fotnotsreferens"/>
          <w:sz w:val="19"/>
        </w:rPr>
        <w:footnoteReference w:id="31"/>
      </w:r>
      <w:r w:rsidRPr="00237A2C">
        <w:rPr>
          <w:sz w:val="19"/>
        </w:rPr>
        <w:t xml:space="preserve"> De borgerliga partierna ägnade bland annat sitt regeringsinnehav åt att skaffa sig en fö</w:t>
      </w:r>
      <w:r w:rsidRPr="00237A2C">
        <w:rPr>
          <w:sz w:val="19"/>
        </w:rPr>
        <w:t>r</w:t>
      </w:r>
      <w:r w:rsidRPr="00237A2C">
        <w:rPr>
          <w:sz w:val="19"/>
        </w:rPr>
        <w:t>valtningspolitik. Ett konkret uttryck för detta var det</w:t>
      </w:r>
      <w:r w:rsidRPr="00237A2C">
        <w:t xml:space="preserve"> </w:t>
      </w:r>
      <w:r w:rsidRPr="00237A2C">
        <w:rPr>
          <w:sz w:val="19"/>
        </w:rPr>
        <w:t>idoga utredande som kommit att prägla den moderna debatten i stor utsträckning. Förvaltningsu</w:t>
      </w:r>
      <w:r w:rsidRPr="00237A2C">
        <w:rPr>
          <w:sz w:val="19"/>
        </w:rPr>
        <w:t>t</w:t>
      </w:r>
      <w:r w:rsidRPr="00237A2C">
        <w:rPr>
          <w:sz w:val="19"/>
        </w:rPr>
        <w:t>redningen är här det inlägg som satt tydligast spår i samtida debatt.</w:t>
      </w:r>
      <w:r w:rsidRPr="00237A2C">
        <w:rPr>
          <w:rStyle w:val="Fotnotsreferens"/>
          <w:sz w:val="19"/>
        </w:rPr>
        <w:footnoteReference w:id="32"/>
      </w:r>
      <w:r w:rsidRPr="00237A2C">
        <w:rPr>
          <w:sz w:val="19"/>
        </w:rPr>
        <w:t xml:space="preserve"> Fö</w:t>
      </w:r>
      <w:r w:rsidRPr="00237A2C">
        <w:rPr>
          <w:sz w:val="19"/>
        </w:rPr>
        <w:t>r</w:t>
      </w:r>
      <w:r w:rsidRPr="00237A2C">
        <w:rPr>
          <w:sz w:val="19"/>
        </w:rPr>
        <w:t>valtningspolitiken blev ett viktigt inslag då socialdemokraterna återerövrade regeringsmakten 1982. Den socialdemokratiska regeringen nöjde sig inte med att utarbeta ett förvaltningspolitiskt program,</w:t>
      </w:r>
      <w:r w:rsidRPr="00237A2C">
        <w:t xml:space="preserve"> </w:t>
      </w:r>
      <w:r w:rsidRPr="00237A2C">
        <w:rPr>
          <w:sz w:val="19"/>
        </w:rPr>
        <w:t>också organisatoriskt markerades områdets vikt genom att ett särskilt departement, Civildepart</w:t>
      </w:r>
      <w:r w:rsidRPr="00237A2C">
        <w:rPr>
          <w:sz w:val="19"/>
        </w:rPr>
        <w:t>e</w:t>
      </w:r>
      <w:r w:rsidRPr="00237A2C">
        <w:rPr>
          <w:sz w:val="19"/>
        </w:rPr>
        <w:t>mentet, inrättades.</w:t>
      </w:r>
      <w:r w:rsidRPr="00237A2C">
        <w:rPr>
          <w:rStyle w:val="Fotnotsreferens"/>
          <w:sz w:val="19"/>
        </w:rPr>
        <w:footnoteReference w:id="33"/>
      </w:r>
    </w:p>
    <w:p w:rsidR="00AE50BA" w:rsidRPr="00237A2C" w:rsidRDefault="00AE50BA">
      <w:pPr>
        <w:pStyle w:val="Normaltindrag"/>
      </w:pPr>
      <w:r w:rsidRPr="00237A2C">
        <w:t>Den moderna förvaltningspolitiska debatten har kretsat kring frågor om den politiska styrningen av förvaltningen och om de värden som enligt d</w:t>
      </w:r>
      <w:r w:rsidRPr="00237A2C">
        <w:t>e</w:t>
      </w:r>
      <w:r w:rsidRPr="00237A2C">
        <w:t>battörerna är centrala i dessa sammanhang. Trots att just normativa aspekter på en lämplig kompetens- och arbetsfördelning mellan politik och förval</w:t>
      </w:r>
      <w:r w:rsidRPr="00237A2C">
        <w:t>t</w:t>
      </w:r>
      <w:r w:rsidRPr="00237A2C">
        <w:t>ning diskuteras, är det sällan som debattörerna utvecklar sina ståndpunkter i de potentiella värdekonflikter som kan uppstå. Tydliga uppfattningar om vilka arbetsuppgifter som är ”politiska” till sin natur, eller omvänt impl</w:t>
      </w:r>
      <w:r w:rsidRPr="00237A2C">
        <w:t>e</w:t>
      </w:r>
      <w:r w:rsidRPr="00237A2C">
        <w:t>menterande, framförs sällan, även om vi kan ana att just sådana uppfattningar ligger till grund för idéer om en lämplig arbetsfördelning.</w:t>
      </w:r>
    </w:p>
    <w:p w:rsidR="00AE50BA" w:rsidRPr="00237A2C" w:rsidRDefault="00AE50BA">
      <w:pPr>
        <w:pStyle w:val="Rubrik2"/>
      </w:pPr>
      <w:bookmarkStart w:id="264" w:name="_Toc509711233"/>
      <w:bookmarkStart w:id="265" w:name="_Toc509738055"/>
      <w:bookmarkStart w:id="266" w:name="_Toc516991674"/>
      <w:r w:rsidRPr="00237A2C">
        <w:t>De konstitutionella förutsättningarna för styrning är större än man tror. Förvaltningsutredningens försök år 1983 att ange en ny ton</w:t>
      </w:r>
      <w:bookmarkEnd w:id="264"/>
      <w:bookmarkEnd w:id="265"/>
      <w:bookmarkEnd w:id="266"/>
    </w:p>
    <w:p w:rsidR="00AE50BA" w:rsidRPr="00237A2C" w:rsidRDefault="00AE50BA">
      <w:r w:rsidRPr="00237A2C">
        <w:t xml:space="preserve">Förvaltningsutredningen beskrev 1983 den förhärskande föreställningen om den svenska förvaltningsmodellen som en </w:t>
      </w:r>
      <w:r w:rsidRPr="00237A2C">
        <w:rPr>
          <w:i/>
        </w:rPr>
        <w:t>missuppfattning</w:t>
      </w:r>
      <w:r w:rsidRPr="00237A2C">
        <w:t>.</w:t>
      </w:r>
      <w:r w:rsidRPr="00237A2C">
        <w:rPr>
          <w:rStyle w:val="Fotnotsreferens"/>
        </w:rPr>
        <w:footnoteReference w:id="34"/>
      </w:r>
      <w:r w:rsidRPr="00237A2C">
        <w:t xml:space="preserve"> Slutsatsen grundades i en bedömning av vad den politiska sfären fick styra och hur styrningen fick gå till. I fokus för argumentationen i denna del stod RF 11:7</w:t>
      </w:r>
      <w:r w:rsidRPr="00237A2C">
        <w:rPr>
          <w:rStyle w:val="Fotnotsreferens"/>
        </w:rPr>
        <w:footnoteReference w:id="35"/>
      </w:r>
      <w:r w:rsidRPr="00237A2C">
        <w:t xml:space="preserve"> och frågan om hur informella kontakter mellan departement och myndigheter skulle betraktas.</w:t>
      </w:r>
    </w:p>
    <w:p w:rsidR="00AE50BA" w:rsidRPr="00237A2C" w:rsidRDefault="00AE50BA">
      <w:pPr>
        <w:pStyle w:val="Normaltindrag"/>
      </w:pPr>
      <w:r w:rsidRPr="00237A2C">
        <w:t>Vad gällde grundlagsstadgandet om myndigheternas självständighet påp</w:t>
      </w:r>
      <w:r w:rsidRPr="00237A2C">
        <w:t>e</w:t>
      </w:r>
      <w:r w:rsidRPr="00237A2C">
        <w:t>kade utredningen att området för denna handlingsfrihet var tämligen begrä</w:t>
      </w:r>
      <w:r w:rsidRPr="00237A2C">
        <w:t>n</w:t>
      </w:r>
      <w:r w:rsidRPr="00237A2C">
        <w:t>sat och inte omfattade organisatoriska eller administrativa förhållanden. Något hinder att styra via generella föreskrifter fanns inte heller. Praxis fö</w:t>
      </w:r>
      <w:r w:rsidRPr="00237A2C">
        <w:t>r</w:t>
      </w:r>
      <w:r w:rsidRPr="00237A2C">
        <w:t>växlades enligt utredningen med de egentliga konstitutionella förutsättnin</w:t>
      </w:r>
      <w:r w:rsidRPr="00237A2C">
        <w:t>g</w:t>
      </w:r>
      <w:r w:rsidRPr="00237A2C">
        <w:t>arna. Det utredningen här gjorde var sammanfattningsvis att påminna om att RF 11:7 inte var ett generellt förbud för regeringen att styra i enskilda fö</w:t>
      </w:r>
      <w:r w:rsidRPr="00237A2C">
        <w:t>r</w:t>
      </w:r>
      <w:r w:rsidRPr="00237A2C">
        <w:t>valtningsärenden, utan i en viss typ av sådana. Samma typ</w:t>
      </w:r>
      <w:r w:rsidRPr="00237A2C">
        <w:t xml:space="preserve"> av missuppfat</w:t>
      </w:r>
      <w:r w:rsidRPr="00237A2C">
        <w:t>t</w:t>
      </w:r>
      <w:r w:rsidRPr="00237A2C">
        <w:t xml:space="preserve">ning gällde de </w:t>
      </w:r>
      <w:r w:rsidRPr="00237A2C">
        <w:rPr>
          <w:i/>
        </w:rPr>
        <w:t>informella kontakterna</w:t>
      </w:r>
      <w:r w:rsidRPr="00237A2C">
        <w:t xml:space="preserve"> mellan departement och myndigheter. Att informellt förmedla en ståndpunkt var varken olagligt eller för den delen ovanligt. Utredarna påpekade vidare att denna typ av signaler inte kunde betraktas som rättsligt bindande.</w:t>
      </w:r>
      <w:r w:rsidRPr="00237A2C">
        <w:rPr>
          <w:rStyle w:val="Fotnotsreferens"/>
        </w:rPr>
        <w:footnoteReference w:id="36"/>
      </w:r>
    </w:p>
    <w:p w:rsidR="00AE50BA" w:rsidRPr="00237A2C" w:rsidRDefault="00AE50BA">
      <w:pPr>
        <w:pStyle w:val="Normaltindrag"/>
      </w:pPr>
      <w:r w:rsidRPr="00237A2C">
        <w:t>Relationen mellan regeringen och förvaltningen bestämdes dock inte e</w:t>
      </w:r>
      <w:r w:rsidRPr="00237A2C">
        <w:t>n</w:t>
      </w:r>
      <w:r w:rsidRPr="00237A2C">
        <w:t>bart av de konstitutionella förutsättningarna. Flera omständigheter bidrog till att förvaltningen kunde agera relativt självständigt. ”Ostyrbarheten” orsak</w:t>
      </w:r>
      <w:r w:rsidRPr="00237A2C">
        <w:t>a</w:t>
      </w:r>
      <w:r w:rsidRPr="00237A2C">
        <w:t xml:space="preserve">des delvis av en ovilja att styra, delvis av en bristande förmåga att göra det. Vidare hade den offentliga sektorns expansion medfört delegering och nya styrformer som </w:t>
      </w:r>
      <w:r w:rsidRPr="00237A2C">
        <w:rPr>
          <w:i/>
        </w:rPr>
        <w:t>ramlagar</w:t>
      </w:r>
      <w:r w:rsidRPr="00237A2C">
        <w:t xml:space="preserve"> och </w:t>
      </w:r>
      <w:r w:rsidRPr="00237A2C">
        <w:rPr>
          <w:i/>
        </w:rPr>
        <w:t>rambudgetering</w:t>
      </w:r>
      <w:r w:rsidRPr="00237A2C">
        <w:t xml:space="preserve"> där myndigheternas roll blev en annan än rent verkställande. En ytterligare faktor var tjänstemännens ökade oberoende av staten, arbetsrättsligt och genom ökad</w:t>
      </w:r>
      <w:r w:rsidRPr="00237A2C">
        <w:t xml:space="preserve"> specialisering och professionalisering. Impulser utifrån, genom lekmannamedverkan och org</w:t>
      </w:r>
      <w:r w:rsidRPr="00237A2C">
        <w:t>a</w:t>
      </w:r>
      <w:r w:rsidRPr="00237A2C">
        <w:t>nisationer, från kommuner och marknaden, påverkade enligt Förvaltningsu</w:t>
      </w:r>
      <w:r w:rsidRPr="00237A2C">
        <w:t>t</w:t>
      </w:r>
      <w:r w:rsidRPr="00237A2C">
        <w:t>redningen också förvaltningens självständighet.</w:t>
      </w:r>
      <w:r w:rsidRPr="00237A2C">
        <w:rPr>
          <w:rStyle w:val="Fotnotsreferens"/>
        </w:rPr>
        <w:footnoteReference w:id="37"/>
      </w:r>
    </w:p>
    <w:p w:rsidR="00AE50BA" w:rsidRPr="00237A2C" w:rsidRDefault="00AE50BA">
      <w:pPr>
        <w:pStyle w:val="Normaltindrag"/>
      </w:pPr>
      <w:r w:rsidRPr="00237A2C">
        <w:t>Utredningen sammanfattade läget som att regeringsformens grundläggande legitimitetsprincip, folksuveräniteten, inte slagit igenom i praktiken. Pr</w:t>
      </w:r>
      <w:r w:rsidRPr="00237A2C">
        <w:t>o</w:t>
      </w:r>
      <w:r w:rsidRPr="00237A2C">
        <w:t>blembeskrivningen kunde vara hämtad från departementalkommitterades betänkande från 1900-talets början  – ansvar hade inte delegerats i paritet med den beslutskompetens som flyttats från den politiska sfären. Regerin</w:t>
      </w:r>
      <w:r w:rsidRPr="00237A2C">
        <w:t>g</w:t>
      </w:r>
      <w:r w:rsidRPr="00237A2C">
        <w:t>ens styrande funktion, lekmannastyrelserna i verken och utövandet av för</w:t>
      </w:r>
      <w:r w:rsidRPr="00237A2C">
        <w:t>e</w:t>
      </w:r>
      <w:r w:rsidRPr="00237A2C">
        <w:t>skriftsmakten präglades av osäkerhet. Vi anar här en kritik mot vad som kan kallas politikens abdikering. De konstitutionella missuppfattningarna, liksom den medvetna underlåtenheten att styra, kunde rättas till genom att</w:t>
      </w:r>
      <w:r w:rsidRPr="00237A2C">
        <w:t xml:space="preserve"> riksdag och regering återtog sin beslutskompetens. Detta kunde ske genom att del</w:t>
      </w:r>
      <w:r w:rsidRPr="00237A2C">
        <w:t>e</w:t>
      </w:r>
      <w:r w:rsidRPr="00237A2C">
        <w:t>gering återtogs, genom att det politiska inslaget förflyttades till myndighet</w:t>
      </w:r>
      <w:r w:rsidRPr="00237A2C">
        <w:t>s</w:t>
      </w:r>
      <w:r w:rsidRPr="00237A2C">
        <w:t>ledningarna eller att styrning överläts till marknaden. Utredarna markerade dock att de var medvetna om att det i dagens samhälle var oundvikligt att decentralisera verksamheter av effektivitetsskäl.</w:t>
      </w:r>
      <w:r w:rsidRPr="00237A2C">
        <w:rPr>
          <w:rStyle w:val="Fotnotsreferens"/>
        </w:rPr>
        <w:footnoteReference w:id="38"/>
      </w:r>
    </w:p>
    <w:p w:rsidR="00AE50BA" w:rsidRPr="00237A2C" w:rsidRDefault="00AE50BA">
      <w:pPr>
        <w:pStyle w:val="Rubrik2"/>
      </w:pPr>
      <w:bookmarkStart w:id="267" w:name="_Toc509711234"/>
      <w:bookmarkStart w:id="268" w:name="_Toc509738056"/>
      <w:bookmarkStart w:id="269" w:name="_Toc516991675"/>
      <w:r w:rsidRPr="00237A2C">
        <w:t>Debatten om den förvaltningspolitiska propositionen 1987</w:t>
      </w:r>
      <w:bookmarkEnd w:id="267"/>
      <w:bookmarkEnd w:id="268"/>
      <w:bookmarkEnd w:id="269"/>
    </w:p>
    <w:p w:rsidR="00AE50BA" w:rsidRPr="00237A2C" w:rsidRDefault="00AE50BA">
      <w:r w:rsidRPr="00237A2C">
        <w:t>Den tolkning av regeringens styrningsutrymme som Förvaltningsutredningen lanserat fick stort utrymme i debatten 1987. I en omfattande förvaltningsp</w:t>
      </w:r>
      <w:r w:rsidRPr="00237A2C">
        <w:t>o</w:t>
      </w:r>
      <w:r w:rsidRPr="00237A2C">
        <w:t>litisk proposition anslöt sig den socialdemokratiska regeringen till Verksle</w:t>
      </w:r>
      <w:r w:rsidRPr="00237A2C">
        <w:t>d</w:t>
      </w:r>
      <w:r w:rsidRPr="00237A2C">
        <w:t>ningskommitténs ställningstaganden, som i stora delar överensstämde med Förvaltningsutredningens.</w:t>
      </w:r>
      <w:r w:rsidRPr="00237A2C">
        <w:rPr>
          <w:rStyle w:val="Fotnotsreferens"/>
        </w:rPr>
        <w:footnoteReference w:id="39"/>
      </w:r>
      <w:r w:rsidRPr="00237A2C">
        <w:t xml:space="preserve"> En liknande argumentation finner vi också hos vänsterpartiet kommunisterna som dock ännu starkare ville betona det pol</w:t>
      </w:r>
      <w:r w:rsidRPr="00237A2C">
        <w:t>i</w:t>
      </w:r>
      <w:r w:rsidRPr="00237A2C">
        <w:t>tiska styrningsbehovet.</w:t>
      </w:r>
      <w:r w:rsidRPr="00237A2C">
        <w:rPr>
          <w:rStyle w:val="Fotnotsreferens"/>
        </w:rPr>
        <w:footnoteReference w:id="40"/>
      </w:r>
      <w:r w:rsidRPr="00237A2C">
        <w:t xml:space="preserve"> Bland de borgerliga partierna fanns större skepsis. </w:t>
      </w:r>
    </w:p>
    <w:p w:rsidR="00AE50BA" w:rsidRPr="00237A2C" w:rsidRDefault="00AE50BA">
      <w:pPr>
        <w:pStyle w:val="Normaltindrag"/>
      </w:pPr>
      <w:r w:rsidRPr="00237A2C">
        <w:t>Utgångspunkten var här snarare ämbetsverkens självständighet som en del av den svenska förvaltningsmodellen än regeringens styrningsbehov. Mod</w:t>
      </w:r>
      <w:r w:rsidRPr="00237A2C">
        <w:t>e</w:t>
      </w:r>
      <w:r w:rsidRPr="00237A2C">
        <w:t>raterna och centern ansåg inte att något outnyttjat styrningsutrymme fanns, och heller inte att det borde finnas. Den svenska förvaltningstraditionen beskrevs av moderaterna som ”självständiga myndigheter, relativt klara ansvarsförhållanden och en tradition av kunniga och lojala ämbetsmän samt en offentlighetsprincip som har syftat till att garantera insyn och kontroll”. Folkpartiet avvek från den borgerliga linjen i så måtto att man i likhet med vänsterpartierna betonade regeringens styrningsbehov iställe</w:t>
      </w:r>
      <w:r w:rsidRPr="00237A2C">
        <w:t>t för ämbetsve</w:t>
      </w:r>
      <w:r w:rsidRPr="00237A2C">
        <w:t>r</w:t>
      </w:r>
      <w:r w:rsidRPr="00237A2C">
        <w:t>kens själ</w:t>
      </w:r>
      <w:r w:rsidRPr="00237A2C">
        <w:t>v</w:t>
      </w:r>
      <w:r w:rsidRPr="00237A2C">
        <w:t>ständighet.</w:t>
      </w:r>
      <w:r w:rsidRPr="00237A2C">
        <w:rPr>
          <w:rStyle w:val="Fotnotsreferens"/>
        </w:rPr>
        <w:footnoteReference w:id="41"/>
      </w:r>
    </w:p>
    <w:p w:rsidR="00AE50BA" w:rsidRPr="00237A2C" w:rsidRDefault="00AE50BA">
      <w:pPr>
        <w:pStyle w:val="Normaltindrag"/>
      </w:pPr>
      <w:r w:rsidRPr="00237A2C">
        <w:t>I detta sammanhang blir det centralt hur debattörerna formulerade sin syn på arbetsfördelningen mellan den politiska sfären och förvaltningen. Här fanns i huvudsak tre ståndpunkter. De borgerliga partierna betonade en strikt gränsdragning mellan politiskt beslutsfattande och implementering, mellan ”politik och förvaltning”</w:t>
      </w:r>
      <w:r w:rsidRPr="00237A2C">
        <w:rPr>
          <w:rStyle w:val="Fotnotsreferens"/>
        </w:rPr>
        <w:footnoteReference w:id="42"/>
      </w:r>
      <w:r w:rsidRPr="00237A2C">
        <w:t xml:space="preserve"> medan vänsterpartiet kommunisterna avvisade en sådan distinktion som omöjlig och otidsenlig. Förvaltningen var alltid pol</w:t>
      </w:r>
      <w:r w:rsidRPr="00237A2C">
        <w:t>i</w:t>
      </w:r>
      <w:r w:rsidRPr="00237A2C">
        <w:t>tisk, den viktiga frågan var hur det politiska inslaget i myndigheterna utfo</w:t>
      </w:r>
      <w:r w:rsidRPr="00237A2C">
        <w:t>r</w:t>
      </w:r>
      <w:r w:rsidRPr="00237A2C">
        <w:t>mades.</w:t>
      </w:r>
      <w:r w:rsidRPr="00237A2C">
        <w:rPr>
          <w:rStyle w:val="Fotnotsreferens"/>
        </w:rPr>
        <w:footnoteReference w:id="43"/>
      </w:r>
      <w:r w:rsidRPr="00237A2C">
        <w:t xml:space="preserve"> Den socialdemokratiska regeringen intog en tredje, mer problemat</w:t>
      </w:r>
      <w:r w:rsidRPr="00237A2C">
        <w:t>i</w:t>
      </w:r>
      <w:r w:rsidRPr="00237A2C">
        <w:t>serad och samtidigt otydligare position. Ämbetsverkens roll i svensk förval</w:t>
      </w:r>
      <w:r w:rsidRPr="00237A2C">
        <w:t>t</w:t>
      </w:r>
      <w:r w:rsidRPr="00237A2C">
        <w:t xml:space="preserve">ningstradition var </w:t>
      </w:r>
      <w:r w:rsidRPr="00237A2C">
        <w:rPr>
          <w:i/>
        </w:rPr>
        <w:t>både</w:t>
      </w:r>
      <w:r w:rsidRPr="00237A2C">
        <w:t xml:space="preserve"> självständig </w:t>
      </w:r>
      <w:r w:rsidRPr="00237A2C">
        <w:rPr>
          <w:i/>
        </w:rPr>
        <w:t>och</w:t>
      </w:r>
      <w:r w:rsidRPr="00237A2C">
        <w:t xml:space="preserve"> underordnad regeringen. Arbetsfö</w:t>
      </w:r>
      <w:r w:rsidRPr="00237A2C">
        <w:t>r</w:t>
      </w:r>
      <w:r w:rsidRPr="00237A2C">
        <w:t>delningen i beslutskedjan beskrevs som att myndigheternas roll var i grunden utförande, men hade förändrats så att förvaltningen också ägnade sig åt helt andra typer av uppgifter, åt ”centrala politiska avvägningar”.</w:t>
      </w:r>
      <w:r w:rsidRPr="00237A2C">
        <w:rPr>
          <w:rStyle w:val="Fotnotsreferens"/>
        </w:rPr>
        <w:footnoteReference w:id="44"/>
      </w:r>
    </w:p>
    <w:p w:rsidR="00AE50BA" w:rsidRPr="00237A2C" w:rsidRDefault="00AE50BA">
      <w:pPr>
        <w:pStyle w:val="Normaltindrag"/>
      </w:pPr>
      <w:r w:rsidRPr="00237A2C">
        <w:t xml:space="preserve">Synen på vilken som var förvaltningens uppgift framträdde, till viss del uttalat, också i diskussioner om olika styrmedel. </w:t>
      </w:r>
      <w:r w:rsidRPr="00237A2C">
        <w:rPr>
          <w:i/>
        </w:rPr>
        <w:t>Ramlagstiftningens</w:t>
      </w:r>
      <w:r w:rsidRPr="00237A2C">
        <w:t xml:space="preserve"> fö</w:t>
      </w:r>
      <w:r w:rsidRPr="00237A2C">
        <w:t>r</w:t>
      </w:r>
      <w:r w:rsidRPr="00237A2C">
        <w:t xml:space="preserve">tjänster hyllades av socialdemokraterna, givet att de politiska intentionerna formulerades tydligt. Ambitionen var att styra </w:t>
      </w:r>
      <w:r w:rsidRPr="00237A2C">
        <w:rPr>
          <w:i/>
        </w:rPr>
        <w:t>mer</w:t>
      </w:r>
      <w:r w:rsidRPr="00237A2C">
        <w:t xml:space="preserve">, genom tydliga </w:t>
      </w:r>
      <w:r w:rsidRPr="00237A2C">
        <w:rPr>
          <w:i/>
        </w:rPr>
        <w:t>mål</w:t>
      </w:r>
      <w:r w:rsidRPr="00237A2C">
        <w:t xml:space="preserve">, men </w:t>
      </w:r>
      <w:r w:rsidRPr="00237A2C">
        <w:rPr>
          <w:i/>
        </w:rPr>
        <w:t>mindre</w:t>
      </w:r>
      <w:r w:rsidRPr="00237A2C">
        <w:t xml:space="preserve"> genom att delegera beslut om </w:t>
      </w:r>
      <w:r w:rsidRPr="00237A2C">
        <w:rPr>
          <w:i/>
        </w:rPr>
        <w:t>medel</w:t>
      </w:r>
      <w:r w:rsidRPr="00237A2C">
        <w:t xml:space="preserve"> till myndigheterna.</w:t>
      </w:r>
      <w:r w:rsidRPr="00237A2C">
        <w:rPr>
          <w:rStyle w:val="Fotnotsreferens"/>
        </w:rPr>
        <w:footnoteReference w:id="45"/>
      </w:r>
      <w:r w:rsidRPr="00237A2C">
        <w:t xml:space="preserve"> De borge</w:t>
      </w:r>
      <w:r w:rsidRPr="00237A2C">
        <w:t>r</w:t>
      </w:r>
      <w:r w:rsidRPr="00237A2C">
        <w:t>liga partierna var däremot uttalat negativa till denna typ av styrning eftersom man ansåg att den delegerade beslutsmakt till förvaltningen utan att ge några precisa instruktioner om hur denna skulle användas. Rättssäkerhet var ett centralt argument i de borgerliga partiernas argumentation för en strikt im</w:t>
      </w:r>
      <w:r w:rsidRPr="00237A2C">
        <w:t>p</w:t>
      </w:r>
      <w:r w:rsidRPr="00237A2C">
        <w:t>l-ementerande förvaltning.</w:t>
      </w:r>
      <w:r w:rsidRPr="00237A2C">
        <w:rPr>
          <w:rStyle w:val="Fotnotsreferens"/>
        </w:rPr>
        <w:footnoteReference w:id="46"/>
      </w:r>
    </w:p>
    <w:p w:rsidR="00AE50BA" w:rsidRPr="00237A2C" w:rsidRDefault="00AE50BA">
      <w:pPr>
        <w:pStyle w:val="Normaltindrag"/>
      </w:pPr>
      <w:r w:rsidRPr="00237A2C">
        <w:t xml:space="preserve">En annan stötesten var om </w:t>
      </w:r>
      <w:r w:rsidRPr="00237A2C">
        <w:rPr>
          <w:i/>
        </w:rPr>
        <w:t>informella kontakter</w:t>
      </w:r>
      <w:r w:rsidRPr="00237A2C">
        <w:t xml:space="preserve"> borde förekomma i rel</w:t>
      </w:r>
      <w:r w:rsidRPr="00237A2C">
        <w:t>a</w:t>
      </w:r>
      <w:r w:rsidRPr="00237A2C">
        <w:t>tionen mellan departementen och myndigheterna. Här är det tydligt att ko</w:t>
      </w:r>
      <w:r w:rsidRPr="00237A2C">
        <w:t>n</w:t>
      </w:r>
      <w:r w:rsidRPr="00237A2C">
        <w:t>flikten bottnade i huruvida dessa kontakter var att betrakta som styrning – och därmed problematiska i förhållande till ämbetsverkens självständighet  och och förbudet mot ministerstyre – eller ej. Socialdemokraterna och folkpartiet gick här på utredningslinjen, informella kontakter var att betrakta som info</w:t>
      </w:r>
      <w:r w:rsidRPr="00237A2C">
        <w:t>r</w:t>
      </w:r>
      <w:r w:rsidRPr="00237A2C">
        <w:t>mationsutbyte och inte som styrning.</w:t>
      </w:r>
      <w:r w:rsidRPr="00237A2C">
        <w:rPr>
          <w:rStyle w:val="Fotnotsreferens"/>
        </w:rPr>
        <w:footnoteReference w:id="47"/>
      </w:r>
      <w:r w:rsidRPr="00237A2C">
        <w:t xml:space="preserve"> Moderaterna och centern intog dock den motsatta ståndpunkten. Båda partierna gjorde i denna diskussion inlägg som kan tolkas som att de uppfattade regeringens proposition på denna punkt som en strävan att införa ministerstyre. Till exempel påpekade moderaterna att enbart formella och </w:t>
      </w:r>
      <w:r w:rsidRPr="00237A2C">
        <w:rPr>
          <w:i/>
        </w:rPr>
        <w:t>kollektiva</w:t>
      </w:r>
      <w:r w:rsidRPr="00237A2C">
        <w:t xml:space="preserve"> regeringsbeslut var tillåtna. Centern hävd</w:t>
      </w:r>
      <w:r w:rsidRPr="00237A2C">
        <w:t>a</w:t>
      </w:r>
      <w:r w:rsidRPr="00237A2C">
        <w:t>de att informella kontakter borde undvikas ”även om det kan innebära att departementschefer känner sig frustrerade av att deras maktbefogenheter är kringskurna vad gäller f</w:t>
      </w:r>
      <w:r w:rsidRPr="00237A2C">
        <w:t>örvaltningsbeslut i enskilda fall”.</w:t>
      </w:r>
      <w:r w:rsidRPr="00237A2C">
        <w:rPr>
          <w:rStyle w:val="Fotnotsreferens"/>
        </w:rPr>
        <w:footnoteReference w:id="48"/>
      </w:r>
    </w:p>
    <w:p w:rsidR="00AE50BA" w:rsidRPr="00237A2C" w:rsidRDefault="00AE50BA">
      <w:pPr>
        <w:pStyle w:val="Normaltindrag"/>
      </w:pPr>
      <w:r w:rsidRPr="00237A2C">
        <w:t>Den socialdemokratiska regeringens ambition var att minska detaljsty</w:t>
      </w:r>
      <w:r w:rsidRPr="00237A2C">
        <w:t>r</w:t>
      </w:r>
      <w:r w:rsidRPr="00237A2C">
        <w:t>ningen av förvaltningen till förmån för långsiktig, planerande styrning.</w:t>
      </w:r>
      <w:r w:rsidRPr="00237A2C">
        <w:rPr>
          <w:rStyle w:val="Fotnotsreferens"/>
        </w:rPr>
        <w:footnoteReference w:id="49"/>
      </w:r>
      <w:r w:rsidRPr="00237A2C">
        <w:t xml:space="preserve"> En arbetsfördelning där beslutsmakt delegerades kunde kompletteras av lämpl</w:t>
      </w:r>
      <w:r w:rsidRPr="00237A2C">
        <w:t>i</w:t>
      </w:r>
      <w:r w:rsidRPr="00237A2C">
        <w:t xml:space="preserve">ga vägval i andra styrningsfrågor. </w:t>
      </w:r>
      <w:r w:rsidRPr="00237A2C">
        <w:rPr>
          <w:i/>
        </w:rPr>
        <w:t>Myndigheternas ledningsmodell</w:t>
      </w:r>
      <w:r w:rsidRPr="00237A2C">
        <w:t xml:space="preserve"> blev därmed av stort intresse. Kopplingen mellan ledningsmodeller och ramla</w:t>
      </w:r>
      <w:r w:rsidRPr="00237A2C">
        <w:t>g</w:t>
      </w:r>
      <w:r w:rsidRPr="00237A2C">
        <w:t>stiftning var explicit, denna typ av styrning var både nödvändig och önskvärd men lämnade myndigheterna med reell normgivningsmakt. Som ett kompl</w:t>
      </w:r>
      <w:r w:rsidRPr="00237A2C">
        <w:t>e</w:t>
      </w:r>
      <w:r w:rsidRPr="00237A2C">
        <w:t>ment till den direkta styrningen skulle myndigheterna därför förses med beslutande lekmannastyrelser. Dessa skulle bestå av folkvalda från olika niv</w:t>
      </w:r>
      <w:r w:rsidRPr="00237A2C">
        <w:t>åer då dessa ansågs tillföra ”områdeskunskap” och ”allmänt medborge</w:t>
      </w:r>
      <w:r w:rsidRPr="00237A2C">
        <w:t>r</w:t>
      </w:r>
      <w:r w:rsidRPr="00237A2C">
        <w:t>ligt omdöme”. På så sätt kunde myndigheternas professionella kunskap kompletteras.</w:t>
      </w:r>
      <w:r w:rsidRPr="00237A2C">
        <w:rPr>
          <w:rStyle w:val="Fotnotsreferens"/>
        </w:rPr>
        <w:footnoteReference w:id="50"/>
      </w:r>
    </w:p>
    <w:p w:rsidR="00AE50BA" w:rsidRPr="00237A2C" w:rsidRDefault="00AE50BA">
      <w:pPr>
        <w:pStyle w:val="Normaltindrag"/>
      </w:pPr>
      <w:r w:rsidRPr="00237A2C">
        <w:t>Det är inte helt uppenbart hur synen på lekmännens bidrag ska förstås, i klarspråk hur ”politiskt” det ska tolkas. I en diskussion om att styrelserna inte borde ha något inflytande över myndigheternas remissvar varnade regeringen för att politiska och andra intressen kunde inverka negativt på förvaltningens sakliga bedömningar. Vad gäller de områden där styrelserna skulle ha besl</w:t>
      </w:r>
      <w:r w:rsidRPr="00237A2C">
        <w:t>u</w:t>
      </w:r>
      <w:r w:rsidRPr="00237A2C">
        <w:t>tanderätt (föreskrifter riktade till allmänheten, kommuner, landsting, företag och enskilda samt beslut om anslagsframställningar och verksamhetsberätte</w:t>
      </w:r>
      <w:r w:rsidRPr="00237A2C">
        <w:t>l</w:t>
      </w:r>
      <w:r w:rsidRPr="00237A2C">
        <w:t>ser) uttrycktes ingen oro över politisering eller särintressenas genomslag.</w:t>
      </w:r>
      <w:r w:rsidRPr="00237A2C">
        <w:rPr>
          <w:rStyle w:val="Fotnotsreferens"/>
        </w:rPr>
        <w:footnoteReference w:id="51"/>
      </w:r>
      <w:r w:rsidRPr="00237A2C">
        <w:t xml:space="preserve"> Den kunskap och det omdöme som lekmännen skulle bidra med, och varför detta, får vi förmoda, skulle vara oproblematiskt i förhållande till de övriga demokratiska beslutsnivåerna, utvecklades inte i propositionen. Regeringen preciserade sig dock vad gäller de folkvaldas närvaro i styrelserna såtillvida att dessa inte skulle vara parlamentariskt sammansatta, och alltså inte ”politiska” i den meningen. Argumentet var här att oppositionella ledamöter då kunde bli ett problem för regeringens styrning. I detta s</w:t>
      </w:r>
      <w:r w:rsidRPr="00237A2C">
        <w:t>ammanhang def</w:t>
      </w:r>
      <w:r w:rsidRPr="00237A2C">
        <w:t>i</w:t>
      </w:r>
      <w:r w:rsidRPr="00237A2C">
        <w:t>nierades vidare ett av inslagen i ”svensk förvaltningstradition” som ”bred folklig förankring”.</w:t>
      </w:r>
      <w:r w:rsidRPr="00237A2C">
        <w:rPr>
          <w:rStyle w:val="Fotnotsreferens"/>
        </w:rPr>
        <w:footnoteReference w:id="52"/>
      </w:r>
    </w:p>
    <w:p w:rsidR="00AE50BA" w:rsidRPr="00237A2C" w:rsidRDefault="00AE50BA">
      <w:pPr>
        <w:pStyle w:val="Normaltindrag"/>
      </w:pPr>
      <w:r w:rsidRPr="00237A2C">
        <w:t>En parlamentarisk modell förespråkades dock av vänsterpartiet komm</w:t>
      </w:r>
      <w:r w:rsidRPr="00237A2C">
        <w:t>u</w:t>
      </w:r>
      <w:r w:rsidRPr="00237A2C">
        <w:t>nisterna, som vidare tog kraftigt avstånd från propositionens förslag om korporativ intressebalansering i styrelser på vissa områden.</w:t>
      </w:r>
      <w:r w:rsidRPr="00237A2C">
        <w:rPr>
          <w:rStyle w:val="Fotnotsreferens"/>
        </w:rPr>
        <w:footnoteReference w:id="53"/>
      </w:r>
      <w:r w:rsidRPr="00237A2C">
        <w:t xml:space="preserve"> Kompletterande styrning genom lekmannastyrelser godkändes inte av moderaterna eller fol</w:t>
      </w:r>
      <w:r w:rsidRPr="00237A2C">
        <w:t>k</w:t>
      </w:r>
      <w:r w:rsidRPr="00237A2C">
        <w:t>partiet, som istället föredrog en ensamt beslutande och ansvarig chef. Det är tacksamt att kontrastera socialdemokraternas argumentation om ledningsm</w:t>
      </w:r>
      <w:r w:rsidRPr="00237A2C">
        <w:t>o</w:t>
      </w:r>
      <w:r w:rsidRPr="00237A2C">
        <w:t xml:space="preserve">deller med moderaternas. Beslutande styrelser var enligt moderaterna olämpliga </w:t>
      </w:r>
      <w:r w:rsidRPr="00237A2C">
        <w:rPr>
          <w:i/>
        </w:rPr>
        <w:t>just</w:t>
      </w:r>
      <w:r w:rsidRPr="00237A2C">
        <w:t xml:space="preserve"> på grund av att myndigheterna ibland fattade beslut av politisk art, och just för att beslut om anslagsframställningar var av stor vikt. H</w:t>
      </w:r>
      <w:r w:rsidRPr="00237A2C">
        <w:t>u</w:t>
      </w:r>
      <w:r w:rsidRPr="00237A2C">
        <w:t>vudargumentet var klara ansvarsförhållanden, vilka</w:t>
      </w:r>
      <w:r w:rsidRPr="00237A2C">
        <w:t xml:space="preserve"> bäst kunde åstadkommas genom att man valde enrådighetsmodellen.</w:t>
      </w:r>
      <w:r w:rsidRPr="00237A2C">
        <w:rPr>
          <w:rStyle w:val="Fotnotsreferens"/>
        </w:rPr>
        <w:footnoteReference w:id="54"/>
      </w:r>
      <w:r w:rsidRPr="00237A2C">
        <w:t xml:space="preserve"> Centerpartiet var något vagt vad gällde myndighetsledningarna, och uttryckte kritik mot regeringens förslag som ansågs outvecklat.</w:t>
      </w:r>
      <w:r w:rsidRPr="00237A2C">
        <w:rPr>
          <w:rStyle w:val="Fotnotsreferens"/>
        </w:rPr>
        <w:footnoteReference w:id="55"/>
      </w:r>
    </w:p>
    <w:p w:rsidR="00AE50BA" w:rsidRPr="00237A2C" w:rsidRDefault="00AE50BA">
      <w:pPr>
        <w:pStyle w:val="Normaltindrag"/>
      </w:pPr>
      <w:r w:rsidRPr="00237A2C">
        <w:t>Den förvaltningspolitiska debatten kring riksdagsbeslutet 1987 är i sa</w:t>
      </w:r>
      <w:r w:rsidRPr="00237A2C">
        <w:t>m</w:t>
      </w:r>
      <w:r w:rsidRPr="00237A2C">
        <w:t>manhanget relativt utförlig vad gäller de principiella ställningstaganden som debattörerna framför som sina huvudsakliga argument. Socialdemokraterna, i regeringsställning, stod för de mest omfattande inläggen. Kritik riktades från övriga riksdagspartier mot regeringens resonemang, mot vad som uppfatt</w:t>
      </w:r>
      <w:r w:rsidRPr="00237A2C">
        <w:t>a</w:t>
      </w:r>
      <w:r w:rsidRPr="00237A2C">
        <w:t>des som en vaghet, eller glidning, mellan en ökad politisk styrning och en bevarad självständighet för myndigheterna. Socialdemokraterna ville dock skilja mellan att styra mer, och tydligare, vad gäller verks</w:t>
      </w:r>
      <w:r w:rsidRPr="00237A2C">
        <w:t>amheternas mål och mindre vad gäller medlen för utförandet. Distinktionen bemöttes dock med skepsis, tydligast hos de borgerliga partierna. Framför allt moderaterna och centern betonade skillnaden mellan politiska beslut och implementering, och drog därav slutsatsen att den politiska styrningen borde vara precis (ej i form av ramlagar) och formell, vilket möjliggjorde självständiga myndigheter som ägnade sig åt i huvudsak implementering. Att beslutskompetens av politisk art delegerades till myndigheterna ku</w:t>
      </w:r>
      <w:r w:rsidRPr="00237A2C">
        <w:t>nde inte enligt de borgerliga partierna motivera att den demokratiska kontrollen av detta beslutsfattande skedde genom lekmannastyrelser med beslutskompetens. Socialdemokraterna och vänsterpartiet kommunisterna intog den motsatta ståndpunkten. I denna diskussion framträdde tydligt hur debattörerna kopplade samman frågan om arbetsfördelning med synen på olika styrningsinstrument.</w:t>
      </w:r>
    </w:p>
    <w:p w:rsidR="00AE50BA" w:rsidRPr="00237A2C" w:rsidRDefault="00AE50BA">
      <w:pPr>
        <w:pStyle w:val="Normaltindrag"/>
      </w:pPr>
      <w:r w:rsidRPr="00237A2C">
        <w:t xml:space="preserve">Frågan om regeringens styrningsutrymme och om informella kontakter som styrning eller information illustrerar två huvudpositioner </w:t>
      </w:r>
      <w:r w:rsidRPr="00237A2C">
        <w:t>i frågan om vad den svenska förvaltningsmodellen kan rymma. Tydligast opponerade sig här centerpartiet och moderaterna mot vad som uppfattades som en omtol</w:t>
      </w:r>
      <w:r w:rsidRPr="00237A2C">
        <w:t>k</w:t>
      </w:r>
      <w:r w:rsidRPr="00237A2C">
        <w:t>ning av relationen mellan regeringen och myndigheterna.</w:t>
      </w:r>
    </w:p>
    <w:p w:rsidR="00AE50BA" w:rsidRPr="00237A2C" w:rsidRDefault="00AE50BA">
      <w:pPr>
        <w:pStyle w:val="Rubrik2"/>
      </w:pPr>
      <w:bookmarkStart w:id="270" w:name="_Toc509711235"/>
      <w:bookmarkStart w:id="271" w:name="_Toc509738057"/>
      <w:bookmarkStart w:id="272" w:name="_Toc516991676"/>
      <w:r w:rsidRPr="00237A2C">
        <w:t>De borgerliga regeringsåren på 1990-talet</w:t>
      </w:r>
      <w:bookmarkEnd w:id="270"/>
      <w:bookmarkEnd w:id="271"/>
      <w:bookmarkEnd w:id="272"/>
    </w:p>
    <w:p w:rsidR="00AE50BA" w:rsidRPr="00237A2C" w:rsidRDefault="00AE50BA">
      <w:r w:rsidRPr="00237A2C">
        <w:t>I regeringsställning var de borgerliga partiernas retoriska anslag annorlunda än i debatten 1987. I den förvaltningspolitiska propositionen 1994 valde den borgerliga regeringen att utgå från regeringens situation istället för betonin</w:t>
      </w:r>
      <w:r w:rsidRPr="00237A2C">
        <w:t>g</w:t>
      </w:r>
      <w:r w:rsidRPr="00237A2C">
        <w:t>en av en svensk förvaltningstradition med självständiga ämbetsverk och en klar arbetsfördelning eller ”boskillnad” mellan politik och förvaltning. Denna förändring bör, med tanke på den typ av material som här analyserats, b</w:t>
      </w:r>
      <w:r w:rsidRPr="00237A2C">
        <w:t>e</w:t>
      </w:r>
      <w:r w:rsidRPr="00237A2C">
        <w:t>traktas som en gradskillnad snarare än som belägg för att de borgerliga part</w:t>
      </w:r>
      <w:r w:rsidRPr="00237A2C">
        <w:t>i</w:t>
      </w:r>
      <w:r w:rsidRPr="00237A2C">
        <w:t>erna skulle ha bytt ståndpunkt. Diskussionen om regeringens möjligheter att styra och de behov nya förutsättningar skapat illustrerar detta. Vad gäller det förstnämnda är det intressant att notera att regering</w:t>
      </w:r>
      <w:r w:rsidRPr="00237A2C">
        <w:t>en tog fasta på RF 1:6, det vill säga att regeringen ska styra riket, ansvarig inför riksdagen, och RF 11:6 – att myndigheterna lyder under regeringen. I debatten 1987 hade man istället framhållit RF 11:7 om självständighet i myndighetsutövning och explicit och utförligt förordat de formella styrningsformerna framför de så kallade informella kontakterna. Denna argumentation hade nu fallit bort. Man konstaterade istället kort att regeringen ”inom ramen för regeringsfo</w:t>
      </w:r>
      <w:r w:rsidRPr="00237A2C">
        <w:t>r</w:t>
      </w:r>
      <w:r w:rsidRPr="00237A2C">
        <w:t>men och riksdagens beslut har...att bedö</w:t>
      </w:r>
      <w:r w:rsidRPr="00237A2C">
        <w:t>ma hur och i vilken utsträckning den vill styra förvaltningen.”</w:t>
      </w:r>
      <w:r w:rsidRPr="00237A2C">
        <w:rPr>
          <w:rStyle w:val="Fotnotsreferens"/>
        </w:rPr>
        <w:footnoteReference w:id="56"/>
      </w:r>
      <w:r w:rsidRPr="00237A2C">
        <w:t xml:space="preserve"> I regeringsställning valde de borgerliga partierna alltså att betona en </w:t>
      </w:r>
      <w:r w:rsidRPr="00237A2C">
        <w:rPr>
          <w:i/>
        </w:rPr>
        <w:t>annan</w:t>
      </w:r>
      <w:r w:rsidRPr="00237A2C">
        <w:t xml:space="preserve"> del av det konstitutionella ramverk som har rel</w:t>
      </w:r>
      <w:r w:rsidRPr="00237A2C">
        <w:t>e</w:t>
      </w:r>
      <w:r w:rsidRPr="00237A2C">
        <w:t>vans för relationen mellan regeringen och myndigheterna än vad de gjorde 1987. Konstitutionsutskottet nämnde dock RF 11:7 i sin diskussion om reg</w:t>
      </w:r>
      <w:r w:rsidRPr="00237A2C">
        <w:t>e</w:t>
      </w:r>
      <w:r w:rsidRPr="00237A2C">
        <w:t>ringens styrning och myndigh</w:t>
      </w:r>
      <w:r w:rsidRPr="00237A2C">
        <w:t>e</w:t>
      </w:r>
      <w:r w:rsidRPr="00237A2C">
        <w:t>ternas självständighet.</w:t>
      </w:r>
      <w:r w:rsidRPr="00237A2C">
        <w:rPr>
          <w:rStyle w:val="Fotnotsreferens"/>
        </w:rPr>
        <w:footnoteReference w:id="57"/>
      </w:r>
    </w:p>
    <w:p w:rsidR="00AE50BA" w:rsidRPr="00237A2C" w:rsidRDefault="00AE50BA">
      <w:pPr>
        <w:pStyle w:val="Normaltindrag"/>
      </w:pPr>
      <w:r w:rsidRPr="00237A2C">
        <w:t xml:space="preserve">Vad regeringen efterlyste var en starkare, tydligare och mer </w:t>
      </w:r>
      <w:r w:rsidRPr="00237A2C">
        <w:rPr>
          <w:i/>
        </w:rPr>
        <w:t>direkt styrning</w:t>
      </w:r>
      <w:r w:rsidRPr="00237A2C">
        <w:t xml:space="preserve"> av myndigheterna än vad som vid denna tidpunkt förekom. Argumenten för detta hämtades ur en verklighetsbeskrivning där regeringens behov av flex</w:t>
      </w:r>
      <w:r w:rsidRPr="00237A2C">
        <w:t>i</w:t>
      </w:r>
      <w:r w:rsidRPr="00237A2C">
        <w:t>bilitet och anpassning var huvudteman. Mål- och resultatstyrning, en fortsatt delegering av ansvar för ekonomi, inre organisation och rekrytering samt de krav Europaintegrationen ställde på styrning och samordning var de huvu</w:t>
      </w:r>
      <w:r w:rsidRPr="00237A2C">
        <w:t>d</w:t>
      </w:r>
      <w:r w:rsidRPr="00237A2C">
        <w:t>sakliga omständigheter som regeringen anförde som argument för en ökad styrning av förvaltningen. Här finns flera likheter me</w:t>
      </w:r>
      <w:r w:rsidRPr="00237A2C">
        <w:t>d den socialdemokrati</w:t>
      </w:r>
      <w:r w:rsidRPr="00237A2C">
        <w:t>s</w:t>
      </w:r>
      <w:r w:rsidRPr="00237A2C">
        <w:t>ka linjen i debatten 1987. Ett slags ”styra mer och styra mindre-resonemang” fördes i diskussionen om fortsatt delegering kombinerad med tydligare sty</w:t>
      </w:r>
      <w:r w:rsidRPr="00237A2C">
        <w:t>r</w:t>
      </w:r>
      <w:r w:rsidRPr="00237A2C">
        <w:t>ningssignaler.</w:t>
      </w:r>
      <w:r w:rsidRPr="00237A2C">
        <w:rPr>
          <w:rStyle w:val="Fotnotsreferens"/>
        </w:rPr>
        <w:footnoteReference w:id="58"/>
      </w:r>
    </w:p>
    <w:p w:rsidR="00AE50BA" w:rsidRPr="00237A2C" w:rsidRDefault="00AE50BA">
      <w:pPr>
        <w:pStyle w:val="Normaltindrag"/>
      </w:pPr>
      <w:r w:rsidRPr="00237A2C">
        <w:t>Socialdemokraternas argumentation hade sedan 1987 förändrats på samma punkt som de borgerligas, det vill säga vad gällde frågan om regeringens styrningsutrymme. I opposition fokuserade nu socialdemokraterna en svensk förvaltningstradition av självständiga myndigheter och frånvaro av ”ministerstyrning”. Man tolkade regeringens förslag som en strävan mot ökad ministerstyre, och skrivningen om regeringens behov av att styra ”strategiskt, samordnat och effektivt och utan omväg eller fördröjande fö</w:t>
      </w:r>
      <w:r w:rsidRPr="00237A2C">
        <w:t>r</w:t>
      </w:r>
      <w:r w:rsidRPr="00237A2C">
        <w:t>hållanden” (det vill säga direkt, förf. anm.) som ett bevis för detta.</w:t>
      </w:r>
      <w:r w:rsidRPr="00237A2C">
        <w:rPr>
          <w:rStyle w:val="Fotnotsreferens"/>
        </w:rPr>
        <w:footnoteReference w:id="59"/>
      </w:r>
    </w:p>
    <w:p w:rsidR="00AE50BA" w:rsidRPr="00237A2C" w:rsidRDefault="00AE50BA">
      <w:pPr>
        <w:pStyle w:val="Normaltindrag"/>
      </w:pPr>
      <w:r w:rsidRPr="00237A2C">
        <w:t xml:space="preserve">I debatten kopplades frågan om regeringens styrningsbehov explicit till valet av </w:t>
      </w:r>
      <w:r w:rsidRPr="00237A2C">
        <w:rPr>
          <w:i/>
        </w:rPr>
        <w:t>ledningsmodell.</w:t>
      </w:r>
      <w:r w:rsidRPr="00237A2C">
        <w:rPr>
          <w:rStyle w:val="Fotnotsreferens"/>
        </w:rPr>
        <w:footnoteReference w:id="60"/>
      </w:r>
      <w:r w:rsidRPr="00237A2C">
        <w:t xml:space="preserve"> Regeringen förordade här enrådiga verkschefer som huvudalternativ.</w:t>
      </w:r>
    </w:p>
    <w:p w:rsidR="00AE50BA" w:rsidRPr="00237A2C" w:rsidRDefault="00AE50BA">
      <w:pPr>
        <w:pStyle w:val="Brdtext"/>
        <w:ind w:left="284"/>
      </w:pPr>
      <w:r w:rsidRPr="00237A2C">
        <w:t>Mot bakgrund av vad vi hittills sagt anser vi att möjligheterna för reg</w:t>
      </w:r>
      <w:r w:rsidRPr="00237A2C">
        <w:t>e</w:t>
      </w:r>
      <w:r w:rsidRPr="00237A2C">
        <w:t>ringen att i en tid av ofta snabba och stora förändringar styra myndigh</w:t>
      </w:r>
      <w:r w:rsidRPr="00237A2C">
        <w:t>e</w:t>
      </w:r>
      <w:r w:rsidRPr="00237A2C">
        <w:t>terna strategiskt, samordnat och effektivt är störst om de utgör enrådi</w:t>
      </w:r>
      <w:r w:rsidRPr="00237A2C">
        <w:t>g</w:t>
      </w:r>
      <w:r w:rsidRPr="00237A2C">
        <w:t>hetsverk. Regeringen kan då – inom ramen för de konstitutionella regler som gäller – utan omväg eller fördröjande omständigheter föra en dialog med den som har det avgörande ansvaret och bl.a. klargöra de politiska pri</w:t>
      </w:r>
      <w:r w:rsidRPr="00237A2C">
        <w:t>o</w:t>
      </w:r>
      <w:r w:rsidRPr="00237A2C">
        <w:t>riteringarna. (Prop. 1993/94:185, s. 9 f)</w:t>
      </w:r>
    </w:p>
    <w:p w:rsidR="00AE50BA" w:rsidRPr="00237A2C" w:rsidRDefault="00AE50BA">
      <w:r w:rsidRPr="00237A2C">
        <w:t>Delegeringen av ansvar för inre organisationsfrågor till myndigheterna me</w:t>
      </w:r>
      <w:r w:rsidRPr="00237A2C">
        <w:t>d</w:t>
      </w:r>
      <w:r w:rsidRPr="00237A2C">
        <w:t>förde enligt regeringen att myndighetschefens ställning stärktes. Det var därför angeläget att regeringen ”relativt snabbt” skulle kunna byta ut en ledning som ”inte fungerade tillfredsställande”.</w:t>
      </w:r>
      <w:r w:rsidRPr="00237A2C">
        <w:rPr>
          <w:rStyle w:val="Fotnotsreferens"/>
        </w:rPr>
        <w:footnoteReference w:id="61"/>
      </w:r>
      <w:r w:rsidRPr="00237A2C">
        <w:t xml:space="preserve"> Här gav regeringen uttryck för idén att en förändrad arbetsfördelning medförde förändrade maktförhå</w:t>
      </w:r>
      <w:r w:rsidRPr="00237A2C">
        <w:t>l</w:t>
      </w:r>
      <w:r w:rsidRPr="00237A2C">
        <w:t>landen och därmed borde kompletteras med lämpliga styrningsmöjligheter för regeringen.</w:t>
      </w:r>
    </w:p>
    <w:p w:rsidR="00AE50BA" w:rsidRPr="00237A2C" w:rsidRDefault="00AE50BA">
      <w:pPr>
        <w:pStyle w:val="Normaltindrag"/>
      </w:pPr>
      <w:r w:rsidRPr="00237A2C">
        <w:t>Regeringen skulle ha utrymme att välja även andra ledningsmodeller. E</w:t>
      </w:r>
      <w:r w:rsidRPr="00237A2C">
        <w:t>x</w:t>
      </w:r>
      <w:r w:rsidRPr="00237A2C">
        <w:t>pert- och lekmannamedverkan skulle dock främst tillföras myndigheterna i rådgivande organ. Vad gäller behovet av medborgerlig insyn hade Kommi</w:t>
      </w:r>
      <w:r w:rsidRPr="00237A2C">
        <w:t>t</w:t>
      </w:r>
      <w:r w:rsidRPr="00237A2C">
        <w:t>tén om förvaltningsmyndigheternas ledningsformer hävdat att denna garant</w:t>
      </w:r>
      <w:r w:rsidRPr="00237A2C">
        <w:t>e</w:t>
      </w:r>
      <w:r w:rsidRPr="00237A2C">
        <w:t>rades av en mängd kontrollmöjligheter (offentlighetsprincipen, riksdagens kontrollorgan med mera) och att några insynsorgan i förvaltningen därmed inte var nödvändiga.</w:t>
      </w:r>
      <w:r w:rsidRPr="00237A2C">
        <w:rPr>
          <w:rStyle w:val="Fotnotsreferens"/>
        </w:rPr>
        <w:footnoteReference w:id="62"/>
      </w:r>
      <w:r w:rsidRPr="00237A2C">
        <w:t xml:space="preserve"> Här intog dock regeringen en annan ståndpunkt, att av regeringen tillsatta lekmannaorgan skulle ges granskande uppgifter. Le</w:t>
      </w:r>
      <w:r w:rsidRPr="00237A2C">
        <w:t>k</w:t>
      </w:r>
      <w:r w:rsidRPr="00237A2C">
        <w:t>mannamedverkan definierades av den borgerliga regeringen intressant nog som ett av den svenska förvaltningsmodellens karaktärsdrag, och därmed som något man inte kunde ändra utan vidare.</w:t>
      </w:r>
      <w:r w:rsidRPr="00237A2C">
        <w:rPr>
          <w:rStyle w:val="Fotnotsreferens"/>
        </w:rPr>
        <w:footnoteReference w:id="63"/>
      </w:r>
      <w:r w:rsidRPr="00237A2C">
        <w:t xml:space="preserve"> </w:t>
      </w:r>
    </w:p>
    <w:p w:rsidR="00AE50BA" w:rsidRPr="00237A2C" w:rsidRDefault="00AE50BA">
      <w:pPr>
        <w:pStyle w:val="Normaltindrag"/>
      </w:pPr>
      <w:r w:rsidRPr="00237A2C">
        <w:t>Samma idé var ett av socialdemokraternas huvudargument för att lekma</w:t>
      </w:r>
      <w:r w:rsidRPr="00237A2C">
        <w:t>n</w:t>
      </w:r>
      <w:r w:rsidRPr="00237A2C">
        <w:t>nastyrelser skulle vara den dominerande ledningsformen i förvaltningen eftersom de medförde både sakkunskap och medborgerligt omdöme och bidrog till den medborgerliga insyn som gjorde det svenska förvaltningssy-stemet unikt. Det delade ansvaret med verkschefer borde i enlighet med regeringens förslag upphöra och styrelserna göras totalt ansvariga. Endast i ”smärre myndigheter” som sysslade med ”rutinärenden” kunde regeringens förslag om enrådiga chefer och insynsorgan tolereras. På vissa områden var lekman</w:t>
      </w:r>
      <w:r w:rsidRPr="00237A2C">
        <w:t>nastyrelser ett ”absolut krav”: myndigheter vars verksamhet innebar ingripanden i den medborgerliga friheten och medborgarnas ekonomi, my</w:t>
      </w:r>
      <w:r w:rsidRPr="00237A2C">
        <w:t>n</w:t>
      </w:r>
      <w:r w:rsidRPr="00237A2C">
        <w:t>digheter i affärsliknande förhållanden, med stort ansvar eller som givits stor självständighet, till exempel på kultur- och forskningsområdet.</w:t>
      </w:r>
      <w:r w:rsidRPr="00237A2C">
        <w:rPr>
          <w:rStyle w:val="Fotnotsreferens"/>
        </w:rPr>
        <w:footnoteReference w:id="64"/>
      </w:r>
      <w:r w:rsidRPr="00237A2C">
        <w:t xml:space="preserve"> Vi ser här ett tydligt exempel på hur olika varianter av arbetsfördelning mellan reg</w:t>
      </w:r>
      <w:r w:rsidRPr="00237A2C">
        <w:t>e</w:t>
      </w:r>
      <w:r w:rsidRPr="00237A2C">
        <w:t>ringen och förvaltningsmyndigheterna kopplades till idéer om lämpliga le</w:t>
      </w:r>
      <w:r w:rsidRPr="00237A2C">
        <w:t>d</w:t>
      </w:r>
      <w:r w:rsidRPr="00237A2C">
        <w:t>ningsmodeller.</w:t>
      </w:r>
    </w:p>
    <w:p w:rsidR="00AE50BA" w:rsidRPr="00237A2C" w:rsidRDefault="00AE50BA">
      <w:pPr>
        <w:pStyle w:val="Normaltindrag"/>
      </w:pPr>
      <w:r w:rsidRPr="00237A2C">
        <w:t xml:space="preserve">Vänsterpartiet föredrog </w:t>
      </w:r>
      <w:r w:rsidRPr="00237A2C">
        <w:rPr>
          <w:i/>
        </w:rPr>
        <w:t>status quo</w:t>
      </w:r>
      <w:r w:rsidRPr="00237A2C">
        <w:t xml:space="preserve"> vad gällde ledningsformen, det vill säga delat ansvar mellan chef och lekmannastyrelse. Ledningsfunktionen kunde dock göras tydligare. Styrelserna ansågs kunna bidra med kompetens, erf</w:t>
      </w:r>
      <w:r w:rsidRPr="00237A2C">
        <w:t>a</w:t>
      </w:r>
      <w:r w:rsidRPr="00237A2C">
        <w:t>renhet och vad som närmast måste tolkas som representativitet: man menade att ”styrelserna speglar ofta olika delar av samhället”, vilket ansågs unde</w:t>
      </w:r>
      <w:r w:rsidRPr="00237A2C">
        <w:t>r</w:t>
      </w:r>
      <w:r w:rsidRPr="00237A2C">
        <w:t>lätta ”överblick och förankring”. Enrådiga chefer innebar en ökad risk för ”muntliga beslut”, vilka försvårade allmänhetens insyn och kontroll. Vilka som skulle komma</w:t>
      </w:r>
      <w:r w:rsidRPr="00237A2C">
        <w:t xml:space="preserve"> att tala med varandra är oklart, vi vet inte om det är b</w:t>
      </w:r>
      <w:r w:rsidRPr="00237A2C">
        <w:t>e</w:t>
      </w:r>
      <w:r w:rsidRPr="00237A2C">
        <w:t>slutsfattandet internt i myndigheten eller informella muntliga kontakter me</w:t>
      </w:r>
      <w:r w:rsidRPr="00237A2C">
        <w:t>l</w:t>
      </w:r>
      <w:r w:rsidRPr="00237A2C">
        <w:t>lan departement och myndigheter som avses. Klart är dock att vänsterpartiet ansåg att enrådighetsmodellen lade alldeles för stor makt i en enda hand, verkschefens.</w:t>
      </w:r>
      <w:r w:rsidRPr="00237A2C">
        <w:rPr>
          <w:rStyle w:val="Fotnotsreferens"/>
        </w:rPr>
        <w:footnoteReference w:id="65"/>
      </w:r>
      <w:r w:rsidRPr="00237A2C">
        <w:t xml:space="preserve"> Också ny demokrati gav sig in i debatten och markerade kraftfullt mot idén om att riksdagsledamöter skulle kunna ta plats i lekma</w:t>
      </w:r>
      <w:r w:rsidRPr="00237A2C">
        <w:t>n</w:t>
      </w:r>
      <w:r w:rsidRPr="00237A2C">
        <w:t>nastyrelserna. Detta ansågs hota riksdagens oväld. Ny demokrati ville profe</w:t>
      </w:r>
      <w:r w:rsidRPr="00237A2C">
        <w:t>s</w:t>
      </w:r>
      <w:r w:rsidRPr="00237A2C">
        <w:t>sionalisera styrelserna och införa näringslivets styrelseideal i den offentliga förvaltningen.</w:t>
      </w:r>
      <w:r w:rsidRPr="00237A2C">
        <w:rPr>
          <w:rStyle w:val="Fotnotsreferens"/>
        </w:rPr>
        <w:footnoteReference w:id="66"/>
      </w:r>
    </w:p>
    <w:p w:rsidR="00AE50BA" w:rsidRPr="00237A2C" w:rsidRDefault="00AE50BA">
      <w:pPr>
        <w:pStyle w:val="Normaltindrag"/>
      </w:pPr>
      <w:r w:rsidRPr="00237A2C">
        <w:t>Om vår analys av den förvaltningspolitiska debatten under perioden efter grundlagsreformen stannade här, skulle vi förmodligen dra slutsatsen att partier i regeringsställning tenderar att betona regeringens styrningsutrymme och behovet av flexibla och snabba lösningar, medan oppositionspartier resonerar med utgångspunkt i ämbetsverkens självständighet. Vi har dock möjligheten att observera ett regeringsskifte till och fler förvaltningspolitiska beslut som är jämförbara med de tidigare. Socialdemokraterna r</w:t>
      </w:r>
      <w:r w:rsidRPr="00237A2C">
        <w:t>egerar åter, de borgerliga partierna är åter i opposition. Det visar sig dock att tendensen att byta utgångspunkt när man byter parlamentarisk position inte är lika tydlig i detta fall. Den socialdemokratiska regeringen hade i debatten 1995 mer gemensamt med moderaterna och folkpartiet än med den politiska vänstern, sina egna partikamrater inkluderade, och centern.</w:t>
      </w:r>
    </w:p>
    <w:p w:rsidR="00AE50BA" w:rsidRPr="00237A2C" w:rsidRDefault="00AE50BA">
      <w:pPr>
        <w:pStyle w:val="Rubrik2"/>
      </w:pPr>
      <w:bookmarkStart w:id="273" w:name="_Toc509711236"/>
      <w:bookmarkStart w:id="274" w:name="_Toc509738058"/>
      <w:bookmarkStart w:id="275" w:name="_Toc516991677"/>
      <w:r w:rsidRPr="00237A2C">
        <w:t>Debatten om den socialdemokratiska propositionen 1995</w:t>
      </w:r>
      <w:bookmarkEnd w:id="273"/>
      <w:bookmarkEnd w:id="274"/>
      <w:bookmarkEnd w:id="275"/>
    </w:p>
    <w:p w:rsidR="00AE50BA" w:rsidRPr="00237A2C" w:rsidRDefault="00AE50BA">
      <w:pPr>
        <w:pStyle w:val="Normalefterrubrik"/>
        <w:rPr>
          <w:sz w:val="19"/>
        </w:rPr>
      </w:pPr>
      <w:r w:rsidRPr="00237A2C">
        <w:rPr>
          <w:sz w:val="19"/>
        </w:rPr>
        <w:t xml:space="preserve">Åter vid makten tog den socialdemokratiska regeringen ännu ett initiativ i verksledningsfrågan. Man förordade nu full flexibilitet för regeringen att välja </w:t>
      </w:r>
      <w:r w:rsidRPr="00237A2C">
        <w:rPr>
          <w:i/>
          <w:sz w:val="19"/>
        </w:rPr>
        <w:t>ledningsmodell</w:t>
      </w:r>
      <w:r w:rsidRPr="00237A2C">
        <w:rPr>
          <w:sz w:val="19"/>
        </w:rPr>
        <w:t>. Den socialdemokratiska regeringen tog sin utgång</w:t>
      </w:r>
      <w:r w:rsidRPr="00237A2C">
        <w:rPr>
          <w:sz w:val="19"/>
        </w:rPr>
        <w:t>s</w:t>
      </w:r>
      <w:r w:rsidRPr="00237A2C">
        <w:rPr>
          <w:sz w:val="19"/>
        </w:rPr>
        <w:t>punkt i regeringens styrningsbehov, och denna del av argumentationen är snarlik den borgerliga regeringens 1994. Skillnaderna ligger i markeringen att enrådighetsmodellen inte skulle utgöra huvudalternativet, att delat ansvar mellan chef och styrelse kunde förekomma samt en positiv värdering av intresserepresentanternas eventuella återinträde i verksstyrelserna. Moder</w:t>
      </w:r>
      <w:r w:rsidRPr="00237A2C">
        <w:rPr>
          <w:sz w:val="19"/>
        </w:rPr>
        <w:t>a</w:t>
      </w:r>
      <w:r w:rsidRPr="00237A2C">
        <w:rPr>
          <w:sz w:val="19"/>
        </w:rPr>
        <w:t>terna och folkpartisterna reserverade sig i Konstitutionsutskottet på den si</w:t>
      </w:r>
      <w:r w:rsidRPr="00237A2C">
        <w:rPr>
          <w:sz w:val="19"/>
        </w:rPr>
        <w:t>stnämnda punkten, men ställde sig i övrigt bakom propositionen. Varken den socialdemokratiska regeringen, moderaterna eller folkpartiet tog sin utgångspunkt i, eller ens nämnde, styrningsbehovets potentiella koppling till frågan om ämbet</w:t>
      </w:r>
      <w:r w:rsidRPr="00237A2C">
        <w:rPr>
          <w:sz w:val="19"/>
        </w:rPr>
        <w:t>s</w:t>
      </w:r>
      <w:r w:rsidRPr="00237A2C">
        <w:rPr>
          <w:sz w:val="19"/>
        </w:rPr>
        <w:t>verkens självständighet.</w:t>
      </w:r>
      <w:r w:rsidRPr="00237A2C">
        <w:rPr>
          <w:rStyle w:val="Fotnotsreferens"/>
          <w:sz w:val="19"/>
        </w:rPr>
        <w:footnoteReference w:id="67"/>
      </w:r>
      <w:r w:rsidRPr="00237A2C">
        <w:rPr>
          <w:sz w:val="19"/>
        </w:rPr>
        <w:t xml:space="preserve"> </w:t>
      </w:r>
    </w:p>
    <w:p w:rsidR="00AE50BA" w:rsidRPr="00237A2C" w:rsidRDefault="00AE50BA">
      <w:pPr>
        <w:pStyle w:val="Normaltindrag"/>
      </w:pPr>
      <w:r w:rsidRPr="00237A2C">
        <w:t xml:space="preserve">De övriga ledamöterna i Konstitutionsutskottet, </w:t>
      </w:r>
      <w:r w:rsidRPr="00237A2C">
        <w:rPr>
          <w:i/>
        </w:rPr>
        <w:t>inklusive</w:t>
      </w:r>
      <w:r w:rsidRPr="00237A2C">
        <w:t xml:space="preserve"> socialdemokr</w:t>
      </w:r>
      <w:r w:rsidRPr="00237A2C">
        <w:t>a</w:t>
      </w:r>
      <w:r w:rsidRPr="00237A2C">
        <w:t>terna, var dock missnöjda med regeringens förslag. Större flexibilitet för regeringen var ett steg på vägen, men inte tillräckligt. Socialdemokraterna, vänsterpartiet, miljöpartiet och centern förordade den reservation sociald</w:t>
      </w:r>
      <w:r w:rsidRPr="00237A2C">
        <w:t>e</w:t>
      </w:r>
      <w:r w:rsidRPr="00237A2C">
        <w:t>mokraterna avgivit i Konstitutionsutskottet 1994 framför den nu aktuella propositionen. Man tog därmed ställning för en betoning på lekmannastyre</w:t>
      </w:r>
      <w:r w:rsidRPr="00237A2C">
        <w:t>l</w:t>
      </w:r>
      <w:r w:rsidRPr="00237A2C">
        <w:t>ser i ledningsfrågan, men också för det principiella resonemang om relati</w:t>
      </w:r>
      <w:r w:rsidRPr="00237A2C">
        <w:t>o</w:t>
      </w:r>
      <w:r w:rsidRPr="00237A2C">
        <w:t>nen mellan regeringen och myndigheterna so</w:t>
      </w:r>
      <w:r w:rsidRPr="00237A2C">
        <w:t>m där fördes, och beskrivningen av vad den svenska förvaltningsmodellen innebar.</w:t>
      </w:r>
      <w:r w:rsidRPr="00237A2C">
        <w:rPr>
          <w:rStyle w:val="Fotnotsreferens"/>
        </w:rPr>
        <w:footnoteReference w:id="68"/>
      </w:r>
      <w:r w:rsidRPr="00237A2C">
        <w:t xml:space="preserve"> </w:t>
      </w:r>
    </w:p>
    <w:p w:rsidR="00AE50BA" w:rsidRPr="00237A2C" w:rsidRDefault="00AE50BA">
      <w:pPr>
        <w:pStyle w:val="Normaltindrag"/>
      </w:pPr>
      <w:r w:rsidRPr="00237A2C">
        <w:t>De yttranden som kom till Konstitutionsutskottet från andra utskott inn</w:t>
      </w:r>
      <w:r w:rsidRPr="00237A2C">
        <w:t>e</w:t>
      </w:r>
      <w:r w:rsidRPr="00237A2C">
        <w:t>höll en omfattande och varierad samling ståndpunkter och argument. Partie</w:t>
      </w:r>
      <w:r w:rsidRPr="00237A2C">
        <w:t>r</w:t>
      </w:r>
      <w:r w:rsidRPr="00237A2C">
        <w:t>na resonerade delvis olika i olika utskott. Utskotten uttalade sig i vissa fall generellt om propositionen, men oftare om den modell som föreslogs för myndigheter inom deras eget sakområde.</w:t>
      </w:r>
      <w:r w:rsidRPr="00237A2C">
        <w:rPr>
          <w:rStyle w:val="Fotnotsreferens"/>
        </w:rPr>
        <w:footnoteReference w:id="69"/>
      </w:r>
    </w:p>
    <w:p w:rsidR="00AE50BA" w:rsidRPr="00237A2C" w:rsidRDefault="00AE50BA">
      <w:pPr>
        <w:pStyle w:val="Rubrik2"/>
      </w:pPr>
      <w:bookmarkStart w:id="276" w:name="_Toc509711237"/>
      <w:bookmarkStart w:id="277" w:name="_Toc509738059"/>
      <w:bookmarkStart w:id="278" w:name="_Toc516991678"/>
      <w:r w:rsidRPr="00237A2C">
        <w:t>1998 års förvaltningspolitiska proposition</w:t>
      </w:r>
      <w:bookmarkEnd w:id="276"/>
      <w:bookmarkEnd w:id="277"/>
      <w:bookmarkEnd w:id="278"/>
    </w:p>
    <w:p w:rsidR="00AE50BA" w:rsidRPr="00237A2C" w:rsidRDefault="00AE50BA">
      <w:r w:rsidRPr="00237A2C">
        <w:t>I den debatt som fördes om den socialdemokratiska regeringens proposition 1998 hade inslagen av explicit betoning av ämbetsverkens självständighet försvunnit. Snarare är det samlade intrycket att alla debattörer tog sin u</w:t>
      </w:r>
      <w:r w:rsidRPr="00237A2C">
        <w:t>t</w:t>
      </w:r>
      <w:r w:rsidRPr="00237A2C">
        <w:t>gångspunkt i behovet av styrning. I flera inlägg påpekades dock att denna inte bara borde komma uppifrån, från regeringen, utan också nedifrån, direkt från medborgarna. I ett inlägg diskuterades dock frågan om ämbetsverkens själ</w:t>
      </w:r>
      <w:r w:rsidRPr="00237A2C">
        <w:t>v</w:t>
      </w:r>
      <w:r w:rsidRPr="00237A2C">
        <w:t xml:space="preserve">ständighet, då i syfte att avskaffa densamma. </w:t>
      </w:r>
    </w:p>
    <w:p w:rsidR="00AE50BA" w:rsidRPr="00237A2C" w:rsidRDefault="00AE50BA">
      <w:pPr>
        <w:pStyle w:val="Normaltindrag"/>
      </w:pPr>
      <w:r w:rsidRPr="00237A2C">
        <w:t>Den socialdemokratiska regeringens lägesbeskrivning liknade den i 1995 års proposition. Uppräkningen av de krav på, eller mål för, förvaltningen som regeringen ansåg viktiga var lång, men de konkreta förslagen få, vilket föredragande s</w:t>
      </w:r>
      <w:r w:rsidRPr="00237A2C">
        <w:t>jälv medgav.</w:t>
      </w:r>
      <w:r w:rsidRPr="00237A2C">
        <w:rPr>
          <w:rStyle w:val="Fotnotsreferens"/>
        </w:rPr>
        <w:footnoteReference w:id="70"/>
      </w:r>
      <w:r w:rsidRPr="00237A2C">
        <w:t xml:space="preserve"> Statsförvaltningen skulle enligt regeringen vara rättssäker, demokratisk, effektiv, tillgänglig, tillmötesgående och åtnjuta förtroende hos medborgarna. Den skulle också vara ”framgångsrik och r</w:t>
      </w:r>
      <w:r w:rsidRPr="00237A2C">
        <w:t>e</w:t>
      </w:r>
      <w:r w:rsidRPr="00237A2C">
        <w:t xml:space="preserve">spekterad” i det internationella samarbetet. </w:t>
      </w:r>
      <w:r w:rsidRPr="00237A2C">
        <w:rPr>
          <w:i/>
        </w:rPr>
        <w:t>Näringslivet</w:t>
      </w:r>
      <w:r w:rsidRPr="00237A2C">
        <w:t xml:space="preserve"> nämndes som en särskild grupp, vid sidan av medborgarna, som förvaltningen skulle ta ansvar för.</w:t>
      </w:r>
      <w:r w:rsidRPr="00237A2C">
        <w:rPr>
          <w:rStyle w:val="Fotnotsreferens"/>
        </w:rPr>
        <w:footnoteReference w:id="71"/>
      </w:r>
      <w:r w:rsidRPr="00237A2C">
        <w:t xml:space="preserve"> Att på detta sätt definiera målgrupper, utöver ”folket”, är tämligen ovanligt i dessa sammanhang. Regeringen hävdade vidare värdet av att fö</w:t>
      </w:r>
      <w:r w:rsidRPr="00237A2C">
        <w:t>r</w:t>
      </w:r>
      <w:r w:rsidRPr="00237A2C">
        <w:t>valtningen tog tillvara särskilda kunskaper, etniskt, kulturellt och möjligen även genus-betingade sådana. Detta skulle lämpligen ske i rekryteringen av tjänstemän och sågs som en effektivitets- och demokratifråga.</w:t>
      </w:r>
      <w:r w:rsidRPr="00237A2C">
        <w:rPr>
          <w:rStyle w:val="Fotnotsreferens"/>
        </w:rPr>
        <w:footnoteReference w:id="72"/>
      </w:r>
    </w:p>
    <w:p w:rsidR="00AE50BA" w:rsidRPr="00237A2C" w:rsidRDefault="00AE50BA">
      <w:pPr>
        <w:pStyle w:val="Normaltindrag"/>
      </w:pPr>
      <w:r w:rsidRPr="00237A2C">
        <w:t xml:space="preserve">Diskussionen om målen/kraven och de värden man här ville uppnå var tämligen vag och oproblematiserad. Inget sades till exempel om vad etnisk och kulturell mångfald </w:t>
      </w:r>
      <w:r w:rsidRPr="00237A2C">
        <w:rPr>
          <w:i/>
        </w:rPr>
        <w:t>är</w:t>
      </w:r>
      <w:r w:rsidRPr="00237A2C">
        <w:t>, eller om hur dessa dimensioner skulle beaktas i relation till andra värden. Målet att ta tillvara kunskap hos både män och kvinnor utvecklades inte heller närmare.</w:t>
      </w:r>
      <w:r w:rsidRPr="00237A2C">
        <w:rPr>
          <w:rStyle w:val="Fotnotsreferens"/>
        </w:rPr>
        <w:footnoteReference w:id="73"/>
      </w:r>
      <w:r w:rsidRPr="00237A2C">
        <w:t xml:space="preserve"> I propositionen diskuterades dock att värden som demokrati, rättssäkerhet och effektivitet kan komma i konflikt med varandra, men att de samtidigt understödjer varandra. Denna intressanta tråd utvecklades dock inte närmare.</w:t>
      </w:r>
      <w:r w:rsidRPr="00237A2C">
        <w:rPr>
          <w:rStyle w:val="Fotnotsreferens"/>
        </w:rPr>
        <w:footnoteReference w:id="74"/>
      </w:r>
    </w:p>
    <w:p w:rsidR="00AE50BA" w:rsidRPr="00237A2C" w:rsidRDefault="00AE50BA">
      <w:pPr>
        <w:pStyle w:val="Normaltindrag"/>
      </w:pPr>
      <w:r w:rsidRPr="00237A2C">
        <w:t>Propositionen innehöll ingen explicit omformulering av myndigheternas självständighet eller lydnadsförhållande gentemot regeringen. Regeringsfo</w:t>
      </w:r>
      <w:r w:rsidRPr="00237A2C">
        <w:t>r</w:t>
      </w:r>
      <w:r w:rsidRPr="00237A2C">
        <w:t>mens stadganden om att myndigheterna lyder under regeringen, principen om lagstyre och offentlighetsprincipen nämndes, men den diskussion om RF 11:7 och regeringens styrningsutrymme som Förvaltningsutredningen initi</w:t>
      </w:r>
      <w:r w:rsidRPr="00237A2C">
        <w:t>e</w:t>
      </w:r>
      <w:r w:rsidRPr="00237A2C">
        <w:t>rat lyste med sin frånvaro.</w:t>
      </w:r>
      <w:r w:rsidRPr="00237A2C">
        <w:rPr>
          <w:rStyle w:val="Fotnotsreferens"/>
        </w:rPr>
        <w:footnoteReference w:id="75"/>
      </w:r>
      <w:r w:rsidRPr="00237A2C">
        <w:t xml:space="preserve"> EU-medlemskapet återkom som ett exempel på behovet att styra och samordna, och man hävdade att delegeringen till my</w:t>
      </w:r>
      <w:r w:rsidRPr="00237A2C">
        <w:t>n</w:t>
      </w:r>
      <w:r w:rsidRPr="00237A2C">
        <w:t>digheterna krävde att de politiska intentionerna klargjordes på olika sätt. Dessa faktorer kopplades dock inte till någon principiell diskussion om rel</w:t>
      </w:r>
      <w:r w:rsidRPr="00237A2C">
        <w:t>a</w:t>
      </w:r>
      <w:r w:rsidRPr="00237A2C">
        <w:t>tionen mellan regeringen och förvaltningen på det sätt som varit centralt i debatten 1987.</w:t>
      </w:r>
    </w:p>
    <w:p w:rsidR="00AE50BA" w:rsidRPr="00237A2C" w:rsidRDefault="00AE50BA">
      <w:r w:rsidRPr="00237A2C">
        <w:t>För att realisera den omfattande målkatalogen presenterade regeringen ett handlingsprogram på tre områden, ”kvalitet, kompetens och etik”; ”styrning och</w:t>
      </w:r>
      <w:r w:rsidRPr="00237A2C">
        <w:t xml:space="preserve"> ledning” samt ”informationsförsörjning”. Kvalitets-, kompetens- och etikarbetet krävde enligt regeringen inga nya regelverk, men en ny myndi</w:t>
      </w:r>
      <w:r w:rsidRPr="00237A2C">
        <w:t>g</w:t>
      </w:r>
      <w:r w:rsidRPr="00237A2C">
        <w:t xml:space="preserve">het för samordning och dylikt borde inrättas. Vad gällde </w:t>
      </w:r>
      <w:r w:rsidRPr="00237A2C">
        <w:rPr>
          <w:i/>
        </w:rPr>
        <w:t>styrnings- och le</w:t>
      </w:r>
      <w:r w:rsidRPr="00237A2C">
        <w:rPr>
          <w:i/>
        </w:rPr>
        <w:t>d</w:t>
      </w:r>
      <w:r w:rsidRPr="00237A2C">
        <w:rPr>
          <w:i/>
        </w:rPr>
        <w:t>ningsfrågorna</w:t>
      </w:r>
      <w:r w:rsidRPr="00237A2C">
        <w:t xml:space="preserve"> stod idén om flexibilitet från 1995 i huvudsak fast. Resulta</w:t>
      </w:r>
      <w:r w:rsidRPr="00237A2C">
        <w:t>t</w:t>
      </w:r>
      <w:r w:rsidRPr="00237A2C">
        <w:t>styrningen borde utvecklas. Man betonade här att denna styrningsform gav myndigheterna stor frihet och att riksdag och regering därför måste ges mö</w:t>
      </w:r>
      <w:r w:rsidRPr="00237A2C">
        <w:t>j</w:t>
      </w:r>
      <w:r w:rsidRPr="00237A2C">
        <w:t>lighet att hålla sig informerade om verksamheten. Man ansåg vidare, tyvä</w:t>
      </w:r>
      <w:r w:rsidRPr="00237A2C">
        <w:t>rr utan att närmare precisera sig, att resultatstyrning var ”väl lämpad för den svenska förvaltningsmodellen och för att uppfylla kraven på effektivitet”. Styrningsdiskussionen relaterades också till frågan om myndigheternas le</w:t>
      </w:r>
      <w:r w:rsidRPr="00237A2C">
        <w:t>d</w:t>
      </w:r>
      <w:r w:rsidRPr="00237A2C">
        <w:t>ning. ”Mål- och resultatdialogen” med myndighetscheferna ansågs vara ett viktigt instrument för regeringen att klargöra och precisera myndigheternas verksamhet.</w:t>
      </w:r>
      <w:r w:rsidRPr="00237A2C">
        <w:rPr>
          <w:rStyle w:val="Fotnotsreferens"/>
        </w:rPr>
        <w:footnoteReference w:id="76"/>
      </w:r>
      <w:r w:rsidRPr="00237A2C">
        <w:t xml:space="preserve"> På samma sätt som i tidigare debatter gjordes därmed en koppling mellan arbetsfördelningen mellan regeringen och myndigheterna å ena sidan och styrningsfrågor å den andra.</w:t>
      </w:r>
    </w:p>
    <w:p w:rsidR="00AE50BA" w:rsidRPr="00237A2C" w:rsidRDefault="00AE50BA">
      <w:pPr>
        <w:pStyle w:val="Normaltindrag"/>
      </w:pPr>
      <w:r w:rsidRPr="00237A2C">
        <w:t>Propositionen fick ett positivt omdöme av de övriga riksdagspartierna.</w:t>
      </w:r>
      <w:r w:rsidRPr="00237A2C">
        <w:rPr>
          <w:rStyle w:val="Fotnotsreferens"/>
        </w:rPr>
        <w:footnoteReference w:id="77"/>
      </w:r>
      <w:r w:rsidRPr="00237A2C">
        <w:t xml:space="preserve"> Ett tydligare medborgarperspektiv efterlystes dock på bred front. Här var idén att förvaltningen skulle uppmuntra och ta tillvara medborgarnas klag</w:t>
      </w:r>
      <w:r w:rsidRPr="00237A2C">
        <w:t>o</w:t>
      </w:r>
      <w:r w:rsidRPr="00237A2C">
        <w:t>mål och erfarenheter.</w:t>
      </w:r>
      <w:r w:rsidRPr="00237A2C">
        <w:rPr>
          <w:rStyle w:val="Fotnotsreferens"/>
        </w:rPr>
        <w:footnoteReference w:id="78"/>
      </w:r>
      <w:r w:rsidRPr="00237A2C">
        <w:t xml:space="preserve"> Styrningen skulle med andra ord också komma ned</w:t>
      </w:r>
      <w:r w:rsidRPr="00237A2C">
        <w:t>i</w:t>
      </w:r>
      <w:r w:rsidRPr="00237A2C">
        <w:t>från och inte bara uppifrån, via de folkvalda. Vi anar här ett genomslag av idéer om deliberativ demokrati och brukarmedverkan. I diskussionen pr</w:t>
      </w:r>
      <w:r w:rsidRPr="00237A2C">
        <w:t>o</w:t>
      </w:r>
      <w:r w:rsidRPr="00237A2C">
        <w:t>blematiserades dock ej denna typ av styrsignaler eller influenser i förhållande till de politiska institutionernas mandat och legitimitet, det vill säga de d</w:t>
      </w:r>
      <w:r w:rsidRPr="00237A2C">
        <w:t>e</w:t>
      </w:r>
      <w:r w:rsidRPr="00237A2C">
        <w:t>mokratiska eller rättviserelaterade problem som är potentiella i denna typ av direktstyrda modeller. I några inlägg markerades särskilt vikten av offentli</w:t>
      </w:r>
      <w:r w:rsidRPr="00237A2C">
        <w:t>g</w:t>
      </w:r>
      <w:r w:rsidRPr="00237A2C">
        <w:t xml:space="preserve">het </w:t>
      </w:r>
      <w:r w:rsidRPr="00237A2C">
        <w:t>och insyn. Folkpartiet ville se ett tillägg om offentlighetsprincipen och meddelarfriheten i diskussionen om kvalitet, kompetens och statstjänstema</w:t>
      </w:r>
      <w:r w:rsidRPr="00237A2C">
        <w:t>n</w:t>
      </w:r>
      <w:r w:rsidRPr="00237A2C">
        <w:t>narollen. I en gemensam motion från folkpartiet, moderaterna, centern, vänsterpartiet, miljöpartiet och kristdemokraterna ansåg man att regeringen borde utveckla sin syn på förvaltningsetiken.</w:t>
      </w:r>
      <w:r w:rsidRPr="00237A2C">
        <w:rPr>
          <w:rStyle w:val="Fotnotsreferens"/>
        </w:rPr>
        <w:footnoteReference w:id="79"/>
      </w:r>
    </w:p>
    <w:p w:rsidR="00AE50BA" w:rsidRPr="00237A2C" w:rsidRDefault="00AE50BA">
      <w:pPr>
        <w:pStyle w:val="Normaltindrag"/>
      </w:pPr>
      <w:r w:rsidRPr="00237A2C">
        <w:t>Vänsterpartiet, centern och några socialdemokrater upprepade också sin kritik mot det flexibla valet av ledningsmodell.</w:t>
      </w:r>
      <w:r w:rsidRPr="00237A2C">
        <w:rPr>
          <w:rStyle w:val="Fotnotsreferens"/>
        </w:rPr>
        <w:footnoteReference w:id="80"/>
      </w:r>
      <w:r w:rsidRPr="00237A2C">
        <w:t xml:space="preserve"> Vänsterpartiet uttalade vidare en mer skeptisk syn på resultatstyrningen än övriga partier. Utan tydliga politiska mål uppstod ett demokratiskt problem. Partiet intog en uttalat negativ hållning gentemot de effekter EU-medlemskapet haft på mak</w:t>
      </w:r>
      <w:r w:rsidRPr="00237A2C">
        <w:t>t</w:t>
      </w:r>
      <w:r w:rsidRPr="00237A2C">
        <w:t>fördelningen mellan politik och förvaltning. Det ökade inflytande för tjän</w:t>
      </w:r>
      <w:r w:rsidRPr="00237A2C">
        <w:t>s</w:t>
      </w:r>
      <w:r w:rsidRPr="00237A2C">
        <w:t>temännen som EU-medlemskapet medförde måste enligt vänsterpartiet anses problematiskt.</w:t>
      </w:r>
      <w:r w:rsidRPr="00237A2C">
        <w:rPr>
          <w:rStyle w:val="Fotnotsreferens"/>
        </w:rPr>
        <w:footnoteReference w:id="81"/>
      </w:r>
    </w:p>
    <w:p w:rsidR="00AE50BA" w:rsidRPr="00237A2C" w:rsidRDefault="00AE50BA">
      <w:pPr>
        <w:pStyle w:val="Normaltindrag"/>
      </w:pPr>
      <w:r w:rsidRPr="00237A2C">
        <w:t>Bland inläggen fanns några få direkta referenser till ”den svenska förval</w:t>
      </w:r>
      <w:r w:rsidRPr="00237A2C">
        <w:t>t</w:t>
      </w:r>
      <w:r w:rsidRPr="00237A2C">
        <w:t>ningsmodellen”. I en socialdemokratisk motion ansåg man att det svenska förvaltningssystemet var unikt i världen på grund av medborgarnas möjlighet till insyn i myndigheternas verksamhet. Insynen garanterades genom offen</w:t>
      </w:r>
      <w:r w:rsidRPr="00237A2C">
        <w:t>t</w:t>
      </w:r>
      <w:r w:rsidRPr="00237A2C">
        <w:t>lighetsprincipen och lekmannastyrelserna.</w:t>
      </w:r>
      <w:r w:rsidRPr="00237A2C">
        <w:rPr>
          <w:rStyle w:val="Fotnotsreferens"/>
        </w:rPr>
        <w:footnoteReference w:id="82"/>
      </w:r>
      <w:r w:rsidRPr="00237A2C">
        <w:t xml:space="preserve"> En centerpartist föreslog, något överraskande med tanke på den tystnad om frågan som rådde i debatten, att modellen med självständiga ämbetsverk skulle </w:t>
      </w:r>
      <w:r w:rsidRPr="00237A2C">
        <w:rPr>
          <w:i/>
        </w:rPr>
        <w:t>skrotas</w:t>
      </w:r>
      <w:r w:rsidRPr="00237A2C">
        <w:t>:</w:t>
      </w:r>
    </w:p>
    <w:p w:rsidR="00AE50BA" w:rsidRPr="00237A2C" w:rsidRDefault="00AE50BA">
      <w:pPr>
        <w:pStyle w:val="Brdtext2"/>
        <w:ind w:left="284"/>
        <w:rPr>
          <w:i/>
        </w:rPr>
      </w:pPr>
      <w:r w:rsidRPr="00237A2C">
        <w:rPr>
          <w:i/>
        </w:rPr>
        <w:t>Ministerstyre är inte tillåtet enligt grundlagen. Denna unika form för statsförvaltning fick vi med Axel Oxenstierna på 1600-talet. Det finns anledning att ifrågasätta om den fungerar väl, ur demokratisk och pra</w:t>
      </w:r>
      <w:r w:rsidRPr="00237A2C">
        <w:rPr>
          <w:i/>
        </w:rPr>
        <w:t>k</w:t>
      </w:r>
      <w:r w:rsidRPr="00237A2C">
        <w:rPr>
          <w:i/>
        </w:rPr>
        <w:t>tisk synpunkt idag. Enligt min mening är nu tiden mogen att avskaffa de självständiga statliga verken. Folket ska veta att en minister ytterst är ansvarig för hur statstjänstemännen verkställer de folkvaldas beslut. Är man inte nöjd med hur en myndighet arbetar skulle man kunna rösta för en ny regering i ko</w:t>
      </w:r>
      <w:r w:rsidRPr="00237A2C">
        <w:rPr>
          <w:i/>
        </w:rPr>
        <w:t>m</w:t>
      </w:r>
      <w:r w:rsidRPr="00237A2C">
        <w:rPr>
          <w:i/>
        </w:rPr>
        <w:t>mande allmänna val. (Motion 1997/98:K42, s. 3.)</w:t>
      </w:r>
    </w:p>
    <w:p w:rsidR="00AE50BA" w:rsidRPr="00237A2C" w:rsidRDefault="00AE50BA">
      <w:r w:rsidRPr="00237A2C">
        <w:t>Motionären tog fasta på regeringens skrivningar om behovet av styrning och samordning i och med EU-medlemskapet, och att myndigheterna borde företräda Sve</w:t>
      </w:r>
      <w:r w:rsidRPr="00237A2C">
        <w:t>rige i EU-arbetet.</w:t>
      </w:r>
      <w:r w:rsidRPr="00237A2C">
        <w:rPr>
          <w:rStyle w:val="Fotnotsreferens"/>
        </w:rPr>
        <w:footnoteReference w:id="83"/>
      </w:r>
      <w:r w:rsidRPr="00237A2C">
        <w:t xml:space="preserve"> Detta i sammanhanget mycket drastiska och avvikande förslag kommenterades ytterst kortfattat av Konstitutionsutskottet, som inte såg någon anledning att frångå den rådande ordningen.</w:t>
      </w:r>
      <w:r w:rsidRPr="00237A2C">
        <w:rPr>
          <w:rStyle w:val="Fotnotsreferens"/>
        </w:rPr>
        <w:footnoteReference w:id="84"/>
      </w:r>
      <w:r w:rsidRPr="00237A2C">
        <w:t xml:space="preserve"> I övrigt kommenterades inte förslaget i debatten.</w:t>
      </w:r>
    </w:p>
    <w:p w:rsidR="00AE50BA" w:rsidRPr="00237A2C" w:rsidRDefault="00AE50BA">
      <w:pPr>
        <w:pStyle w:val="Rubrik2"/>
      </w:pPr>
      <w:bookmarkStart w:id="279" w:name="_Toc509711238"/>
      <w:bookmarkStart w:id="280" w:name="_Toc509738060"/>
      <w:bookmarkStart w:id="281" w:name="_Toc516991679"/>
      <w:r w:rsidRPr="00237A2C">
        <w:t>Idén om en svensk förvaltningsmodell – slutsatser</w:t>
      </w:r>
      <w:bookmarkEnd w:id="279"/>
      <w:bookmarkEnd w:id="280"/>
      <w:bookmarkEnd w:id="281"/>
    </w:p>
    <w:p w:rsidR="00AE50BA" w:rsidRPr="00237A2C" w:rsidRDefault="00AE50BA">
      <w:r w:rsidRPr="00237A2C">
        <w:t>När ”den svenska förvaltningsmodellen” uttryckligen diskuteras är det def</w:t>
      </w:r>
      <w:r w:rsidRPr="00237A2C">
        <w:t>i</w:t>
      </w:r>
      <w:r w:rsidRPr="00237A2C">
        <w:t>nitionsmässigt främst den så kallade dualismen som avses, det vill säga idén om en tydlig delning av exekutivmakten, mellan regering och självständiga ämbetsverk. I början av 1900-talet var argumentet för en sådan uppdelning baserat på idén om arbetsfördelning, om att politiskt beslutsfattande och implementering var distinkt åtskilda och att detta var något gott. Rättssäke</w:t>
      </w:r>
      <w:r w:rsidRPr="00237A2C">
        <w:t>r</w:t>
      </w:r>
      <w:r w:rsidRPr="00237A2C">
        <w:t>het är ett centralt värde i denna debatt. En precisering av ämbetsverkens självständighet är de diskussioner som rör styrningens avsänd</w:t>
      </w:r>
      <w:r w:rsidRPr="00237A2C">
        <w:t>are, regeringen som kollektiv eller enskilda statsråd. Till definitionen av den svenska fö</w:t>
      </w:r>
      <w:r w:rsidRPr="00237A2C">
        <w:t>r</w:t>
      </w:r>
      <w:r w:rsidRPr="00237A2C">
        <w:t>valtningsmodellen kan vi därför lä</w:t>
      </w:r>
      <w:r w:rsidRPr="00237A2C">
        <w:t>g</w:t>
      </w:r>
      <w:r w:rsidRPr="00237A2C">
        <w:t xml:space="preserve">ga frånvaro av ministerstyre. </w:t>
      </w:r>
    </w:p>
    <w:p w:rsidR="00AE50BA" w:rsidRPr="00237A2C" w:rsidRDefault="00AE50BA">
      <w:pPr>
        <w:pStyle w:val="Normaltindrag"/>
      </w:pPr>
      <w:r w:rsidRPr="00237A2C">
        <w:t xml:space="preserve">I den moderna debatten formuleras den svenska förvaltningsmodellen som en konstruktion där ämbetsverken är </w:t>
      </w:r>
      <w:r w:rsidRPr="00237A2C">
        <w:rPr>
          <w:i/>
        </w:rPr>
        <w:t>både</w:t>
      </w:r>
      <w:r w:rsidRPr="00237A2C">
        <w:t xml:space="preserve"> självständiga och underkastade regeringsmakten. Modellen ges också fler karaktärsdrag, där möjligheterna till medborgerlig insyn särskilt framhålls. Idén om en arbetsfördelning me</w:t>
      </w:r>
      <w:r w:rsidRPr="00237A2C">
        <w:t>l</w:t>
      </w:r>
      <w:r w:rsidRPr="00237A2C">
        <w:t>lan politik och förvaltning finns också närvarande i den moderna debatten, men utmanas av vad som upplevs som nödvändig delegering av beslutsko</w:t>
      </w:r>
      <w:r w:rsidRPr="00237A2C">
        <w:t>m</w:t>
      </w:r>
      <w:r w:rsidRPr="00237A2C">
        <w:t>petens och en uppfattning om att förvaltningen kan komma att fatta beslut som är politiska till sin natur. Debattörerna ger dock sällan uttryck för prec</w:t>
      </w:r>
      <w:r w:rsidRPr="00237A2C">
        <w:t>i</w:t>
      </w:r>
      <w:r w:rsidRPr="00237A2C">
        <w:t>sa uppfattningar om vilka arbe</w:t>
      </w:r>
      <w:r w:rsidRPr="00237A2C">
        <w:t>tsuppgifter som är att betrakta som ”politiska” respektive ”implementerande”. Helt klart är dock att vi kan skönja en tillt</w:t>
      </w:r>
      <w:r w:rsidRPr="00237A2C">
        <w:t>a</w:t>
      </w:r>
      <w:r w:rsidRPr="00237A2C">
        <w:t>gande enighet om att nya styrningsformer och förändrade förutsättningar (till exempel EU-medlemskapet) delvis ändrat arbetsfördelningen mellan reg</w:t>
      </w:r>
      <w:r w:rsidRPr="00237A2C">
        <w:t>e</w:t>
      </w:r>
      <w:r w:rsidRPr="00237A2C">
        <w:t>ringen och förvaltningen. Detta bör enligt flertalet debattdeltagare få konse</w:t>
      </w:r>
      <w:r w:rsidRPr="00237A2C">
        <w:t>k</w:t>
      </w:r>
      <w:r w:rsidRPr="00237A2C">
        <w:t>venser för hur förvaltningen styrs och kontrolleras, men anses inte utgöra grund för en omformulering av den svenska förvaltningsmodellen. Tvärtom beskrivs den sve</w:t>
      </w:r>
      <w:r w:rsidRPr="00237A2C">
        <w:t>nska förvaltningsmodellen som särskilt lämpad att möta de krav vår sa</w:t>
      </w:r>
      <w:r w:rsidRPr="00237A2C">
        <w:t>m</w:t>
      </w:r>
      <w:r w:rsidRPr="00237A2C">
        <w:t xml:space="preserve">tid ställer. </w:t>
      </w:r>
    </w:p>
    <w:p w:rsidR="00AE50BA" w:rsidRPr="00237A2C" w:rsidRDefault="00AE50BA">
      <w:pPr>
        <w:pStyle w:val="Normaltindrag"/>
      </w:pPr>
      <w:r w:rsidRPr="00237A2C">
        <w:t>Det råder alltså en bred enighet om att ”den svenska förvaltningsmodellen” är något unikt och gott som bör bevaras. Förslag som mer eller mindre uttalat syftar till att avskaffa ämbetsverkens självständighet och att införa ministe</w:t>
      </w:r>
      <w:r w:rsidRPr="00237A2C">
        <w:t>r</w:t>
      </w:r>
      <w:r w:rsidRPr="00237A2C">
        <w:t>styre vinner inget gehör utan ignoreras i stor utsträckning av övriga debatt</w:t>
      </w:r>
      <w:r w:rsidRPr="00237A2C">
        <w:t>ö</w:t>
      </w:r>
      <w:r w:rsidRPr="00237A2C">
        <w:t xml:space="preserve">rer. Enigheten om modellens förtjänster vad gäller dessa aspekter står sig över tid, men gäller dock inte alltid vad som är </w:t>
      </w:r>
      <w:r w:rsidRPr="00237A2C">
        <w:rPr>
          <w:i/>
        </w:rPr>
        <w:t>förenligt</w:t>
      </w:r>
      <w:r w:rsidRPr="00237A2C">
        <w:t xml:space="preserve"> med modellen, det vill säga </w:t>
      </w:r>
      <w:r w:rsidRPr="00237A2C">
        <w:rPr>
          <w:i/>
        </w:rPr>
        <w:t>hur stort</w:t>
      </w:r>
      <w:r w:rsidRPr="00237A2C">
        <w:t xml:space="preserve"> </w:t>
      </w:r>
      <w:r w:rsidRPr="00237A2C">
        <w:rPr>
          <w:i/>
        </w:rPr>
        <w:t>styrningsutrymme</w:t>
      </w:r>
      <w:r w:rsidRPr="00237A2C">
        <w:t xml:space="preserve"> regeringen har eller </w:t>
      </w:r>
      <w:r w:rsidRPr="00237A2C">
        <w:rPr>
          <w:i/>
        </w:rPr>
        <w:t>vilka</w:t>
      </w:r>
      <w:r w:rsidRPr="00237A2C">
        <w:t xml:space="preserve"> </w:t>
      </w:r>
      <w:r w:rsidRPr="00237A2C">
        <w:rPr>
          <w:i/>
        </w:rPr>
        <w:t>styrningsfo</w:t>
      </w:r>
      <w:r w:rsidRPr="00237A2C">
        <w:rPr>
          <w:i/>
        </w:rPr>
        <w:t>r</w:t>
      </w:r>
      <w:r w:rsidRPr="00237A2C">
        <w:rPr>
          <w:i/>
        </w:rPr>
        <w:t>mer</w:t>
      </w:r>
      <w:r w:rsidRPr="00237A2C">
        <w:t xml:space="preserve"> som kan användas utan att modellen kollapsar. Här visar analysen att debattörerna gör olika bedömningar sinsemellan och i vissa fall även för egen del vid olika tidpunkter. </w:t>
      </w:r>
    </w:p>
    <w:p w:rsidR="00AE50BA" w:rsidRPr="00237A2C" w:rsidRDefault="00AE50BA">
      <w:pPr>
        <w:pStyle w:val="Normaltindrag"/>
      </w:pPr>
      <w:r w:rsidRPr="00237A2C">
        <w:t>Innehållsmässigt är debatter</w:t>
      </w:r>
      <w:r w:rsidRPr="00237A2C">
        <w:t>na snarlika under de undersökta perioderna. Vilken typ av kontakter som bör tillåtas mellan departement och verk är en återkommande fråga. En tvistefråga i detta sammanhang är vad som överh</w:t>
      </w:r>
      <w:r w:rsidRPr="00237A2C">
        <w:t>u</w:t>
      </w:r>
      <w:r w:rsidRPr="00237A2C">
        <w:t>vudtaget är att betrakta som styrning, och därmed potentiellt problematiskt i förhållande till ämbetsverkens självständighet och förbudet mot ministerst</w:t>
      </w:r>
      <w:r w:rsidRPr="00237A2C">
        <w:t>y</w:t>
      </w:r>
      <w:r w:rsidRPr="00237A2C">
        <w:t>relse. Andra återkommande frågor är vilken roll förvaltningen ska spela i förhållande till regeringsmakten och medborgarna. Här blir förvaltningens tjänstemän av intress</w:t>
      </w:r>
      <w:r w:rsidRPr="00237A2C">
        <w:t>e för debattörerna. Diskussioner om utbildning, etik och representativitet förs under båda tidsperioderna. De argument som anförs för olika ståndpunkter är också likartade under båda perioderna. Rättssäkerhet, effektivitet och handlingskraft, samt idéer om representativitet i direkt fö</w:t>
      </w:r>
      <w:r w:rsidRPr="00237A2C">
        <w:t>r</w:t>
      </w:r>
      <w:r w:rsidRPr="00237A2C">
        <w:t xml:space="preserve">hållande till medborgarna eller i form av den politiska viljans genomslag, utgör de huvudsakliga motiveringarna. Dessa värden preciseras dock inte i någon högre utsträckning och ställs endast i undantagsfall mot varandra. </w:t>
      </w:r>
    </w:p>
    <w:p w:rsidR="00AE50BA" w:rsidRPr="00237A2C" w:rsidRDefault="00AE50BA">
      <w:pPr>
        <w:pStyle w:val="Normaltindrag"/>
      </w:pPr>
      <w:r w:rsidRPr="00237A2C">
        <w:t>Li</w:t>
      </w:r>
      <w:r w:rsidRPr="00237A2C">
        <w:t>kheterna mellan de båda perioderna är alltså slående. Problemen fra</w:t>
      </w:r>
      <w:r w:rsidRPr="00237A2C">
        <w:t>m</w:t>
      </w:r>
      <w:r w:rsidRPr="00237A2C">
        <w:t xml:space="preserve">står som tidlösa, och sättet att diskutera dem på likaså. En viktig slutsats efter den historiska jämförelsen är att den modell eller </w:t>
      </w:r>
      <w:r w:rsidRPr="00237A2C">
        <w:rPr>
          <w:i/>
        </w:rPr>
        <w:t>tradition</w:t>
      </w:r>
      <w:r w:rsidRPr="00237A2C">
        <w:t xml:space="preserve"> som våra samtida parlamentariker ofta refererar till är ett svårfångat och ständigt ifrågasatt fenomen. Det finns olika uppfattningar om hur idén om en handlingskraftig regering som kräver ett stort och flexibelt styrningsutrymme ska kombineras med dual arbetsfördelning, självständiga ämbetsverk och</w:t>
      </w:r>
      <w:r w:rsidRPr="00237A2C">
        <w:t xml:space="preserve"> frånvaron av m</w:t>
      </w:r>
      <w:r w:rsidRPr="00237A2C">
        <w:t>i</w:t>
      </w:r>
      <w:r w:rsidRPr="00237A2C">
        <w:t>nisterstyre.</w:t>
      </w:r>
    </w:p>
    <w:p w:rsidR="00AE50BA" w:rsidRPr="00237A2C" w:rsidRDefault="00AE50BA">
      <w:pPr>
        <w:pStyle w:val="Normaltindrag"/>
      </w:pPr>
      <w:r w:rsidRPr="00237A2C">
        <w:t>Analysen av den moderna debatten inleddes med Förvaltningsutredningens försök till omtolkning av den svenska förvaltningsmodellens innehåll och betydelse för regeringens styrningsutrymme. Till en början mötte detta pe</w:t>
      </w:r>
      <w:r w:rsidRPr="00237A2C">
        <w:t>r</w:t>
      </w:r>
      <w:r w:rsidRPr="00237A2C">
        <w:t>spektiv motstånd, först från moderaterna och centern och sedan från socia</w:t>
      </w:r>
      <w:r w:rsidRPr="00237A2C">
        <w:t>l</w:t>
      </w:r>
      <w:r w:rsidRPr="00237A2C">
        <w:t>demokraterna i oppositionsställning. Detta motstånd lyfte i båda fallen fram ämbetsverkens självständighet som den mest centrala aspekten av den sven</w:t>
      </w:r>
      <w:r w:rsidRPr="00237A2C">
        <w:t>s</w:t>
      </w:r>
      <w:r w:rsidRPr="00237A2C">
        <w:t>ka förvaltningsmodellen, protesterna riktades mot betoningen av regeringens styrningsbehov. Det är rimligt att tolka motståndet som intressebaserat snar</w:t>
      </w:r>
      <w:r w:rsidRPr="00237A2C">
        <w:t>a</w:t>
      </w:r>
      <w:r w:rsidRPr="00237A2C">
        <w:t>re än ideologiskt motiverat eftersom partierna bytte perspektiv och retoriskt anslag när de bytte parlamentarisk position. En intressa</w:t>
      </w:r>
      <w:r w:rsidRPr="00237A2C">
        <w:t xml:space="preserve">nt hypotes genereras i och med detta, den att regeringspartier är mer intresserade av att direkt och kraftfullt kunna styra förvaltningen, medan oppositionspartier vill skydda förvaltningen och därmed bygga in ett konserverande moment. </w:t>
      </w:r>
    </w:p>
    <w:p w:rsidR="00AE50BA" w:rsidRPr="00237A2C" w:rsidRDefault="00AE50BA">
      <w:pPr>
        <w:pStyle w:val="Normaltindrag"/>
      </w:pPr>
      <w:r w:rsidRPr="00237A2C">
        <w:t>Den tydliga uppdelningen i regerings- respektive oppositionslinjer i d</w:t>
      </w:r>
      <w:r w:rsidRPr="00237A2C">
        <w:t>e</w:t>
      </w:r>
      <w:r w:rsidRPr="00237A2C">
        <w:t>batten grumlas dock något under senare år. Hur vi ur ett strategiskt perspe</w:t>
      </w:r>
      <w:r w:rsidRPr="00237A2C">
        <w:t>k</w:t>
      </w:r>
      <w:r w:rsidRPr="00237A2C">
        <w:t>tiv ska förstå den parlamentariska förvirring som rådde 1995 är oklart. Vad gäller 1998 års debatt bör vi också fundera närmare över den uppenbara enighet som råder kring de förvaltningspolitiska frågorna. Det perspektiv som Förvaltningsutredningen lanserade 1983 verkar nu ha slagit igenom på bred front, behovet av att kunna styra är utgångspunkten för samtliga deba</w:t>
      </w:r>
      <w:r w:rsidRPr="00237A2C">
        <w:t>t</w:t>
      </w:r>
      <w:r w:rsidRPr="00237A2C">
        <w:t>törer. Ingen problematiserar styrningsbehovet i relation till de s</w:t>
      </w:r>
      <w:r w:rsidRPr="00237A2C">
        <w:t>jälvständiga ämbetsverken på det sätt som till exempel var tydligt i debatten 1987. Vi kan tolka materialet som att debattörerna anser att den svenska förvaltningsm</w:t>
      </w:r>
      <w:r w:rsidRPr="00237A2C">
        <w:t>o</w:t>
      </w:r>
      <w:r w:rsidRPr="00237A2C">
        <w:t>dellen klarar varje utmaning som samtiden bjuder. De krav på direkt styrning och samordning som till exempel EU-samarbetet ställer definieras inte som problematiskt för självständigheten. Vad gäller mål- och resultatstyrningen hävdar man explicit att den svenska förvaltningsmodellen är särskilt lämpad för denna typ av styrning.</w:t>
      </w:r>
    </w:p>
    <w:p w:rsidR="00AE50BA" w:rsidRPr="00237A2C" w:rsidRDefault="00AE50BA">
      <w:pPr>
        <w:pStyle w:val="Normaltindrag"/>
      </w:pPr>
      <w:r w:rsidRPr="00237A2C">
        <w:t>En möjlig förklar</w:t>
      </w:r>
      <w:r w:rsidRPr="00237A2C">
        <w:t>ing till den breda enighet som debattörerna visar är att den målkatalog de diskuterar är tillräckligt omfattande och tillräckligt vagt formulerad för att passa alla. Ingen riskerar därmed att binda sig vid några precisa uppfattningar av hur mycket förvaltningen ska styras, eller hur. I en parlamentarisk situation där alla bedömer sina möjligheter att inneha eller direkt påverka regeringsmakten som relativt goda, är kanske ett stort mått av flexibilitet ett attraktivt alternativ till precisa regleringar grun</w:t>
      </w:r>
      <w:r w:rsidRPr="00237A2C">
        <w:t>dade i uttalade principiella uppfattningar.</w:t>
      </w:r>
    </w:p>
    <w:p w:rsidR="00AE50BA" w:rsidRPr="00237A2C" w:rsidRDefault="00AE50BA">
      <w:pPr>
        <w:pStyle w:val="Normaltindrag"/>
      </w:pPr>
      <w:r w:rsidRPr="00237A2C">
        <w:t>Det finns anledning att förhålla sig kritisk till den typ av målkatalog som i dagsläget beskriver relationen mellan regeringen och myndigheterna, mellan politik och förvaltning. Kritiken träffar både beskrivningen av arbetsförde</w:t>
      </w:r>
      <w:r w:rsidRPr="00237A2C">
        <w:t>l</w:t>
      </w:r>
      <w:r w:rsidRPr="00237A2C">
        <w:t xml:space="preserve">ningen mellan regeringen och myndigheterna och de idéer om lämpliga styrningsinstrument och graden av styrning som förs fram. Avsaknaden av problematisering och precision är uppenbar. Uppräkningen av krav och mål ger oss ingen vägledning om innehållet i dessa eller hur man vill prioritera i mål- och värdekonflikter. Denna typ av politiska måldokument är snarast att likna vid ”önskelistor” än nyanserade försök att ta ställning i principiellt viktiga frågor om styrelseskickets form och legitima grund. </w:t>
      </w:r>
    </w:p>
    <w:p w:rsidR="00AE50BA" w:rsidRPr="00237A2C" w:rsidRDefault="00AE50BA">
      <w:pPr>
        <w:pStyle w:val="Normaltindrag"/>
      </w:pPr>
      <w:r w:rsidRPr="00237A2C">
        <w:t>Kriti</w:t>
      </w:r>
      <w:r w:rsidRPr="00237A2C">
        <w:t>k kan också i stort riktas mot hur den i konstitutionella termer centrala frågan om relationen mellan politik och förvaltning behandlas i den parl</w:t>
      </w:r>
      <w:r w:rsidRPr="00237A2C">
        <w:t>a</w:t>
      </w:r>
      <w:r w:rsidRPr="00237A2C">
        <w:t>mentariska debatten. Den offentliga maktutövningens former diskuteras utan önskvärd klarhet och precision, och utifrån vad vi kan misstänka vara ett pragmatiskt snarare än principiellt perspektiv. Faran i att på detta sätt undv</w:t>
      </w:r>
      <w:r w:rsidRPr="00237A2C">
        <w:t>i</w:t>
      </w:r>
      <w:r w:rsidRPr="00237A2C">
        <w:t>ka att erkänna frågans dignitet och svårighetsgrad, ligger i att vad vi kan kalla den konstitutionella beredskapen urholkas. Grundläggand</w:t>
      </w:r>
      <w:r w:rsidRPr="00237A2C">
        <w:t>e spelregler framstår möjligen som självklara eller till och med oviktiga i en stabil och väl fungerande demokrati. Att vi överhuvudtaget har dem är dock för att vi erkänner risken för att omständigheterna kan komma att förändras.</w:t>
      </w:r>
    </w:p>
    <w:p w:rsidR="00AE50BA" w:rsidRPr="00237A2C" w:rsidRDefault="00AE50BA">
      <w:pPr>
        <w:pStyle w:val="Rubrik1"/>
      </w:pPr>
      <w:bookmarkStart w:id="282" w:name="_Toc509711239"/>
      <w:bookmarkStart w:id="283" w:name="_Toc509738061"/>
      <w:bookmarkStart w:id="284" w:name="_Toc516991680"/>
      <w:r w:rsidRPr="00237A2C">
        <w:t>Del 2</w:t>
      </w:r>
      <w:bookmarkEnd w:id="282"/>
      <w:bookmarkEnd w:id="283"/>
      <w:bookmarkEnd w:id="284"/>
    </w:p>
    <w:p w:rsidR="00AE50BA" w:rsidRPr="00237A2C" w:rsidRDefault="00AE50BA">
      <w:pPr>
        <w:pStyle w:val="Rubrik1"/>
      </w:pPr>
      <w:bookmarkStart w:id="285" w:name="_Toc509711240"/>
      <w:bookmarkStart w:id="286" w:name="_Toc509738062"/>
      <w:bookmarkStart w:id="287" w:name="_Toc516991681"/>
      <w:r w:rsidRPr="00237A2C">
        <w:t>Empiriska studier av relationen mellan departement och verk</w:t>
      </w:r>
      <w:bookmarkEnd w:id="285"/>
      <w:bookmarkEnd w:id="286"/>
      <w:bookmarkEnd w:id="287"/>
    </w:p>
    <w:p w:rsidR="00AE50BA" w:rsidRPr="00237A2C" w:rsidRDefault="00AE50BA">
      <w:pPr>
        <w:pStyle w:val="Rubrik2"/>
      </w:pPr>
      <w:bookmarkStart w:id="288" w:name="_Toc509711241"/>
      <w:bookmarkStart w:id="289" w:name="_Toc509738063"/>
      <w:bookmarkStart w:id="290" w:name="_Toc516991682"/>
      <w:r w:rsidRPr="00237A2C">
        <w:t>Inledning</w:t>
      </w:r>
      <w:bookmarkEnd w:id="288"/>
      <w:bookmarkEnd w:id="289"/>
      <w:bookmarkEnd w:id="290"/>
    </w:p>
    <w:p w:rsidR="00AE50BA" w:rsidRPr="00237A2C" w:rsidRDefault="00AE50BA">
      <w:pPr>
        <w:keepNext/>
        <w:keepLines/>
      </w:pPr>
      <w:r w:rsidRPr="00237A2C">
        <w:t>Intresset för att studera den svenska statsförvaltningen var länge svagt inom svensk statskunskap.</w:t>
      </w:r>
      <w:r w:rsidRPr="00237A2C">
        <w:rPr>
          <w:b/>
        </w:rPr>
        <w:t xml:space="preserve"> </w:t>
      </w:r>
      <w:r w:rsidRPr="00237A2C">
        <w:t xml:space="preserve">Med undantag för Gunnar Heckschers undersökning </w:t>
      </w:r>
      <w:r w:rsidRPr="00237A2C">
        <w:rPr>
          <w:i/>
        </w:rPr>
        <w:t>Svensk statsförvaltning i arbete</w:t>
      </w:r>
      <w:r w:rsidRPr="00237A2C">
        <w:t xml:space="preserve"> från 1952, började forskarna intressera sig för att empiriskt studera förvaltningen i större omfattning först i slutet av 1960-talet. En av orsakerna bakom det ökade intresset var bland annat den offentliga sektorns dramatiska tillväxt vid denna tid.</w:t>
      </w:r>
      <w:r w:rsidRPr="00237A2C">
        <w:rPr>
          <w:rStyle w:val="Fotnotsreferens"/>
          <w:sz w:val="20"/>
        </w:rPr>
        <w:footnoteReference w:id="85"/>
      </w:r>
    </w:p>
    <w:p w:rsidR="00AE50BA" w:rsidRPr="00237A2C" w:rsidRDefault="00AE50BA">
      <w:pPr>
        <w:pStyle w:val="Normaltindrag"/>
      </w:pPr>
      <w:r w:rsidRPr="00237A2C">
        <w:t>Med begreppet ”den svenska förvaltningsmodellen” avses i allmänhet den dualistiska uppdelning som sägs råda mellan politiska och verkställande förvaltningsorgan. Enligt regeringsformen lyder visserligen ämbetsverken under regeringen (RF 11:6), men åtnjuter självständighet gentemot regerin</w:t>
      </w:r>
      <w:r w:rsidRPr="00237A2C">
        <w:t>g</w:t>
      </w:r>
      <w:r w:rsidRPr="00237A2C">
        <w:t>en då de fattar beslut i ärenden som rör myndighetsutövning mot enskild eller tillämpning av lag (RF 11:7). Vidare har Sverige, till skillnad från de flesta andra länder</w:t>
      </w:r>
      <w:r w:rsidRPr="00237A2C">
        <w:rPr>
          <w:rStyle w:val="Fotnotsreferens"/>
          <w:sz w:val="20"/>
        </w:rPr>
        <w:footnoteReference w:id="86"/>
      </w:r>
      <w:r w:rsidRPr="00237A2C">
        <w:t>, inget så kallat ministerstyre eftersom ministern inte har möjlighet att gå in och styra i enskilda fall.</w:t>
      </w:r>
      <w:r w:rsidRPr="00237A2C">
        <w:rPr>
          <w:rStyle w:val="Fotnotsreferens"/>
          <w:sz w:val="20"/>
        </w:rPr>
        <w:footnoteReference w:id="87"/>
      </w:r>
      <w:r w:rsidRPr="00237A2C">
        <w:t xml:space="preserve"> Således står relationen mellan regeringen/departementen och ämbetsverken i centrum för modellen.</w:t>
      </w:r>
    </w:p>
    <w:p w:rsidR="00AE50BA" w:rsidRPr="00237A2C" w:rsidRDefault="00AE50BA">
      <w:pPr>
        <w:pStyle w:val="Normaltindrag"/>
      </w:pPr>
      <w:r w:rsidRPr="00237A2C">
        <w:t>Den empiriska forskningen om den för den svenska förvaltningsmodellen centrala relationen mellan regering/departement och ämbetsverk behandlar huvudsakligen regeringens/departementens styrning av förvaltningen medan arbetsför</w:t>
      </w:r>
      <w:r w:rsidRPr="00237A2C">
        <w:softHyphen/>
        <w:t>del</w:t>
      </w:r>
      <w:r w:rsidRPr="00237A2C">
        <w:softHyphen/>
        <w:t>ning</w:t>
      </w:r>
      <w:r w:rsidRPr="00237A2C">
        <w:softHyphen/>
        <w:t>en mellan den politiska nivån och myndigheterna sällan berörs. Forskningen fokuserar  på den svenska förvaltningsmodellen i en vid bemärkelse. Bengt Jacobsson hävdar till exempel att departementens styrning av ämbetsverken inte enbart påverkas av regeringsformen, utan även av en traditionell sedvanerätt i vilken ämbetsverken åtnjuter större själv</w:t>
      </w:r>
      <w:r w:rsidRPr="00237A2C">
        <w:softHyphen/>
        <w:t>stän</w:t>
      </w:r>
      <w:r w:rsidRPr="00237A2C">
        <w:softHyphen/>
        <w:t>dig</w:t>
      </w:r>
      <w:r w:rsidRPr="00237A2C">
        <w:softHyphen/>
        <w:t>het än regeringsformen faktiskt ger uttryck för.</w:t>
      </w:r>
      <w:r w:rsidRPr="00237A2C">
        <w:rPr>
          <w:rStyle w:val="Fotnotsreferens"/>
        </w:rPr>
        <w:footnoteReference w:id="88"/>
      </w:r>
      <w:r w:rsidRPr="00237A2C">
        <w:t xml:space="preserve"> Vidare anser till exempel Peter Ehn att regeringens möjligheter att styra förvaltningen i den sven</w:t>
      </w:r>
      <w:r w:rsidRPr="00237A2C">
        <w:t>s</w:t>
      </w:r>
      <w:r w:rsidRPr="00237A2C">
        <w:t>ka förvalt</w:t>
      </w:r>
      <w:r w:rsidRPr="00237A2C">
        <w:softHyphen/>
        <w:t>nings</w:t>
      </w:r>
      <w:r w:rsidRPr="00237A2C">
        <w:softHyphen/>
        <w:t>model</w:t>
      </w:r>
      <w:r w:rsidRPr="00237A2C">
        <w:softHyphen/>
        <w:t>len är beroende av att en värdemässig samsyn mellan politiker och tjänstemän råder och undersöker därför detta.</w:t>
      </w:r>
      <w:r w:rsidRPr="00237A2C">
        <w:rPr>
          <w:rStyle w:val="Fotnotsreferens"/>
          <w:sz w:val="20"/>
        </w:rPr>
        <w:footnoteReference w:id="89"/>
      </w:r>
      <w:r w:rsidRPr="00237A2C">
        <w:t xml:space="preserve"> </w:t>
      </w:r>
    </w:p>
    <w:p w:rsidR="00AE50BA" w:rsidRPr="00237A2C" w:rsidRDefault="00AE50BA">
      <w:pPr>
        <w:pStyle w:val="Rubrik2"/>
      </w:pPr>
      <w:bookmarkStart w:id="291" w:name="_Toc509711242"/>
      <w:bookmarkStart w:id="292" w:name="_Toc509738064"/>
      <w:bookmarkStart w:id="293" w:name="_Toc516991683"/>
      <w:r w:rsidRPr="00237A2C">
        <w:t>Styrningsbegreppet</w:t>
      </w:r>
      <w:bookmarkEnd w:id="291"/>
      <w:bookmarkEnd w:id="292"/>
      <w:bookmarkEnd w:id="293"/>
    </w:p>
    <w:p w:rsidR="00AE50BA" w:rsidRPr="00237A2C" w:rsidRDefault="00AE50BA">
      <w:r w:rsidRPr="00237A2C">
        <w:t>Ett återkommande tema för 1900-talets regeringar har varit hur man ska kunna styra och kontrollera statsförvaltningen utan att komma i konflikt med RF.</w:t>
      </w:r>
      <w:r w:rsidRPr="00237A2C">
        <w:rPr>
          <w:rStyle w:val="Fotnotsreferens"/>
          <w:sz w:val="20"/>
        </w:rPr>
        <w:footnoteReference w:id="90"/>
      </w:r>
      <w:r w:rsidRPr="00237A2C">
        <w:t xml:space="preserve"> Förvaltningsutredningen hävdade dock 1983 att regeringsformen i sig inte ger något starkt stöd för en sådan dualistisk syn på svensk statsför</w:t>
      </w:r>
      <w:r w:rsidRPr="00237A2C">
        <w:softHyphen/>
        <w:t>valt</w:t>
      </w:r>
      <w:r w:rsidRPr="00237A2C">
        <w:softHyphen/>
        <w:t>ning, och att ämbetsverkens faktiska självständighet är ett resultat av att statsmakterna underlåtit att utnyttja de möjligheter till styrning som reg</w:t>
      </w:r>
      <w:r w:rsidRPr="00237A2C">
        <w:t>e</w:t>
      </w:r>
      <w:r w:rsidRPr="00237A2C">
        <w:t>ringsformen faktiskt ger.</w:t>
      </w:r>
      <w:r w:rsidRPr="00237A2C">
        <w:rPr>
          <w:rStyle w:val="Fotnotsreferens"/>
          <w:sz w:val="20"/>
        </w:rPr>
        <w:footnoteReference w:id="91"/>
      </w:r>
    </w:p>
    <w:p w:rsidR="00AE50BA" w:rsidRPr="00237A2C" w:rsidRDefault="00AE50BA">
      <w:pPr>
        <w:pStyle w:val="Normaltindrag"/>
      </w:pPr>
      <w:r w:rsidRPr="00237A2C">
        <w:t>I den empiriska forskning som diskuterar relationen mellan departement och ämbetsverk talas ofta om olika instrument som står till politikernas fö</w:t>
      </w:r>
      <w:r w:rsidRPr="00237A2C">
        <w:t>r</w:t>
      </w:r>
      <w:r w:rsidRPr="00237A2C">
        <w:t xml:space="preserve">fogande för att styra förvaltningen. Bland dessa </w:t>
      </w:r>
      <w:r w:rsidRPr="00237A2C">
        <w:rPr>
          <w:i/>
        </w:rPr>
        <w:t>styrinstrument</w:t>
      </w:r>
      <w:r w:rsidRPr="00237A2C">
        <w:t xml:space="preserve"> märks fra</w:t>
      </w:r>
      <w:r w:rsidRPr="00237A2C">
        <w:t>m</w:t>
      </w:r>
      <w:r w:rsidRPr="00237A2C">
        <w:t>för allt normgivningsmakten, finansmakten och utnämningsmakten. Ko</w:t>
      </w:r>
      <w:r w:rsidRPr="00237A2C">
        <w:t>n</w:t>
      </w:r>
      <w:r w:rsidRPr="00237A2C">
        <w:t>flikten mellan den hierarkiska förvaltningsmodellen där verken skall fungera som ett lojalt redskap för politiska intentioner och den dualistiska modellen där verken åtnjuter stor självständighet gentemot politikerna uppmärksa</w:t>
      </w:r>
      <w:r w:rsidRPr="00237A2C">
        <w:t>m</w:t>
      </w:r>
      <w:r w:rsidRPr="00237A2C">
        <w:t>mas. De problem som i första hand behandlas i  litteraturen är i vilken mån regering och departement genom styrinstrumenten har möjlighet att s</w:t>
      </w:r>
      <w:r w:rsidRPr="00237A2C">
        <w:t xml:space="preserve">tyra förvaltningen och i vilken omfattning förvaltningen påverkar politikens utformning och utfall. </w:t>
      </w:r>
    </w:p>
    <w:p w:rsidR="00AE50BA" w:rsidRPr="00237A2C" w:rsidRDefault="00AE50BA">
      <w:pPr>
        <w:pStyle w:val="Normaltindrag"/>
      </w:pPr>
      <w:r w:rsidRPr="00237A2C">
        <w:t>Detta avsnitt tar upp och går igenom existerande empirisk forskning som behandlar relationen mellan  regeringen/departementen och ämbetsverken för att på så sätt undersöka hur pass väl de verkliga förhållandena överensstä</w:t>
      </w:r>
      <w:r w:rsidRPr="00237A2C">
        <w:t>m</w:t>
      </w:r>
      <w:r w:rsidRPr="00237A2C">
        <w:t>mer med den traditionella föreställningen om uppdelningen mellan politiska och verkställande förvaltningsorgan.</w:t>
      </w:r>
    </w:p>
    <w:p w:rsidR="00AE50BA" w:rsidRPr="00237A2C" w:rsidRDefault="00AE50BA">
      <w:pPr>
        <w:pStyle w:val="Normaltindrag"/>
      </w:pPr>
      <w:r w:rsidRPr="00237A2C">
        <w:t>Materialet utgörs i huvudsak av kvantitativa studier och fallstudier från slutet av 1960-talet och framåt. De kvantitativa studierna kan delas upp i två huvudriktningar. I den första typen ligger tonvikten på att kartlägga attityder hos statstjänstemän och politiker, som forskarna menar präglar samspelet mellan förvaltningen och den politiska nivån. Den andra typen av kvantitat</w:t>
      </w:r>
      <w:r w:rsidRPr="00237A2C">
        <w:t>i</w:t>
      </w:r>
      <w:r w:rsidRPr="00237A2C">
        <w:t>va studier riktar istället in sig på aktörernas uppfattning av  praktiska förhå</w:t>
      </w:r>
      <w:r w:rsidRPr="00237A2C">
        <w:t>l</w:t>
      </w:r>
      <w:r w:rsidRPr="00237A2C">
        <w:t>landen som till exempel rutiner och arbetsmetoder som på ett mer direkt sätt inverkar på relationen mellan depa</w:t>
      </w:r>
      <w:r w:rsidRPr="00237A2C">
        <w:t>r</w:t>
      </w:r>
      <w:r w:rsidRPr="00237A2C">
        <w:t xml:space="preserve">tement och verk. </w:t>
      </w:r>
    </w:p>
    <w:p w:rsidR="00AE50BA" w:rsidRPr="00237A2C" w:rsidRDefault="00AE50BA">
      <w:pPr>
        <w:pStyle w:val="Normaltindrag"/>
      </w:pPr>
      <w:r w:rsidRPr="00237A2C">
        <w:t>Detta avsnitt</w:t>
      </w:r>
      <w:r w:rsidRPr="00237A2C">
        <w:rPr>
          <w:b/>
          <w:i/>
        </w:rPr>
        <w:t xml:space="preserve"> </w:t>
      </w:r>
      <w:r w:rsidRPr="00237A2C">
        <w:t>är i huvudsak upplagt tematiskt. Efter denna introduktion följer en sammanställning och diskussion om empiriska studier som behan</w:t>
      </w:r>
      <w:r w:rsidRPr="00237A2C">
        <w:t>d</w:t>
      </w:r>
      <w:r w:rsidRPr="00237A2C">
        <w:t>lar attityder och värderingar hos statstjänstemän och politiker. Därefter kommer forskningen om de tre centrala styrinstrumenten, normgivning</w:t>
      </w:r>
      <w:r w:rsidRPr="00237A2C">
        <w:t>s</w:t>
      </w:r>
      <w:r w:rsidRPr="00237A2C">
        <w:t xml:space="preserve">makten, finansmakten och utnämningsmakten och deras tillämpning och effekter att studeras, varpå en redogörelse för resultaten av Bengt Jacobssons centrala fallstudier som redovisas i boken </w:t>
      </w:r>
      <w:r w:rsidRPr="00237A2C">
        <w:rPr>
          <w:i/>
        </w:rPr>
        <w:t>Hur styrs förvaltningen?</w:t>
      </w:r>
      <w:r w:rsidRPr="00237A2C">
        <w:t xml:space="preserve"> följer. Efter detta uppm</w:t>
      </w:r>
      <w:r w:rsidRPr="00237A2C">
        <w:t>ärksammas unde</w:t>
      </w:r>
      <w:r w:rsidRPr="00237A2C">
        <w:t>r</w:t>
      </w:r>
      <w:r w:rsidRPr="00237A2C">
        <w:t>sökningar om det svenska EU-medlemskapets effekter på relationen mellan departement och verk. Avslu</w:t>
      </w:r>
      <w:r w:rsidRPr="00237A2C">
        <w:t>t</w:t>
      </w:r>
      <w:r w:rsidRPr="00237A2C">
        <w:t>ningsvis diskuteras några slutsatser angående den svenska förvaltningsm</w:t>
      </w:r>
      <w:r w:rsidRPr="00237A2C">
        <w:t>o</w:t>
      </w:r>
      <w:r w:rsidRPr="00237A2C">
        <w:t>dellen grundade på genomgången av den emp</w:t>
      </w:r>
      <w:r w:rsidRPr="00237A2C">
        <w:t>i</w:t>
      </w:r>
      <w:r w:rsidRPr="00237A2C">
        <w:t>riska forskningen.</w:t>
      </w:r>
    </w:p>
    <w:p w:rsidR="00AE50BA" w:rsidRPr="00237A2C" w:rsidRDefault="00AE50BA">
      <w:pPr>
        <w:pStyle w:val="Rubrik2"/>
      </w:pPr>
      <w:bookmarkStart w:id="294" w:name="_Toc509711243"/>
      <w:bookmarkStart w:id="295" w:name="_Toc509738065"/>
      <w:bookmarkStart w:id="296" w:name="_Toc516991684"/>
      <w:r w:rsidRPr="00237A2C">
        <w:t>Politiska attityder och värderingar hos statstjänstemännen, inställningen till politisk styrning och synen på tjänstemannarollen</w:t>
      </w:r>
      <w:bookmarkEnd w:id="294"/>
      <w:bookmarkEnd w:id="295"/>
      <w:bookmarkEnd w:id="296"/>
    </w:p>
    <w:p w:rsidR="00AE50BA" w:rsidRPr="00237A2C" w:rsidRDefault="00AE50BA">
      <w:r w:rsidRPr="00237A2C">
        <w:t>En värderingsmässig samsyn mellan politiker och tjänstemän sägs vara en förutsättning för ett fungerande samspel mellan politik och förvaltning. Statstjänstemännens och politikernas attityder till politik, förvaltning och tjänstemannarollen påverkar dessa gruppers beteende och därmed ytterst förvaltningens funktionssätt.</w:t>
      </w:r>
      <w:r w:rsidRPr="00237A2C">
        <w:rPr>
          <w:rStyle w:val="Fotnotsreferens"/>
          <w:sz w:val="20"/>
        </w:rPr>
        <w:footnoteReference w:id="92"/>
      </w:r>
      <w:r w:rsidRPr="00237A2C">
        <w:t xml:space="preserve"> </w:t>
      </w:r>
    </w:p>
    <w:p w:rsidR="00AE50BA" w:rsidRPr="00237A2C" w:rsidRDefault="00AE50BA">
      <w:pPr>
        <w:pStyle w:val="Normaltindrag"/>
      </w:pPr>
      <w:r w:rsidRPr="00237A2C">
        <w:t>I Peter Ehns studie (publicerad 1998) jämförs data från 1990 med result</w:t>
      </w:r>
      <w:r w:rsidRPr="00237A2C">
        <w:t>a</w:t>
      </w:r>
      <w:r w:rsidRPr="00237A2C">
        <w:t>ten från tidigare studier utförda i början av 1970-talet</w:t>
      </w:r>
      <w:r w:rsidRPr="00237A2C">
        <w:rPr>
          <w:rStyle w:val="Fotnotsreferens"/>
          <w:sz w:val="20"/>
        </w:rPr>
        <w:footnoteReference w:id="93"/>
      </w:r>
      <w:r w:rsidRPr="00237A2C">
        <w:t>. I undersökningen framkommer att gränsen mellan departement och verk är betydelsefull för tjänstemännens syn på sin yrkesroll och därmed inställningen till politisk styrning.</w:t>
      </w:r>
      <w:r w:rsidRPr="00237A2C">
        <w:rPr>
          <w:rStyle w:val="Fotnotsreferens"/>
          <w:sz w:val="20"/>
        </w:rPr>
        <w:footnoteReference w:id="94"/>
      </w:r>
      <w:r w:rsidRPr="00237A2C">
        <w:t xml:space="preserve"> Tjänstemännen inom regeringskansliet (statssekreterare</w:t>
      </w:r>
      <w:r w:rsidRPr="00237A2C">
        <w:rPr>
          <w:rStyle w:val="Fotnotsreferens"/>
          <w:sz w:val="20"/>
        </w:rPr>
        <w:footnoteReference w:id="95"/>
      </w:r>
      <w:r w:rsidRPr="00237A2C">
        <w:t xml:space="preserve"> och departementsråd), som befinner sig nära politikerna i en starkt politiserad miljö, är mer politiskt orienterade än verkscheferna, som istället betonar den rättsliga eller marknadsorienterade rollsynen. Tjänstemannens position i systemet snarare än hans/hennes partipolitiska preferenser är enligt Ehn viktig för tjänstemannens rolluppfattning.</w:t>
      </w:r>
    </w:p>
    <w:p w:rsidR="00AE50BA" w:rsidRPr="00237A2C" w:rsidRDefault="00AE50BA">
      <w:pPr>
        <w:pStyle w:val="Normaltindrag"/>
      </w:pPr>
      <w:r w:rsidRPr="00237A2C">
        <w:t>Riksdagspolitikernas syn på vilka egenskaper som utmärker tjänstemann</w:t>
      </w:r>
      <w:r w:rsidRPr="00237A2C">
        <w:t>a</w:t>
      </w:r>
      <w:r w:rsidRPr="00237A2C">
        <w:t>rollen präglas däremot av ledamöternas ideologiska grundsyn. Socialistiska politiker tenderar att ha en politisk rollsyn medan borgerliga politiker betonar den rättsliga tjänst</w:t>
      </w:r>
      <w:r w:rsidRPr="00237A2C">
        <w:t>e</w:t>
      </w:r>
      <w:r w:rsidRPr="00237A2C">
        <w:t>mannarollen.</w:t>
      </w:r>
    </w:p>
    <w:p w:rsidR="00AE50BA" w:rsidRPr="00237A2C" w:rsidRDefault="00AE50BA">
      <w:pPr>
        <w:pStyle w:val="Normaltindrag"/>
      </w:pPr>
      <w:r w:rsidRPr="00237A2C">
        <w:t>Ehns undersökningsresultat visar också att riksdagspolitikernas uppfat</w:t>
      </w:r>
      <w:r w:rsidRPr="00237A2C">
        <w:t>t</w:t>
      </w:r>
      <w:r w:rsidRPr="00237A2C">
        <w:t>ning av tjänstemannarollen i allmänhet tenderar att vara relativt oproblemat</w:t>
      </w:r>
      <w:r w:rsidRPr="00237A2C">
        <w:t>i</w:t>
      </w:r>
      <w:r w:rsidRPr="00237A2C">
        <w:t>serad. Ehn menar att politikerna verkar ha svårt att ge en konsistent bild av tjänstemannen; traditionella tjänstemannadygder som integritet, självständi</w:t>
      </w:r>
      <w:r w:rsidRPr="00237A2C">
        <w:t>g</w:t>
      </w:r>
      <w:r w:rsidRPr="00237A2C">
        <w:t>het och neutralitet framhålls samtidigt som följsamheten mot den politiska ledningen betonas. (Dessa empiriska undersökningsresultat stämmer således bra överens med diskussionen i föregående avsnitt.) Orsakerna bakom denna aningen motsägelsefulla uppfattning av tjänstemannarollen</w:t>
      </w:r>
      <w:r w:rsidRPr="00237A2C">
        <w:t xml:space="preserve"> kan enligt Ehn delvis förklaras av att riksdagsledamöterna ofta har en begränsad erfarenhet av kontakter med högre statstjänstemän.</w:t>
      </w:r>
      <w:r w:rsidRPr="00237A2C">
        <w:rPr>
          <w:rStyle w:val="Fotnotsreferens"/>
          <w:sz w:val="20"/>
        </w:rPr>
        <w:footnoteReference w:id="96"/>
      </w:r>
      <w:r w:rsidRPr="00237A2C">
        <w:t xml:space="preserve"> </w:t>
      </w:r>
    </w:p>
    <w:p w:rsidR="00AE50BA" w:rsidRPr="00237A2C" w:rsidRDefault="00AE50BA">
      <w:pPr>
        <w:pStyle w:val="Normaltindrag"/>
      </w:pPr>
      <w:r w:rsidRPr="00237A2C">
        <w:t>Vidare konstateras att tjänstemännens syn på politiker har blivit mindre positiv. Detta beror enligt Ehn i första hand på att andelen tjänstemän med en ambivalent inställning till politiker har ökat. Den största förändringen i pol</w:t>
      </w:r>
      <w:r w:rsidRPr="00237A2C">
        <w:t>i</w:t>
      </w:r>
      <w:r w:rsidRPr="00237A2C">
        <w:t>tikerkritisk riktning har inträffat bland statssekreterarna, även om dessa all</w:t>
      </w:r>
      <w:r w:rsidRPr="00237A2C">
        <w:t>t</w:t>
      </w:r>
      <w:r w:rsidRPr="00237A2C">
        <w:t>jämt är övervägande positiva. Också bland verkscheferna, som vid båda undersökningstillfällena uppvisat den mest kritiska inställningen till polit</w:t>
      </w:r>
      <w:r w:rsidRPr="00237A2C">
        <w:t>i</w:t>
      </w:r>
      <w:r w:rsidRPr="00237A2C">
        <w:t>kerna, har det skett en attitydförskjutning i polit</w:t>
      </w:r>
      <w:r w:rsidRPr="00237A2C">
        <w:t>i</w:t>
      </w:r>
      <w:r w:rsidRPr="00237A2C">
        <w:t>kernegativ riktning.</w:t>
      </w:r>
      <w:r w:rsidRPr="00237A2C">
        <w:rPr>
          <w:rStyle w:val="Fotnotsreferens"/>
          <w:sz w:val="20"/>
        </w:rPr>
        <w:footnoteReference w:id="97"/>
      </w:r>
      <w:r w:rsidRPr="00237A2C">
        <w:t xml:space="preserve"> </w:t>
      </w:r>
    </w:p>
    <w:p w:rsidR="00AE50BA" w:rsidRPr="00237A2C" w:rsidRDefault="00AE50BA">
      <w:pPr>
        <w:pStyle w:val="Normaltindrag"/>
      </w:pPr>
      <w:r w:rsidRPr="00237A2C">
        <w:rPr>
          <w:b/>
        </w:rPr>
        <w:t>Slutsatsen</w:t>
      </w:r>
      <w:r w:rsidRPr="00237A2C">
        <w:rPr>
          <w:b/>
          <w:i/>
        </w:rPr>
        <w:t xml:space="preserve"> </w:t>
      </w:r>
      <w:r w:rsidRPr="00237A2C">
        <w:t>man kan dra av undersökningarnas resultat är att det finns skillnader mellan departement och verk ifråga om hur tjänstemännen uppl</w:t>
      </w:r>
      <w:r w:rsidRPr="00237A2C">
        <w:t>e</w:t>
      </w:r>
      <w:r w:rsidRPr="00237A2C">
        <w:t>ver sin yrkesroll och därmed vilken inställning tjänstemännen har till politisk styrning. Dessutom har attityden till politikerna blivit mindre positiv i sam</w:t>
      </w:r>
      <w:r w:rsidRPr="00237A2C">
        <w:t>t</w:t>
      </w:r>
      <w:r w:rsidRPr="00237A2C">
        <w:t>liga undersökta tjänstemannagrupper. Enligt Ehn framstår också riksdagsp</w:t>
      </w:r>
      <w:r w:rsidRPr="00237A2C">
        <w:t>o</w:t>
      </w:r>
      <w:r w:rsidRPr="00237A2C">
        <w:t>litikernas framställning av tjänst</w:t>
      </w:r>
      <w:r w:rsidRPr="00237A2C">
        <w:t>e</w:t>
      </w:r>
      <w:r w:rsidRPr="00237A2C">
        <w:t>mannarollen i viss mån som inkonsekvent.</w:t>
      </w:r>
    </w:p>
    <w:p w:rsidR="00AE50BA" w:rsidRPr="00237A2C" w:rsidRDefault="00AE50BA">
      <w:pPr>
        <w:pStyle w:val="Normaltindrag"/>
      </w:pPr>
      <w:r w:rsidRPr="00237A2C">
        <w:t xml:space="preserve">Om man utgår ifrån att en värdemässig samsyn är en förutsättning för ett </w:t>
      </w:r>
      <w:r w:rsidRPr="00237A2C">
        <w:t>fungerande samspel mellan politik och förvaltning visar de empiriska stud</w:t>
      </w:r>
      <w:r w:rsidRPr="00237A2C">
        <w:t>i</w:t>
      </w:r>
      <w:r w:rsidRPr="00237A2C">
        <w:t>erna att brister härvidlag föreligger. I ett system som det svenska, där tjän</w:t>
      </w:r>
      <w:r w:rsidRPr="00237A2C">
        <w:t>s</w:t>
      </w:r>
      <w:r w:rsidRPr="00237A2C">
        <w:t>temän har möjlighet att agera under betydande självständighet kan dessa olikheter i synen på förvaltning och politik inverka negativt på samspelet mellan reg</w:t>
      </w:r>
      <w:r w:rsidRPr="00237A2C">
        <w:t>e</w:t>
      </w:r>
      <w:r w:rsidRPr="00237A2C">
        <w:t xml:space="preserve">ring och departement å ena sidan och ämbetsverken å den andra. </w:t>
      </w:r>
    </w:p>
    <w:p w:rsidR="00AE50BA" w:rsidRPr="00237A2C" w:rsidRDefault="00AE50BA">
      <w:pPr>
        <w:pStyle w:val="Normaltindrag"/>
      </w:pPr>
      <w:r w:rsidRPr="00237A2C">
        <w:t>Enligt Ehn är dessa skillnader i attityder och värderingar inte så extrema att de i dagsläget utgör något hinder för samarbetet mellan den</w:t>
      </w:r>
      <w:r w:rsidRPr="00237A2C">
        <w:t xml:space="preserve"> politiska nivån och förvaltningen. Detta kan dock bli fallet om de tendenser som u</w:t>
      </w:r>
      <w:r w:rsidRPr="00237A2C">
        <w:t>n</w:t>
      </w:r>
      <w:r w:rsidRPr="00237A2C">
        <w:t>dersökningen visar på utvecklas ytterligare. Attitydmönstret inom den sven</w:t>
      </w:r>
      <w:r w:rsidRPr="00237A2C">
        <w:t>s</w:t>
      </w:r>
      <w:r w:rsidRPr="00237A2C">
        <w:t>ka statstjänstemannakåren tycks alltså inte vara odelat gynnsamt för geno</w:t>
      </w:r>
      <w:r w:rsidRPr="00237A2C">
        <w:t>m</w:t>
      </w:r>
      <w:r w:rsidRPr="00237A2C">
        <w:t>föra</w:t>
      </w:r>
      <w:r w:rsidRPr="00237A2C">
        <w:t>n</w:t>
      </w:r>
      <w:r w:rsidRPr="00237A2C">
        <w:t>det av politikernas intentioner.</w:t>
      </w:r>
      <w:r w:rsidRPr="00237A2C">
        <w:rPr>
          <w:rStyle w:val="Fotnotsreferens"/>
          <w:sz w:val="20"/>
        </w:rPr>
        <w:footnoteReference w:id="98"/>
      </w:r>
    </w:p>
    <w:p w:rsidR="00AE50BA" w:rsidRPr="00237A2C" w:rsidRDefault="00AE50BA">
      <w:pPr>
        <w:pStyle w:val="Rubrik2"/>
      </w:pPr>
      <w:bookmarkStart w:id="297" w:name="_Toc509711244"/>
      <w:bookmarkStart w:id="298" w:name="_Toc509738066"/>
      <w:bookmarkStart w:id="299" w:name="_Toc516991685"/>
      <w:r w:rsidRPr="00237A2C">
        <w:t>Styrinstrument</w:t>
      </w:r>
      <w:bookmarkEnd w:id="297"/>
      <w:bookmarkEnd w:id="298"/>
      <w:bookmarkEnd w:id="299"/>
    </w:p>
    <w:p w:rsidR="00AE50BA" w:rsidRPr="00237A2C" w:rsidRDefault="00AE50BA">
      <w:pPr>
        <w:pStyle w:val="Rubrik3"/>
      </w:pPr>
      <w:bookmarkStart w:id="300" w:name="_Toc509711245"/>
      <w:bookmarkStart w:id="301" w:name="_Toc509738067"/>
      <w:bookmarkStart w:id="302" w:name="_Toc516991686"/>
      <w:r w:rsidRPr="00237A2C">
        <w:t>Normgivningsmakten och informella kontakter</w:t>
      </w:r>
      <w:bookmarkEnd w:id="300"/>
      <w:bookmarkEnd w:id="301"/>
      <w:bookmarkEnd w:id="302"/>
    </w:p>
    <w:p w:rsidR="00AE50BA" w:rsidRPr="00237A2C" w:rsidRDefault="00AE50BA">
      <w:pPr>
        <w:rPr>
          <w:sz w:val="28"/>
        </w:rPr>
      </w:pPr>
      <w:r w:rsidRPr="00237A2C">
        <w:t>Normgivningsmakten innefattar i huvudsak riksdagens och regeringens formella styrning av myndigheterna genom lagar och förordningar. Som en följd av de snabba tekniska, sociala och ekonomiska förändringarna i det moderna samhället har politikerna i allt större omfattning kommit att anvä</w:t>
      </w:r>
      <w:r w:rsidRPr="00237A2C">
        <w:t>n</w:t>
      </w:r>
      <w:r w:rsidRPr="00237A2C">
        <w:t>da sig av ramlagstiftningstekniken för att utforma flexibla regler med hjälp av vilka man kan styra förvaltningen. Normstyrningen av myndigheterna har på detta sätt kommit att bli mindre detaljerad. Eftersom ramlagarna endast ger allmänt hållna mål och riktlinjer för hur förvaltningens verksamhet ska bedrivas krävs det att ramlagarna kompletteras med mer detaljerade regler i förordningar och myndighete</w:t>
      </w:r>
      <w:r w:rsidRPr="00237A2C">
        <w:t>r</w:t>
      </w:r>
      <w:r w:rsidRPr="00237A2C">
        <w:t>nas föreskrifter</w:t>
      </w:r>
      <w:r w:rsidRPr="00237A2C">
        <w:rPr>
          <w:sz w:val="28"/>
        </w:rPr>
        <w:t>.</w:t>
      </w:r>
      <w:r w:rsidRPr="00237A2C">
        <w:rPr>
          <w:rStyle w:val="Fotnotsreferens"/>
        </w:rPr>
        <w:footnoteReference w:id="99"/>
      </w:r>
    </w:p>
    <w:p w:rsidR="00AE50BA" w:rsidRPr="00237A2C" w:rsidRDefault="00AE50BA">
      <w:pPr>
        <w:pStyle w:val="Normaltindrag"/>
      </w:pPr>
      <w:r w:rsidRPr="00237A2C">
        <w:t>Man kan konstatera att den empiriska forskningen som behandlar reg</w:t>
      </w:r>
      <w:r w:rsidRPr="00237A2C">
        <w:t>e</w:t>
      </w:r>
      <w:r w:rsidRPr="00237A2C">
        <w:t>ringens styrning av förvaltningen i huvudsak inte diskuterar hur normsty</w:t>
      </w:r>
      <w:r w:rsidRPr="00237A2C">
        <w:t>r</w:t>
      </w:r>
      <w:r w:rsidRPr="00237A2C">
        <w:t>ningen fungerar i praktiken. Istället fokuserar en stor del av den empiriska litteraturen på de informella kontakterna, som enligt vissa forskare fungerar som komplement till normstyrningen och de andra styrinstrumenten. De informella kontakterna har ansetts som intressanta att studera eftersom det inte alltid stått klart hur principen om verkens självständighet skall respekt</w:t>
      </w:r>
      <w:r w:rsidRPr="00237A2C">
        <w:t>e</w:t>
      </w:r>
      <w:r w:rsidRPr="00237A2C">
        <w:t>ras samtidigt som den politiska nivån ska styra förvaltning</w:t>
      </w:r>
      <w:r w:rsidRPr="00237A2C">
        <w:t xml:space="preserve">en. En av de mer brännande frågorna som rör relationen mellan departement och ämbetsverk har också varit om </w:t>
      </w:r>
      <w:r w:rsidRPr="00237A2C">
        <w:rPr>
          <w:i/>
        </w:rPr>
        <w:t>informella kontakter</w:t>
      </w:r>
      <w:r w:rsidRPr="00237A2C">
        <w:t xml:space="preserve"> tjänat som en styrstrategi från d</w:t>
      </w:r>
      <w:r w:rsidRPr="00237A2C">
        <w:t>e</w:t>
      </w:r>
      <w:r w:rsidRPr="00237A2C">
        <w:t>partementens sida</w:t>
      </w:r>
      <w:r w:rsidRPr="00237A2C">
        <w:rPr>
          <w:rStyle w:val="Fotnotsreferens"/>
          <w:sz w:val="20"/>
        </w:rPr>
        <w:footnoteReference w:id="100"/>
      </w:r>
      <w:r w:rsidRPr="00237A2C">
        <w:t xml:space="preserve">. Den litteratur som diskuterar de informella kontakterna behandlar i första hand kontakternas omfattning, vilket syfte de tjänar och hur dessa kontakter påverkar relationerna mellan den politiska nivån och förvaltningen. </w:t>
      </w:r>
    </w:p>
    <w:p w:rsidR="00AE50BA" w:rsidRPr="00237A2C" w:rsidRDefault="00AE50BA">
      <w:pPr>
        <w:pStyle w:val="Normaltindrag"/>
      </w:pPr>
      <w:r w:rsidRPr="00237A2C">
        <w:t>En av de första systematiska undersökningarna av omfattningen av ko</w:t>
      </w:r>
      <w:r w:rsidRPr="00237A2C">
        <w:t>n</w:t>
      </w:r>
      <w:r w:rsidRPr="00237A2C">
        <w:t>takter mellan regeringskansliet och myndigheter, formella såväl som info</w:t>
      </w:r>
      <w:r w:rsidRPr="00237A2C">
        <w:t>r</w:t>
      </w:r>
      <w:r w:rsidRPr="00237A2C">
        <w:t>mella, genomfördes i slutet av 1980-talet av Olof Petersson inom ramen för Maktutredningens arbete. I enlighet med föreställningen om att departeme</w:t>
      </w:r>
      <w:r w:rsidRPr="00237A2C">
        <w:t>n</w:t>
      </w:r>
      <w:r w:rsidRPr="00237A2C">
        <w:t>ten använder informella kontakter som ett sätt att styra myndigheterna rikt</w:t>
      </w:r>
      <w:r w:rsidRPr="00237A2C">
        <w:t>a</w:t>
      </w:r>
      <w:r w:rsidRPr="00237A2C">
        <w:t>des enkäten främst till regeringskansliet.</w:t>
      </w:r>
    </w:p>
    <w:p w:rsidR="00AE50BA" w:rsidRPr="00237A2C" w:rsidRDefault="00AE50BA">
      <w:pPr>
        <w:pStyle w:val="Normaltindrag"/>
      </w:pPr>
      <w:r w:rsidRPr="00237A2C">
        <w:t>Resultatet av undersökningen pekar på att kontakterna mellan regering</w:t>
      </w:r>
      <w:r w:rsidRPr="00237A2C">
        <w:t>s</w:t>
      </w:r>
      <w:r w:rsidRPr="00237A2C">
        <w:t>kansli och myndigheter är mycket täta och ingår i departementsarbetets va</w:t>
      </w:r>
      <w:r w:rsidRPr="00237A2C">
        <w:t>r</w:t>
      </w:r>
      <w:r w:rsidRPr="00237A2C">
        <w:t>dag. Emellertid är variationen stor mellan olika myndigheter, och olika delar av regeringskansliet tenderar också att ha myndighetskontakter i olika stor omfattning. Regeringskansliets kontakter med centrala myndigheter som till exempel Statskontoret, Riksrevisionsverket och universiteten är mer rege</w:t>
      </w:r>
      <w:r w:rsidRPr="00237A2C">
        <w:t>l</w:t>
      </w:r>
      <w:r w:rsidRPr="00237A2C">
        <w:t>bundna och omfattande än kontakterna med  perifera myndigheter.</w:t>
      </w:r>
      <w:r w:rsidRPr="00237A2C">
        <w:rPr>
          <w:rStyle w:val="Fotnotsreferens"/>
          <w:sz w:val="20"/>
        </w:rPr>
        <w:footnoteReference w:id="101"/>
      </w:r>
    </w:p>
    <w:p w:rsidR="00AE50BA" w:rsidRPr="00237A2C" w:rsidRDefault="00AE50BA">
      <w:pPr>
        <w:pStyle w:val="Normaltindrag"/>
      </w:pPr>
      <w:r w:rsidRPr="00237A2C">
        <w:t>Även om studien inte redovisar någon uppdelning mellan kontakter som rör myndigheternas självständiga beslutsområden (lagtillämpning och my</w:t>
      </w:r>
      <w:r w:rsidRPr="00237A2C">
        <w:t>n</w:t>
      </w:r>
      <w:r w:rsidRPr="00237A2C">
        <w:t>dighetsutövning) och kontakter som inte gör det, framkommer i undersö</w:t>
      </w:r>
      <w:r w:rsidRPr="00237A2C">
        <w:t>k</w:t>
      </w:r>
      <w:r w:rsidRPr="00237A2C">
        <w:t>ningen hur stor andelen politiker varit som funnits bland regeringskansliets företrädare vid kontakter med olika delar av förvaltningen. Myndigheter med stor andel politikerkontakt är sådana som har betydelse för regionalpolitik, arbetsmarknad, utbildning, investeringar och kommun</w:t>
      </w:r>
      <w:r w:rsidRPr="00237A2C">
        <w:t>i</w:t>
      </w:r>
      <w:r w:rsidRPr="00237A2C">
        <w:t>kation.</w:t>
      </w:r>
      <w:r w:rsidRPr="00237A2C">
        <w:rPr>
          <w:rStyle w:val="Fotnotsreferens"/>
          <w:sz w:val="20"/>
        </w:rPr>
        <w:footnoteReference w:id="102"/>
      </w:r>
    </w:p>
    <w:p w:rsidR="00AE50BA" w:rsidRPr="00237A2C" w:rsidRDefault="00AE50BA">
      <w:pPr>
        <w:pStyle w:val="Normaltindrag"/>
      </w:pPr>
      <w:r w:rsidRPr="00237A2C">
        <w:t>Peter Ehn och Göran Sundström menar att de informella kontakterna i samband med mål- och resultatstyrningen tycks spela en viktig roll. Många departements- och verksföreträdare framhåller att det är nödvändigt för en myndighet att etablera goda kontakter, även informella sådana, med sitt departement för att verksamheten ska kunna bedrivas på ett effektivt sätt. Kontakternas huvudsakliga uppgift sägs vara att klargöra, precisera och motivera pol</w:t>
      </w:r>
      <w:r w:rsidRPr="00237A2C">
        <w:t>i</w:t>
      </w:r>
      <w:r w:rsidRPr="00237A2C">
        <w:t>tiskt fattade beslut.</w:t>
      </w:r>
      <w:r w:rsidRPr="00237A2C">
        <w:rPr>
          <w:rStyle w:val="Fotnotsreferens"/>
          <w:sz w:val="20"/>
        </w:rPr>
        <w:footnoteReference w:id="103"/>
      </w:r>
      <w:r w:rsidRPr="00237A2C">
        <w:t xml:space="preserve"> </w:t>
      </w:r>
    </w:p>
    <w:p w:rsidR="00AE50BA" w:rsidRPr="00237A2C" w:rsidRDefault="00AE50BA">
      <w:pPr>
        <w:pStyle w:val="Normaltindrag"/>
      </w:pPr>
      <w:r w:rsidRPr="00237A2C">
        <w:t>Det informationsbehov som uppstått till följd av den minskade detaljsty</w:t>
      </w:r>
      <w:r w:rsidRPr="00237A2C">
        <w:t>r</w:t>
      </w:r>
      <w:r w:rsidRPr="00237A2C">
        <w:t>ningen i det formella regelverket som mål- och resultatstyrningen i många fall inneburit, har regering och myndigheter i hög grad försökt täcka genom att etablera ett tätare informellt samspel.</w:t>
      </w:r>
      <w:r w:rsidRPr="00237A2C">
        <w:rPr>
          <w:rStyle w:val="Fotnotsreferens"/>
          <w:sz w:val="20"/>
        </w:rPr>
        <w:footnoteReference w:id="104"/>
      </w:r>
      <w:r w:rsidRPr="00237A2C">
        <w:t xml:space="preserve"> På detta sätt tycks alltså en min</w:t>
      </w:r>
      <w:r w:rsidRPr="00237A2C">
        <w:t>s</w:t>
      </w:r>
      <w:r w:rsidRPr="00237A2C">
        <w:t>kad detaljnivå i de officiella styrdokumenten h lett till en ökning av de i</w:t>
      </w:r>
      <w:r w:rsidRPr="00237A2C">
        <w:t>n</w:t>
      </w:r>
      <w:r w:rsidRPr="00237A2C">
        <w:t>formella kontakterna.</w:t>
      </w:r>
    </w:p>
    <w:p w:rsidR="00AE50BA" w:rsidRPr="00237A2C" w:rsidRDefault="00AE50BA">
      <w:pPr>
        <w:pStyle w:val="Normaltindrag"/>
      </w:pPr>
      <w:r w:rsidRPr="00237A2C">
        <w:t>Den informella dialogen tycks enligt Ehn och Sundström även ha ökat ri</w:t>
      </w:r>
      <w:r w:rsidRPr="00237A2C">
        <w:t>s</w:t>
      </w:r>
      <w:r w:rsidRPr="00237A2C">
        <w:t>ken för missförstånd. Många högre tjänstemän har erfarenhet av att tjänst</w:t>
      </w:r>
      <w:r w:rsidRPr="00237A2C">
        <w:t>e</w:t>
      </w:r>
      <w:r w:rsidRPr="00237A2C">
        <w:t>män på lägre nivåer i departement och myndigheter förmedlat information som inte varit förankrad på ledningsnivå. För att komma till rätta med detta problem som den informella dialogen skapat har många departement och myndigheter försökt att förbättra den interna samordningen så att man i kontakterna ”talar med en tunga”.</w:t>
      </w:r>
      <w:r w:rsidRPr="00237A2C">
        <w:rPr>
          <w:rStyle w:val="Fotnotsreferens"/>
          <w:sz w:val="20"/>
        </w:rPr>
        <w:footnoteReference w:id="105"/>
      </w:r>
      <w:r w:rsidRPr="00237A2C">
        <w:t xml:space="preserve"> Enligt Ds 2000:17 skapar de informella kontakterna inte bara många oklarheter, utan leder också ofta till bristande dokumentation av kontakterna mellan förvaltningsmyndigheterna och reg</w:t>
      </w:r>
      <w:r w:rsidRPr="00237A2C">
        <w:t>e</w:t>
      </w:r>
      <w:r w:rsidRPr="00237A2C">
        <w:t>ringskansliet.</w:t>
      </w:r>
      <w:r w:rsidRPr="00237A2C">
        <w:rPr>
          <w:rStyle w:val="Fotnotsreferens"/>
          <w:sz w:val="28"/>
        </w:rPr>
        <w:t xml:space="preserve"> </w:t>
      </w:r>
      <w:r w:rsidRPr="00237A2C">
        <w:rPr>
          <w:rStyle w:val="Fotnotsreferens"/>
          <w:sz w:val="20"/>
        </w:rPr>
        <w:footnoteReference w:id="106"/>
      </w:r>
      <w:r w:rsidRPr="00237A2C">
        <w:t xml:space="preserve"> </w:t>
      </w:r>
    </w:p>
    <w:p w:rsidR="00AE50BA" w:rsidRPr="00237A2C" w:rsidRDefault="00AE50BA">
      <w:pPr>
        <w:pStyle w:val="Normaltindrag"/>
      </w:pPr>
      <w:r w:rsidRPr="00237A2C">
        <w:t>Ett kanske något överraskande resultat som redovisas både i Ds 2000:17 och av Ehn och Sundström, är att det främst är myndigheterna som efterlyser ett ökat samspel och en öppnare dialog mellan verk och departement. Ors</w:t>
      </w:r>
      <w:r w:rsidRPr="00237A2C">
        <w:t>a</w:t>
      </w:r>
      <w:r w:rsidRPr="00237A2C">
        <w:t>ken till detta önskemål sägs vara, förutom att förtydliga innebörden av pol</w:t>
      </w:r>
      <w:r w:rsidRPr="00237A2C">
        <w:t>i</w:t>
      </w:r>
      <w:r w:rsidRPr="00237A2C">
        <w:t>tiska beslut, att myndigheterna på ett effektivt sätt vill få möjlighet att fö</w:t>
      </w:r>
      <w:r w:rsidRPr="00237A2C">
        <w:t>r</w:t>
      </w:r>
      <w:r w:rsidRPr="00237A2C">
        <w:t>ankra tänkta åtgärder i departementet och förmedla information om vad som pågår i myndigheten.</w:t>
      </w:r>
      <w:r w:rsidRPr="00237A2C">
        <w:rPr>
          <w:rStyle w:val="Fotnotsreferens"/>
          <w:sz w:val="20"/>
        </w:rPr>
        <w:footnoteReference w:id="107"/>
      </w:r>
    </w:p>
    <w:p w:rsidR="00AE50BA" w:rsidRPr="00237A2C" w:rsidRDefault="00AE50BA">
      <w:pPr>
        <w:pStyle w:val="Normaltindrag"/>
      </w:pPr>
      <w:r w:rsidRPr="00237A2C">
        <w:t>Ehn och Sundström menar vidare att anledningen till varför departementen inte har så omfattande kontakter med myndigheterna som dessa skulle önska ofta beror på tidsbrist, men även på att det politiska intresset för myndigh</w:t>
      </w:r>
      <w:r w:rsidRPr="00237A2C">
        <w:t>e</w:t>
      </w:r>
      <w:r w:rsidRPr="00237A2C">
        <w:t>ternas verksamhet ofta är begränsat. Dessutom visar intervjuer med statsråd och statssekreterare att det verkar finnas en osäkerhet beträffande vad ett statsråd får och inte får säga till myndigheterna i den informella dialogen. 1987 års verksledningsbeslut och de utredningar som låg till grund för detta har inte undanröjt denna osäkerhet. Respekten för myndigheternas självstä</w:t>
      </w:r>
      <w:r w:rsidRPr="00237A2C">
        <w:t>n</w:t>
      </w:r>
      <w:r w:rsidRPr="00237A2C">
        <w:t>dighet är således alltjämt stor, och statsråd väljer i vissa situationer att avstå ifrån att informellt diskutera frågor med verksc</w:t>
      </w:r>
      <w:r w:rsidRPr="00237A2C">
        <w:t>hefer, även om statsrådet anser en sådan diskussion vara påkallad.</w:t>
      </w:r>
      <w:r w:rsidRPr="00237A2C">
        <w:rPr>
          <w:rStyle w:val="Fotnotsreferens"/>
          <w:sz w:val="20"/>
        </w:rPr>
        <w:footnoteReference w:id="108"/>
      </w:r>
    </w:p>
    <w:p w:rsidR="00AE50BA" w:rsidRPr="00237A2C" w:rsidRDefault="00AE50BA">
      <w:pPr>
        <w:pStyle w:val="Normaltindrag"/>
      </w:pPr>
      <w:r w:rsidRPr="00237A2C">
        <w:t>I några av de få fallstudier som kartlägger relationerna mellan departement och verk beskriver Bengt Jacobsson bland annat de informella kontakterna under 1970-talet. Jacobssons slutsats är att informella kontakter förekommit i stor omfattning. Orsakerna till dessa kontakter har bland annat varit att ve</w:t>
      </w:r>
      <w:r w:rsidRPr="00237A2C">
        <w:t>r</w:t>
      </w:r>
      <w:r w:rsidRPr="00237A2C">
        <w:t>ken velat söka stöd för sina ageranden hos departementen samt förmedla expertkunskaper. Dessutom har de informella kontakterna använts av depa</w:t>
      </w:r>
      <w:r w:rsidRPr="00237A2C">
        <w:t>r</w:t>
      </w:r>
      <w:r w:rsidRPr="00237A2C">
        <w:t>tementen för att  samordna verksamhet, och för att söka styra verken.</w:t>
      </w:r>
      <w:r w:rsidRPr="00237A2C">
        <w:rPr>
          <w:rStyle w:val="Fotnotsreferens"/>
          <w:sz w:val="20"/>
        </w:rPr>
        <w:footnoteReference w:id="109"/>
      </w:r>
      <w:r w:rsidRPr="00237A2C">
        <w:t xml:space="preserve"> </w:t>
      </w:r>
    </w:p>
    <w:p w:rsidR="00AE50BA" w:rsidRPr="00237A2C" w:rsidRDefault="00AE50BA">
      <w:pPr>
        <w:pStyle w:val="Normaltindrag"/>
      </w:pPr>
      <w:r w:rsidRPr="00237A2C">
        <w:t>Mot bakgrund av de empiriska studierna kan man dra slutsatsen att den svenska doktrinen om självständiga ämbetsverk i praktiken inte alls innebär att det råder vattentäta skott mellan departement och centrala myndigheter, utan att det informella samspelet dem emellan tvärtom är livaktigt och o</w:t>
      </w:r>
      <w:r w:rsidRPr="00237A2C">
        <w:t>m</w:t>
      </w:r>
      <w:r w:rsidRPr="00237A2C">
        <w:t>fattande. Liksom Förvaltningsutredningen konstaterar i sitt slutbetänkande visar denna genomgång av befintlig forskning att föreställningen om att informella kontakter mellan myndigheter och regering/departement skulle vara ovanliga inte har något empiriskt stöd</w:t>
      </w:r>
      <w:r w:rsidRPr="00237A2C">
        <w:rPr>
          <w:rStyle w:val="Fotnotsreferens"/>
        </w:rPr>
        <w:footnoteReference w:id="110"/>
      </w:r>
      <w:r w:rsidRPr="00237A2C">
        <w:t>. Emellertid är variationen stor mellan olika sektorer. Kontakterna fungerar dessutom endast delvis som ett sätt för departementen att styra verken och den politiska nivån sägs till och med ibland dra sig för att använda informella kontakter på grund av rädsla att bli anklagad för ministerstyre. Vidare tycks verken i stor utsträckning anvä</w:t>
      </w:r>
      <w:r w:rsidRPr="00237A2C">
        <w:t>n</w:t>
      </w:r>
      <w:r w:rsidRPr="00237A2C">
        <w:t>da informella kanaler för att söka vägledning i sitt arbete, men också för att förankra de egna ståndpunkterna på politisk nivå. Den minskade detaljsty</w:t>
      </w:r>
      <w:r w:rsidRPr="00237A2C">
        <w:t>r</w:t>
      </w:r>
      <w:r w:rsidRPr="00237A2C">
        <w:t>ningen som uppståt</w:t>
      </w:r>
      <w:r w:rsidRPr="00237A2C">
        <w:t>t genom mål- och resultatstyrningen tycks även ha ökat behovet av informella kontakter. De empiriska studierna visar också</w:t>
      </w:r>
      <w:r w:rsidRPr="00237A2C">
        <w:rPr>
          <w:sz w:val="28"/>
        </w:rPr>
        <w:t xml:space="preserve"> </w:t>
      </w:r>
      <w:r w:rsidRPr="00237A2C">
        <w:t>att de informella kontakterna ibland kan ge upphov till missförstånd och bidra till att skapa brister i dokumentationen av kontakterna mellan departement och verk.</w:t>
      </w:r>
    </w:p>
    <w:p w:rsidR="00AE50BA" w:rsidRPr="00237A2C" w:rsidRDefault="00AE50BA">
      <w:pPr>
        <w:pStyle w:val="Rubrik3"/>
      </w:pPr>
      <w:bookmarkStart w:id="303" w:name="_Toc509711246"/>
      <w:bookmarkStart w:id="304" w:name="_Toc509738068"/>
      <w:bookmarkStart w:id="305" w:name="_Toc516991687"/>
      <w:r w:rsidRPr="00237A2C">
        <w:t>Finansmakten</w:t>
      </w:r>
      <w:bookmarkEnd w:id="303"/>
      <w:bookmarkEnd w:id="304"/>
      <w:bookmarkEnd w:id="305"/>
    </w:p>
    <w:p w:rsidR="00AE50BA" w:rsidRPr="00237A2C" w:rsidRDefault="00AE50BA">
      <w:r w:rsidRPr="00237A2C">
        <w:t>Finansmakten, varigenom fördelningen av anslag styrs, beskrivs ofta som ett kraftfullt verktyg som regeringen kan begagna sig av i sin styrning av fö</w:t>
      </w:r>
      <w:r w:rsidRPr="00237A2C">
        <w:t>r</w:t>
      </w:r>
      <w:r w:rsidRPr="00237A2C">
        <w:t>valtningen.</w:t>
      </w:r>
    </w:p>
    <w:p w:rsidR="00AE50BA" w:rsidRPr="00237A2C" w:rsidRDefault="00AE50BA">
      <w:pPr>
        <w:pStyle w:val="Normaltindrag"/>
      </w:pPr>
      <w:r w:rsidRPr="00237A2C">
        <w:t>Bengt Jacobsson menar dock att budgetprocessen åtminstone i början av 1970-talet, som var en tid av ekonomisk expansion, inte utgjorde någon viktig arena där större förändringar i myndigheternas verksamhet övervä</w:t>
      </w:r>
      <w:r w:rsidRPr="00237A2C">
        <w:t>g</w:t>
      </w:r>
      <w:r w:rsidRPr="00237A2C">
        <w:t>des. Förändringarna planlades istället nästan uteslutande utanför budgeten, och budgetprocessen verkar under denna tid snarast ha haft en symbolisk fun</w:t>
      </w:r>
      <w:r w:rsidRPr="00237A2C">
        <w:t>k</w:t>
      </w:r>
      <w:r w:rsidRPr="00237A2C">
        <w:t>tion.</w:t>
      </w:r>
      <w:r w:rsidRPr="00237A2C">
        <w:rPr>
          <w:rStyle w:val="Fotnotsreferens"/>
          <w:sz w:val="28"/>
        </w:rPr>
        <w:t xml:space="preserve"> </w:t>
      </w:r>
    </w:p>
    <w:p w:rsidR="00AE50BA" w:rsidRPr="00237A2C" w:rsidRDefault="00AE50BA">
      <w:pPr>
        <w:pStyle w:val="Normaltindrag"/>
      </w:pPr>
      <w:r w:rsidRPr="00237A2C">
        <w:t>Ämbetsverken hade enligt Jacobsson under denna tid stor frihet att själva bestämma verksamhetens omfattning och inriktning. Handlingsfriheten b</w:t>
      </w:r>
      <w:r w:rsidRPr="00237A2C">
        <w:t>e</w:t>
      </w:r>
      <w:r w:rsidRPr="00237A2C">
        <w:t>rodde till stor del på att myndigheterna hade alternativa finansieringskällor att tillgå vid sidan av myndighetsanslagen. Sakanslag gjorde till exempel att Statens industriverk, Invandrarverket och Livsmedelsverket kunde anställa personal utan att regeringen beviljat specifika medel för detta. Dessutom fanns också så kallade vakansmedel, det vill säga oförbrukade pengar som myndigheterna tämligen fritt kunde förfoga över. Jacobsson hävdar att d</w:t>
      </w:r>
      <w:r w:rsidRPr="00237A2C">
        <w:t>e</w:t>
      </w:r>
      <w:r w:rsidRPr="00237A2C">
        <w:t>partementen under denna tid sällan hade ambitionen att styra g</w:t>
      </w:r>
      <w:r w:rsidRPr="00237A2C">
        <w:t>enom budg</w:t>
      </w:r>
      <w:r w:rsidRPr="00237A2C">
        <w:t>e</w:t>
      </w:r>
      <w:r w:rsidRPr="00237A2C">
        <w:t>ten och när väl sådana försök gjordes lyckades de sällan.</w:t>
      </w:r>
      <w:r w:rsidRPr="00237A2C">
        <w:rPr>
          <w:rStyle w:val="Fotnotsreferens"/>
          <w:sz w:val="28"/>
        </w:rPr>
        <w:t xml:space="preserve"> </w:t>
      </w:r>
    </w:p>
    <w:p w:rsidR="00AE50BA" w:rsidRPr="00237A2C" w:rsidRDefault="00AE50BA">
      <w:pPr>
        <w:pStyle w:val="Normaltindrag"/>
      </w:pPr>
      <w:r w:rsidRPr="00237A2C">
        <w:t>Studien från 1970-talet ger enligt Jacobsson inte underlag för att avgöra om budgetprocessen i ekonomisk stagnation blir en viktigare arena för avg</w:t>
      </w:r>
      <w:r w:rsidRPr="00237A2C">
        <w:t>ö</w:t>
      </w:r>
      <w:r w:rsidRPr="00237A2C">
        <w:t>randen om förändringar i myndigheternas verksamhet, eftersom huvuddelen av den undersökta perioden kännetecknas av ekonomisk expansion. Redan i slutet av 1970-talet fanns dock tecken på att departementen ökade sina a</w:t>
      </w:r>
      <w:r w:rsidRPr="00237A2C">
        <w:t>n</w:t>
      </w:r>
      <w:r w:rsidRPr="00237A2C">
        <w:t>strängningar att kontrollera myndigheternas anslagsanvändning. Detta tog sig bland annat uttryck i att departementen försökte undanröja myndigheternas  möjligheter att utnyttja alternativa finansieringskällor.</w:t>
      </w:r>
      <w:r w:rsidRPr="00237A2C">
        <w:rPr>
          <w:rStyle w:val="Fotnotsreferens"/>
          <w:sz w:val="20"/>
        </w:rPr>
        <w:footnoteReference w:id="111"/>
      </w:r>
    </w:p>
    <w:p w:rsidR="00AE50BA" w:rsidRPr="00237A2C" w:rsidRDefault="00AE50BA">
      <w:pPr>
        <w:pStyle w:val="Normaltindrag"/>
      </w:pPr>
      <w:r w:rsidRPr="00237A2C">
        <w:t>I nyare studier verkar budgeten spela en annan roll än vad den gjorde u</w:t>
      </w:r>
      <w:r w:rsidRPr="00237A2C">
        <w:t>n</w:t>
      </w:r>
      <w:r w:rsidRPr="00237A2C">
        <w:t>der 1970-talet.</w:t>
      </w:r>
      <w:r w:rsidRPr="00237A2C">
        <w:rPr>
          <w:i/>
        </w:rPr>
        <w:t xml:space="preserve"> </w:t>
      </w:r>
      <w:r w:rsidRPr="00237A2C">
        <w:t>Budgetbeslut, inklusive budgetpropositionen, hör enligt många myndighetschefer till regeringens viktigaste styrinstrument. Över hälften av myndighetscheferna anser dock att det saknas en god dialog med regeringskansliet beträffande budgetpropositionens utformning, och de e</w:t>
      </w:r>
      <w:r w:rsidRPr="00237A2C">
        <w:t>f</w:t>
      </w:r>
      <w:r w:rsidRPr="00237A2C">
        <w:t>terlyser en bättre respons från regeringskansliet beträffande de budgetförslag myndi</w:t>
      </w:r>
      <w:r w:rsidRPr="00237A2C">
        <w:t>g</w:t>
      </w:r>
      <w:r w:rsidRPr="00237A2C">
        <w:t xml:space="preserve">heterna presenterar. </w:t>
      </w:r>
      <w:r w:rsidRPr="00237A2C">
        <w:rPr>
          <w:rStyle w:val="Fotnotsreferens"/>
          <w:sz w:val="20"/>
        </w:rPr>
        <w:footnoteReference w:id="112"/>
      </w:r>
    </w:p>
    <w:p w:rsidR="00AE50BA" w:rsidRPr="00237A2C" w:rsidRDefault="00AE50BA">
      <w:pPr>
        <w:pStyle w:val="Normaltindrag"/>
      </w:pPr>
      <w:r w:rsidRPr="00237A2C">
        <w:t>Introduktionen av mål- och resultatstyrningen</w:t>
      </w:r>
      <w:r w:rsidRPr="00237A2C">
        <w:rPr>
          <w:rStyle w:val="Fotnotsreferens"/>
          <w:sz w:val="20"/>
        </w:rPr>
        <w:footnoteReference w:id="113"/>
      </w:r>
      <w:r w:rsidRPr="00237A2C">
        <w:rPr>
          <w:b/>
        </w:rPr>
        <w:t xml:space="preserve"> </w:t>
      </w:r>
      <w:r w:rsidRPr="00237A2C">
        <w:t>som skett inom många verksamhetsområden har av de flesta högre tjänstemän inom departement och verk mottagits på ett mycket positivt sätt. I synnerhet verkscheferna upplever att deras arbete har blivit friare och mer ansvarsfullt än tidigare och man ser det nya systemet som en befrielse från departementens detaljstyrnin</w:t>
      </w:r>
      <w:r w:rsidRPr="00237A2C">
        <w:rPr>
          <w:u w:val="single"/>
        </w:rPr>
        <w:t>g</w:t>
      </w:r>
      <w:r w:rsidRPr="00237A2C">
        <w:t xml:space="preserve"> av verksamheten. Också de högre departementstjänstemännen ställer sig positiva till mål- och resultatstyrningen, om än i något mindre omfattning.</w:t>
      </w:r>
      <w:r w:rsidRPr="00237A2C">
        <w:rPr>
          <w:rStyle w:val="Fotnotsreferens"/>
          <w:sz w:val="20"/>
        </w:rPr>
        <w:footnoteReference w:id="114"/>
      </w:r>
    </w:p>
    <w:p w:rsidR="00AE50BA" w:rsidRPr="00237A2C" w:rsidRDefault="00AE50BA">
      <w:pPr>
        <w:pStyle w:val="Normaltindrag"/>
      </w:pPr>
      <w:r w:rsidRPr="00237A2C">
        <w:t>I enkätundersökningar uppger många myndighetschefer att även om sty</w:t>
      </w:r>
      <w:r w:rsidRPr="00237A2C">
        <w:t>r</w:t>
      </w:r>
      <w:r w:rsidRPr="00237A2C">
        <w:t>ningen i och med resultatstyrningen inte förenklats så har den väl förbättrats; detaljstyrningen har minskat och rollförde</w:t>
      </w:r>
      <w:r w:rsidRPr="00237A2C">
        <w:t>l</w:t>
      </w:r>
      <w:r w:rsidRPr="00237A2C">
        <w:t>ningen har blivit tydligare.</w:t>
      </w:r>
      <w:r w:rsidRPr="00237A2C">
        <w:rPr>
          <w:rStyle w:val="Fotnotsreferens"/>
          <w:sz w:val="20"/>
        </w:rPr>
        <w:footnoteReference w:id="115"/>
      </w:r>
      <w:r w:rsidRPr="00237A2C">
        <w:t xml:space="preserve"> </w:t>
      </w:r>
    </w:p>
    <w:p w:rsidR="00AE50BA" w:rsidRPr="00237A2C" w:rsidRDefault="00AE50BA">
      <w:pPr>
        <w:pStyle w:val="Normaltindrag"/>
      </w:pPr>
      <w:r w:rsidRPr="00237A2C">
        <w:t>Ehn och Sundström pekar på att det i och med mål- och resultatstyrningen blivit allt svårare att i det formella regelverket närmare utläsa hur en my</w:t>
      </w:r>
      <w:r w:rsidRPr="00237A2C">
        <w:t>n</w:t>
      </w:r>
      <w:r w:rsidRPr="00237A2C">
        <w:t>dighets verksamhet ska bedrivas eftersom det här ofta  finns ett avsevärt tolkningsutrymme. Att formulera mål har i betydande utsträckning överlåtits till myndigheterna själva. Verksamheten kommer därför inte alltid att bedr</w:t>
      </w:r>
      <w:r w:rsidRPr="00237A2C">
        <w:t>i</w:t>
      </w:r>
      <w:r w:rsidRPr="00237A2C">
        <w:t>vas i ”nära överensstämmelse med politiskt formulerade riktlinjer”, och detta har under senare år resulterat i flera så kallade affärer där regeringen och verkschefer inte varit överens om hur myndighetens uppgifter ska sk</w:t>
      </w:r>
      <w:r w:rsidRPr="00237A2C">
        <w:t>ö</w:t>
      </w:r>
      <w:r w:rsidRPr="00237A2C">
        <w:t xml:space="preserve">tas. </w:t>
      </w:r>
    </w:p>
    <w:p w:rsidR="00AE50BA" w:rsidRPr="00237A2C" w:rsidRDefault="00AE50BA">
      <w:pPr>
        <w:pStyle w:val="Normaltindrag"/>
      </w:pPr>
      <w:r w:rsidRPr="00237A2C">
        <w:t>En relativt spridd åsikt inom regeringskansliet som bland</w:t>
      </w:r>
      <w:r w:rsidRPr="00237A2C">
        <w:t xml:space="preserve"> annat framförts av ett före detta statsråd är att politikernas kontrollmöjligheter gentemot verkscheferna är begränsade och att det därför föreligger en uppenbar risk att myndigheterna börjar att ”leva sitt eget liv”. Myndighetscheferna å sin sida efterlyser ett ökat politiskt engagemang och att departementen ska utveckla dialogen med myndi</w:t>
      </w:r>
      <w:r w:rsidRPr="00237A2C">
        <w:t>g</w:t>
      </w:r>
      <w:r w:rsidRPr="00237A2C">
        <w:t>heterna angående uppföljningen av styrningen.</w:t>
      </w:r>
      <w:r w:rsidRPr="00237A2C">
        <w:rPr>
          <w:rStyle w:val="Fotnotsreferens"/>
          <w:sz w:val="20"/>
        </w:rPr>
        <w:footnoteReference w:id="116"/>
      </w:r>
      <w:r w:rsidRPr="00237A2C">
        <w:t xml:space="preserve"> </w:t>
      </w:r>
    </w:p>
    <w:p w:rsidR="00AE50BA" w:rsidRPr="00237A2C" w:rsidRDefault="00AE50BA">
      <w:pPr>
        <w:pStyle w:val="Normaltindrag"/>
      </w:pPr>
      <w:r w:rsidRPr="00237A2C">
        <w:t>Den slutsats</w:t>
      </w:r>
      <w:r w:rsidRPr="00237A2C">
        <w:rPr>
          <w:b/>
          <w:i/>
        </w:rPr>
        <w:t xml:space="preserve"> </w:t>
      </w:r>
      <w:r w:rsidRPr="00237A2C">
        <w:t>man kan dra av de empiriska undersökningarna är att budg</w:t>
      </w:r>
      <w:r w:rsidRPr="00237A2C">
        <w:t>e</w:t>
      </w:r>
      <w:r w:rsidRPr="00237A2C">
        <w:t>tens roll som styrinstrument verkar ha förändrats sedan 1970-talet. Studierna visar att budgetens och budgetprocessens funktion som styrinstrument till viss del är beroende av det allmänna ekonomiska läget.</w:t>
      </w:r>
      <w:r w:rsidRPr="00237A2C">
        <w:rPr>
          <w:i/>
        </w:rPr>
        <w:t xml:space="preserve"> </w:t>
      </w:r>
      <w:r w:rsidRPr="00237A2C">
        <w:t xml:space="preserve">Medan budgetens funktion som styrmedel tycks ha varit av mindre betydelse under 1970-talets expansiva ekonomi, hör nu finansmakten enligt många myndighetschefer till de viktigaste styrinstrumenten. Införandet av mål- och resultatstyrningen verkar </w:t>
      </w:r>
      <w:r w:rsidRPr="00237A2C">
        <w:t>dock i vissa avseenden ha försvagat effekterna av budgetstyrningen; myndigheternas självständighet gentemot regeringskansliet tenderar att ha förstärkts, inte minst därför att mål- och resultatstyrningen givit många my</w:t>
      </w:r>
      <w:r w:rsidRPr="00237A2C">
        <w:t>n</w:t>
      </w:r>
      <w:r w:rsidRPr="00237A2C">
        <w:t>digheter större utrymme att själva avgöra hur de politiska besluten ska im</w:t>
      </w:r>
      <w:r w:rsidRPr="00237A2C">
        <w:t>p</w:t>
      </w:r>
      <w:r w:rsidRPr="00237A2C">
        <w:t>lementeras, men också därför att myndigheterna själva i betydande utsträc</w:t>
      </w:r>
      <w:r w:rsidRPr="00237A2C">
        <w:t>k</w:t>
      </w:r>
      <w:r w:rsidRPr="00237A2C">
        <w:t xml:space="preserve">ning fått formulera målen för sin verksamhet. </w:t>
      </w:r>
    </w:p>
    <w:p w:rsidR="00AE50BA" w:rsidRPr="00237A2C" w:rsidRDefault="00AE50BA">
      <w:pPr>
        <w:pStyle w:val="Rubrik3"/>
      </w:pPr>
      <w:bookmarkStart w:id="306" w:name="_Toc509711247"/>
      <w:bookmarkStart w:id="307" w:name="_Toc509738069"/>
      <w:bookmarkStart w:id="308" w:name="_Toc516991688"/>
      <w:r w:rsidRPr="00237A2C">
        <w:t>Utnämningsmakten</w:t>
      </w:r>
      <w:bookmarkEnd w:id="306"/>
      <w:bookmarkEnd w:id="307"/>
      <w:bookmarkEnd w:id="308"/>
    </w:p>
    <w:p w:rsidR="00AE50BA" w:rsidRPr="00237A2C" w:rsidRDefault="00AE50BA">
      <w:r w:rsidRPr="00237A2C">
        <w:t xml:space="preserve">Utnämningsmakten ger regeringen möjlighet att utse myndighetschefer. Detta anses öka förutsättningarna för att myndigheternas ledning ska agera i enlighet med politikernas intentioner. Tillsättning av statliga tjänster enbart på grundval av partipolitiska meriter är dock inte förenligt med grundlagen. Enligt regeringsformen ska nämligen avseende endast fästas vid sakliga grunder som förtjänst och skicklighet (RF 11:9) </w:t>
      </w:r>
      <w:r w:rsidRPr="00237A2C">
        <w:rPr>
          <w:rStyle w:val="Fotnotsreferens"/>
          <w:sz w:val="20"/>
        </w:rPr>
        <w:footnoteReference w:id="117"/>
      </w:r>
      <w:r w:rsidRPr="00237A2C">
        <w:t>.</w:t>
      </w:r>
    </w:p>
    <w:p w:rsidR="00AE50BA" w:rsidRPr="00237A2C" w:rsidRDefault="00AE50BA">
      <w:pPr>
        <w:pStyle w:val="Normaltindrag"/>
      </w:pPr>
      <w:r w:rsidRPr="00237A2C">
        <w:t xml:space="preserve">Betydelsen av utnämningsmakten och regeringens möjlighet att därigenom påverka politikens utfall illustreras av Bo Rothsteins avhandling </w:t>
      </w:r>
      <w:r w:rsidRPr="00237A2C">
        <w:rPr>
          <w:i/>
        </w:rPr>
        <w:t>Den socia</w:t>
      </w:r>
      <w:r w:rsidRPr="00237A2C">
        <w:rPr>
          <w:i/>
        </w:rPr>
        <w:t>l</w:t>
      </w:r>
      <w:r w:rsidRPr="00237A2C">
        <w:rPr>
          <w:i/>
        </w:rPr>
        <w:t>demokratiska staten.</w:t>
      </w:r>
      <w:r w:rsidRPr="00237A2C">
        <w:t xml:space="preserve"> I studien jämförs två förvaltningsmyndigheter. Arbet</w:t>
      </w:r>
      <w:r w:rsidRPr="00237A2C">
        <w:t>s</w:t>
      </w:r>
      <w:r w:rsidRPr="00237A2C">
        <w:t xml:space="preserve">marknadsstyrelsen, AMS, och Skolöverstyrelsen, SÖ, och hur reformer på myndigheternas respektive område under i första hand 1970- och 1980-talen fallit ut olika väl bland annat som ett resultat av olika rekryteringsstrategier från regeringens sida. </w:t>
      </w:r>
    </w:p>
    <w:p w:rsidR="00AE50BA" w:rsidRPr="00237A2C" w:rsidRDefault="00AE50BA">
      <w:pPr>
        <w:pStyle w:val="Normaltindrag"/>
      </w:pPr>
      <w:r w:rsidRPr="00237A2C">
        <w:t>Beträffande regeringens val av verkschefer förefaller det ha funnits en b</w:t>
      </w:r>
      <w:r w:rsidRPr="00237A2C">
        <w:t>e</w:t>
      </w:r>
      <w:r w:rsidRPr="00237A2C">
        <w:t>tydande skillnad mellan de två myndigheterna. Medan AMS chefer enligt Rothstein tillsattes på politiska meriter, hade de chefer som rekryterades till SÖ en mer ämbetsmannamässig bana bakom sig.</w:t>
      </w:r>
      <w:r w:rsidRPr="00237A2C">
        <w:rPr>
          <w:rStyle w:val="Fotnotsreferens"/>
          <w:sz w:val="20"/>
        </w:rPr>
        <w:footnoteReference w:id="118"/>
      </w:r>
      <w:r w:rsidRPr="00237A2C">
        <w:t xml:space="preserve"> Studien visar alltså att regeringen tagit hänsyn till olika typer av meriter vid tillsättandet av chefer för de båda verken.</w:t>
      </w:r>
    </w:p>
    <w:p w:rsidR="00AE50BA" w:rsidRPr="00237A2C" w:rsidRDefault="00AE50BA">
      <w:pPr>
        <w:pStyle w:val="Normaltindrag"/>
      </w:pPr>
      <w:r w:rsidRPr="00237A2C">
        <w:t>Bengt Jacobsson menar att utnämningen av verkschefer under 1970-talet hade stor betydelse för relationen mellan departement och verk, även om hans fallstudier inte pekar mot att man i departementen betraktade utnä</w:t>
      </w:r>
      <w:r w:rsidRPr="00237A2C">
        <w:t>m</w:t>
      </w:r>
      <w:r w:rsidRPr="00237A2C">
        <w:t>ningarna som politiska. Många verkschefer hade emellertid tidigare arbetat inom regeringskansliet och varit med om att utforma politiken inom de o</w:t>
      </w:r>
      <w:r w:rsidRPr="00237A2C">
        <w:t>m</w:t>
      </w:r>
      <w:r w:rsidRPr="00237A2C">
        <w:t>råden som de i egenskap av verkschefer skulle komma att implementera. Enligt Jacobsson antogs detta av regeringen borga för kontinuitet i verksa</w:t>
      </w:r>
      <w:r w:rsidRPr="00237A2C">
        <w:t>m</w:t>
      </w:r>
      <w:r w:rsidRPr="00237A2C">
        <w:t>heten och underlätta verkens kommunik</w:t>
      </w:r>
      <w:r w:rsidRPr="00237A2C">
        <w:t>a</w:t>
      </w:r>
      <w:r w:rsidRPr="00237A2C">
        <w:t>tion med departementen.</w:t>
      </w:r>
    </w:p>
    <w:p w:rsidR="00AE50BA" w:rsidRPr="00237A2C" w:rsidRDefault="00AE50BA">
      <w:pPr>
        <w:pStyle w:val="Normaltindrag"/>
      </w:pPr>
      <w:r w:rsidRPr="00237A2C">
        <w:t>Jacobsson menar att det viktiga vid valet av verkschef alltså inte tycks ha varit kandidatens partipolitiska tillhörighet. Istället verkar en allmän uppfat</w:t>
      </w:r>
      <w:r w:rsidRPr="00237A2C">
        <w:t>t</w:t>
      </w:r>
      <w:r w:rsidRPr="00237A2C">
        <w:t>ning om administrativ duglighet och förutsättningarna för att  utveckla goda informella kontakter med den blivande verkschefen spelat en större roll då regeringen beslutade om vem som skulle utnä</w:t>
      </w:r>
      <w:r w:rsidRPr="00237A2C">
        <w:t>m</w:t>
      </w:r>
      <w:r w:rsidRPr="00237A2C">
        <w:t>nas.</w:t>
      </w:r>
      <w:r w:rsidRPr="00237A2C">
        <w:rPr>
          <w:rStyle w:val="Fotnotsreferens"/>
          <w:sz w:val="20"/>
        </w:rPr>
        <w:footnoteReference w:id="119"/>
      </w:r>
    </w:p>
    <w:p w:rsidR="00AE50BA" w:rsidRPr="00237A2C" w:rsidRDefault="00AE50BA">
      <w:pPr>
        <w:pStyle w:val="Normaltindrag"/>
      </w:pPr>
      <w:r w:rsidRPr="00237A2C">
        <w:t>Peter Ehn hävdar att en ökad politisk rekrytering till verkschefsposterna ägt rum mellan 1970- och 1990-talens början. Detta är enligt Ehn dock inte enbart ett resultat av att regeringen tillsatt verkschefer av samma politiska färg som den själv, utan beror också på att en uppluckring av den traditi</w:t>
      </w:r>
      <w:r w:rsidRPr="00237A2C">
        <w:t>o</w:t>
      </w:r>
      <w:r w:rsidRPr="00237A2C">
        <w:t>nella tjänstemannarollen och dess försiktighet gentemot politiken inträffat.</w:t>
      </w:r>
      <w:r w:rsidRPr="00237A2C">
        <w:rPr>
          <w:rStyle w:val="Fotnotsreferens"/>
          <w:sz w:val="20"/>
        </w:rPr>
        <w:footnoteReference w:id="120"/>
      </w:r>
      <w:r w:rsidRPr="00237A2C">
        <w:t xml:space="preserve"> </w:t>
      </w:r>
    </w:p>
    <w:p w:rsidR="00AE50BA" w:rsidRPr="00237A2C" w:rsidRDefault="00AE50BA">
      <w:pPr>
        <w:pStyle w:val="Normaltindrag"/>
      </w:pPr>
      <w:r w:rsidRPr="00237A2C">
        <w:t>Enligt SNS Ekonomiråd är det principiellt intressant att en politisering av verkschefsposterna överhuvudtaget inträffat, oavsett vilken partipolitisk tillhörighet de tillsatta verkscheferna  har. Detta betyder nämligen att reg</w:t>
      </w:r>
      <w:r w:rsidRPr="00237A2C">
        <w:t>e</w:t>
      </w:r>
      <w:r w:rsidRPr="00237A2C">
        <w:t>ringsformens krav på ”förtjänst och skicklighet” alltmer har kommit att bet</w:t>
      </w:r>
      <w:r w:rsidRPr="00237A2C">
        <w:t>y</w:t>
      </w:r>
      <w:r w:rsidRPr="00237A2C">
        <w:t>da politisk erfarenhet.</w:t>
      </w:r>
      <w:r w:rsidRPr="00237A2C">
        <w:rPr>
          <w:rStyle w:val="Fotnotsreferens"/>
          <w:sz w:val="20"/>
        </w:rPr>
        <w:footnoteReference w:id="121"/>
      </w:r>
      <w:r w:rsidRPr="00237A2C">
        <w:t xml:space="preserve"> Att en sådan förändrad syn på meritkraven kan tänkas föreligga antyder även det faktum att regeringens utnämningspolitik vid ett antal tillfällen granskats av riksdagens konstitutionsutskott som i samtliga fall har konstaterat att regeringen agerat i enlighet med regering</w:t>
      </w:r>
      <w:r w:rsidRPr="00237A2C">
        <w:t>s</w:t>
      </w:r>
      <w:r w:rsidRPr="00237A2C">
        <w:t>formen.</w:t>
      </w:r>
      <w:r w:rsidRPr="00237A2C">
        <w:rPr>
          <w:rStyle w:val="Fotnotsreferens"/>
          <w:sz w:val="20"/>
        </w:rPr>
        <w:footnoteReference w:id="122"/>
      </w:r>
      <w:r w:rsidRPr="00237A2C">
        <w:t xml:space="preserve"> </w:t>
      </w:r>
    </w:p>
    <w:p w:rsidR="00AE50BA" w:rsidRPr="00237A2C" w:rsidRDefault="00AE50BA">
      <w:pPr>
        <w:pStyle w:val="Normaltindrag"/>
        <w:rPr>
          <w:i/>
        </w:rPr>
      </w:pPr>
      <w:r w:rsidRPr="00237A2C">
        <w:t>Resultaten av de empiriska studierna tyder på att politiska meriter i flera fall varit betydelsefulla för regeringens val av verkschefer. Politiska meriter tycks dessutom i viss mån ha blivit viktigare än tidigare. Emellertid visar också studier att politiska meriter har olika betydelse för tillsättningen av verkschefer inom olika verksamhetsområden.</w:t>
      </w:r>
    </w:p>
    <w:p w:rsidR="00AE50BA" w:rsidRPr="00237A2C" w:rsidRDefault="00AE50BA">
      <w:pPr>
        <w:pStyle w:val="Rubrik2"/>
      </w:pPr>
      <w:bookmarkStart w:id="309" w:name="_Toc509711248"/>
      <w:bookmarkStart w:id="310" w:name="_Toc509738070"/>
      <w:bookmarkStart w:id="311" w:name="_Toc516991689"/>
      <w:r w:rsidRPr="00237A2C">
        <w:t>Fallstudier</w:t>
      </w:r>
      <w:bookmarkEnd w:id="309"/>
      <w:bookmarkEnd w:id="310"/>
      <w:bookmarkEnd w:id="311"/>
    </w:p>
    <w:p w:rsidR="00AE50BA" w:rsidRPr="00237A2C" w:rsidRDefault="00AE50BA">
      <w:r w:rsidRPr="00237A2C">
        <w:t>De sammantagna effekterna av relationerna mellan departement och verk i fråga om styrning och möjligheter att få inflytande över politikens utfor</w:t>
      </w:r>
      <w:r w:rsidRPr="00237A2C">
        <w:t>m</w:t>
      </w:r>
      <w:r w:rsidRPr="00237A2C">
        <w:t xml:space="preserve">ning och utfall har studerats i ett fåtal fallstudier. Några av de mest centrala av dessa redovisas i Bengt Jacobssons avhandling </w:t>
      </w:r>
      <w:r w:rsidRPr="00237A2C">
        <w:rPr>
          <w:i/>
        </w:rPr>
        <w:t>Hur styrs förvaltningen?.</w:t>
      </w:r>
      <w:r w:rsidRPr="00237A2C">
        <w:t xml:space="preserve"> Genom att undersöka sex policyområden under 1970-talet kartläggs olika aspekter av relationerna mellan departement och verk och orsaker till att olika verk lyc</w:t>
      </w:r>
      <w:r w:rsidRPr="00237A2C">
        <w:t>k</w:t>
      </w:r>
      <w:r w:rsidRPr="00237A2C">
        <w:t xml:space="preserve">ats få olika stort inflytande på politiken. </w:t>
      </w:r>
    </w:p>
    <w:p w:rsidR="00AE50BA" w:rsidRPr="00237A2C" w:rsidRDefault="00AE50BA">
      <w:pPr>
        <w:pStyle w:val="Rubrik3"/>
      </w:pPr>
      <w:bookmarkStart w:id="312" w:name="_Toc509711249"/>
      <w:bookmarkStart w:id="313" w:name="_Toc509738071"/>
      <w:bookmarkStart w:id="314" w:name="_Toc516991690"/>
      <w:r w:rsidRPr="00237A2C">
        <w:t>Ämbetsverkens inflytande över politiken</w:t>
      </w:r>
      <w:bookmarkEnd w:id="312"/>
      <w:bookmarkEnd w:id="313"/>
      <w:bookmarkEnd w:id="314"/>
    </w:p>
    <w:p w:rsidR="00AE50BA" w:rsidRPr="00237A2C" w:rsidRDefault="00AE50BA">
      <w:r w:rsidRPr="00237A2C">
        <w:t>Expertkunskaper visar sig i studien vara viktiga för att förklara skillnader mellan myndigheters inflytande. Under 1970-talet fick verken, enligt Jacob</w:t>
      </w:r>
      <w:r w:rsidRPr="00237A2C">
        <w:t>s</w:t>
      </w:r>
      <w:r w:rsidRPr="00237A2C">
        <w:t xml:space="preserve">son, inflytande genom sin </w:t>
      </w:r>
      <w:r w:rsidRPr="00237A2C">
        <w:rPr>
          <w:i/>
        </w:rPr>
        <w:t>expertkunskap</w:t>
      </w:r>
      <w:r w:rsidRPr="00237A2C">
        <w:t xml:space="preserve"> beroende på om frågorna inom det aktuella verksamhetsområdet ansågs vara tekniskt komplexa. Inte minst spelade det roll hur stor tilltro politikerna satte till expertkunskaper i förhå</w:t>
      </w:r>
      <w:r w:rsidRPr="00237A2C">
        <w:t>l</w:t>
      </w:r>
      <w:r w:rsidRPr="00237A2C">
        <w:t>lande till mer generella ”vardagskunskaper”, som även fanns att tillgå inom departementen.</w:t>
      </w:r>
      <w:r w:rsidRPr="00237A2C">
        <w:rPr>
          <w:rStyle w:val="Fotnotsreferens"/>
          <w:sz w:val="20"/>
        </w:rPr>
        <w:footnoteReference w:id="123"/>
      </w:r>
    </w:p>
    <w:p w:rsidR="00AE50BA" w:rsidRPr="00237A2C" w:rsidRDefault="00AE50BA">
      <w:pPr>
        <w:pStyle w:val="Normaltindrag"/>
      </w:pPr>
      <w:r w:rsidRPr="00237A2C">
        <w:t>Behovet av kvalificerad expertkunskap användes till exempel inom arb</w:t>
      </w:r>
      <w:r w:rsidRPr="00237A2C">
        <w:t>e</w:t>
      </w:r>
      <w:r w:rsidRPr="00237A2C">
        <w:t>tarskydd och livsmedelskontroll som argument för att delegera hela ärend</w:t>
      </w:r>
      <w:r w:rsidRPr="00237A2C">
        <w:t>e</w:t>
      </w:r>
      <w:r w:rsidRPr="00237A2C">
        <w:t>grupper till myndigheterna. Verksamheten inom dessa områden betraktades av departementen som alltför teknisk för att man själv skulle kunna utforma mål och riktlinjer, varför verksamheten i huvudsak kom att styras med hjälp av ramlagar. Myndigheternas ökade inflytande på politiken som detta me</w:t>
      </w:r>
      <w:r w:rsidRPr="00237A2C">
        <w:t>d</w:t>
      </w:r>
      <w:r w:rsidRPr="00237A2C">
        <w:t>förde begränsades dock i betydande utsträckning av att verken i viss mån var bundna av sin medlarroll mellan organiserade intressen.</w:t>
      </w:r>
    </w:p>
    <w:p w:rsidR="00AE50BA" w:rsidRPr="00237A2C" w:rsidRDefault="00AE50BA">
      <w:pPr>
        <w:pStyle w:val="Normaltindrag"/>
      </w:pPr>
      <w:r w:rsidRPr="00237A2C">
        <w:t>Verken kun</w:t>
      </w:r>
      <w:r w:rsidRPr="00237A2C">
        <w:t>de även stärka sitt inflytande gentemot fackdepartementen g</w:t>
      </w:r>
      <w:r w:rsidRPr="00237A2C">
        <w:t>e</w:t>
      </w:r>
      <w:r w:rsidRPr="00237A2C">
        <w:t>nom att engagera sig internationellt. Både beträffande Patentverket och Livsmedelsverket fanns det exempel på att verken genom sitt internationella agerande i viss utsträckning band upp regering och riksdag till en viss han</w:t>
      </w:r>
      <w:r w:rsidRPr="00237A2C">
        <w:t>d</w:t>
      </w:r>
      <w:r w:rsidRPr="00237A2C">
        <w:t>lingslinje. Patentverket skötte till exempel de internationella  förhandlingarna i samband med framtagandet och anslutningen till nya konventioner och Livsmedelsverkets tjänstemän representerade Sverige i internationella fö</w:t>
      </w:r>
      <w:r w:rsidRPr="00237A2C">
        <w:t>r</w:t>
      </w:r>
      <w:r w:rsidRPr="00237A2C">
        <w:t>hand</w:t>
      </w:r>
      <w:r w:rsidRPr="00237A2C">
        <w:t>lingar.</w:t>
      </w:r>
      <w:r w:rsidRPr="00237A2C">
        <w:rPr>
          <w:rStyle w:val="Fotnotsreferens"/>
          <w:sz w:val="20"/>
        </w:rPr>
        <w:footnoteReference w:id="124"/>
      </w:r>
    </w:p>
    <w:p w:rsidR="00AE50BA" w:rsidRPr="00237A2C" w:rsidRDefault="00AE50BA">
      <w:pPr>
        <w:pStyle w:val="Normaltindrag"/>
      </w:pPr>
      <w:r w:rsidRPr="00237A2C">
        <w:t>Även verk som inte ägde tekniska expertkunskaper och vars verksamhet behandlade frågor där ”vardagskunskaper” var tillräckliga för att kunna utforma policies, kunde få inflytande på politiken genom att ha goda ko</w:t>
      </w:r>
      <w:r w:rsidRPr="00237A2C">
        <w:t>n</w:t>
      </w:r>
      <w:r w:rsidRPr="00237A2C">
        <w:t>takter med för policyområdet viktiga grupper. Om verket genom dessa ko</w:t>
      </w:r>
      <w:r w:rsidRPr="00237A2C">
        <w:t>n</w:t>
      </w:r>
      <w:r w:rsidRPr="00237A2C">
        <w:t>takter förmådde mobilisera stöd för sina ståndpunkter fanns enligt Jacobsson goda möjligheter att påverka politiken. Invandrarverkets strategi att trycka på gentemot andra centrala myndigheter, och dessutom etablera kontakter med landsting, kommuner, fackliga organisationer, invandrarorganisationer och politiska partier gav till exempel resultat vid svenskundervisningsrefo</w:t>
      </w:r>
      <w:r w:rsidRPr="00237A2C">
        <w:t>r</w:t>
      </w:r>
      <w:r w:rsidRPr="00237A2C">
        <w:t>men.</w:t>
      </w:r>
      <w:r w:rsidRPr="00237A2C">
        <w:rPr>
          <w:rStyle w:val="Fotnotsreferens"/>
          <w:sz w:val="20"/>
        </w:rPr>
        <w:footnoteReference w:id="125"/>
      </w:r>
      <w:r w:rsidRPr="00237A2C">
        <w:t xml:space="preserve"> </w:t>
      </w:r>
    </w:p>
    <w:p w:rsidR="00AE50BA" w:rsidRPr="00237A2C" w:rsidRDefault="00AE50BA">
      <w:pPr>
        <w:pStyle w:val="Normaltindrag"/>
      </w:pPr>
      <w:r w:rsidRPr="00237A2C">
        <w:t>Verksledningens anseende i departementet verkar också ha påverkat det inflytande som ett verk kunde få. Flera verkschefer hade gott anseende i departementen på grund av att de tidigare arbetat inom dessa. Många verk</w:t>
      </w:r>
      <w:r w:rsidRPr="00237A2C">
        <w:t>s</w:t>
      </w:r>
      <w:r w:rsidRPr="00237A2C">
        <w:t>chefer hade under sin tid i regeringskansliet redan på ett tidigt stadium varit engagerade inom sina respektive verksamhetsområden och haft del i att utforma den politik de som verkschefer skulle verkställa. Verkschefer med denna bakgrund hade ofta bra förutsättningar att utveckla goda informella kontakter med departementet.</w:t>
      </w:r>
    </w:p>
    <w:p w:rsidR="00AE50BA" w:rsidRPr="00237A2C" w:rsidRDefault="00AE50BA">
      <w:pPr>
        <w:pStyle w:val="Normaltindrag"/>
      </w:pPr>
      <w:r w:rsidRPr="00237A2C">
        <w:t>Statens industriverk, SIND, som både saknade expertkunskaper, förmåga att mobilisera stöd för sina idéer och som dessutom hade en chef vars fö</w:t>
      </w:r>
      <w:r w:rsidRPr="00237A2C">
        <w:t>r</w:t>
      </w:r>
      <w:r w:rsidRPr="00237A2C">
        <w:t>hållande till departementet inte var konfliktfritt hamnade i en svår sits. A</w:t>
      </w:r>
      <w:r w:rsidRPr="00237A2C">
        <w:t>r</w:t>
      </w:r>
      <w:r w:rsidRPr="00237A2C">
        <w:t>betsuppgifter, som till exempel utredningsverksamhet, vilka hade ålagts verket vid dess inrättande 1973 övertogs bland annat mot verkets vilja i slutet av 1970-talet av branschråd inom Industridepartementet, varigenom SIND:s inflyta</w:t>
      </w:r>
      <w:r w:rsidRPr="00237A2C">
        <w:t>n</w:t>
      </w:r>
      <w:r w:rsidRPr="00237A2C">
        <w:t>de reducerades avsevärt.</w:t>
      </w:r>
      <w:r w:rsidRPr="00237A2C">
        <w:rPr>
          <w:rStyle w:val="Fotnotsreferens"/>
          <w:sz w:val="20"/>
        </w:rPr>
        <w:footnoteReference w:id="126"/>
      </w:r>
      <w:r w:rsidRPr="00237A2C">
        <w:t xml:space="preserve"> </w:t>
      </w:r>
    </w:p>
    <w:p w:rsidR="00AE50BA" w:rsidRPr="00237A2C" w:rsidRDefault="00AE50BA">
      <w:pPr>
        <w:pStyle w:val="Normaltindrag"/>
      </w:pPr>
      <w:r w:rsidRPr="00237A2C">
        <w:t>Jacobsson konstaterar sammanfattningsvis att myndigheterna inom pol</w:t>
      </w:r>
      <w:r w:rsidRPr="00237A2C">
        <w:t>i</w:t>
      </w:r>
      <w:r w:rsidRPr="00237A2C">
        <w:t>tiskt perifera verksamhetsområden hade stort inflytande på policyutfor</w:t>
      </w:r>
      <w:r w:rsidRPr="00237A2C">
        <w:t>m</w:t>
      </w:r>
      <w:r w:rsidRPr="00237A2C">
        <w:t>ningen inom sina respektive områden, medan de mer centrala verkens mö</w:t>
      </w:r>
      <w:r w:rsidRPr="00237A2C">
        <w:t>j</w:t>
      </w:r>
      <w:r w:rsidRPr="00237A2C">
        <w:t>ligheter att påverka varierade i större omfattning.</w:t>
      </w:r>
      <w:r w:rsidRPr="00237A2C">
        <w:rPr>
          <w:rStyle w:val="Fotnotsreferens"/>
          <w:sz w:val="22"/>
        </w:rPr>
        <w:footnoteReference w:id="127"/>
      </w:r>
    </w:p>
    <w:p w:rsidR="00AE50BA" w:rsidRPr="00237A2C" w:rsidRDefault="00AE50BA">
      <w:pPr>
        <w:pStyle w:val="Rubrik3"/>
      </w:pPr>
      <w:bookmarkStart w:id="315" w:name="_Toc509711250"/>
      <w:bookmarkStart w:id="316" w:name="_Toc509738072"/>
      <w:bookmarkStart w:id="317" w:name="_Toc516991691"/>
      <w:r w:rsidRPr="00237A2C">
        <w:t>Departementens styrning av ämbetsverken</w:t>
      </w:r>
      <w:bookmarkEnd w:id="315"/>
      <w:bookmarkEnd w:id="316"/>
      <w:bookmarkEnd w:id="317"/>
      <w:r w:rsidRPr="00237A2C">
        <w:t xml:space="preserve">  </w:t>
      </w:r>
    </w:p>
    <w:p w:rsidR="00AE50BA" w:rsidRPr="00237A2C" w:rsidRDefault="00AE50BA">
      <w:r w:rsidRPr="00237A2C">
        <w:t>Delegering av lagtillämpning kombinerat med  informella kontakter ansågs ur departementens perspektiv ofta som ett sätt att delegera ansvar utan att helt förlora inflytandet över myndigheterna. Förutom departementens försök att genom omfattande informella kontakter söka styra verken, skedde också en samordning av verksamheten genom dessa kanaler. Dessutom förmedlade verken expertkunskaper till departementen och verken sökte även stöd för sina ståndpunkter hos departementen via de informella kontakterna.</w:t>
      </w:r>
      <w:r w:rsidRPr="00237A2C">
        <w:rPr>
          <w:rStyle w:val="Fotnotsreferens"/>
          <w:sz w:val="20"/>
        </w:rPr>
        <w:footnoteReference w:id="128"/>
      </w:r>
    </w:p>
    <w:p w:rsidR="00AE50BA" w:rsidRPr="00237A2C" w:rsidRDefault="00AE50BA">
      <w:pPr>
        <w:pStyle w:val="Normaltindrag"/>
      </w:pPr>
      <w:r w:rsidRPr="00237A2C">
        <w:t>Organisationsutformning sågs i departementen som en viktig fråga och o</w:t>
      </w:r>
      <w:r w:rsidRPr="00237A2C">
        <w:t>r</w:t>
      </w:r>
      <w:r w:rsidRPr="00237A2C">
        <w:t>ganisationsförändringar genomfördes för att ändra fördelningen av inflyta</w:t>
      </w:r>
      <w:r w:rsidRPr="00237A2C">
        <w:t>n</w:t>
      </w:r>
      <w:r w:rsidRPr="00237A2C">
        <w:t>de. Forskning och tillsyn skulle till exempel integreras i Arbetarskyddsstyre</w:t>
      </w:r>
      <w:r w:rsidRPr="00237A2C">
        <w:t>l</w:t>
      </w:r>
      <w:r w:rsidRPr="00237A2C">
        <w:t>sen för att göra den till en stark normgivande myndighet, medan arbetsup</w:t>
      </w:r>
      <w:r w:rsidRPr="00237A2C">
        <w:t>p</w:t>
      </w:r>
      <w:r w:rsidRPr="00237A2C">
        <w:t>gifter fråntogs SIND för att verket inte skulle bli allt för starkt.</w:t>
      </w:r>
    </w:p>
    <w:p w:rsidR="00AE50BA" w:rsidRPr="00237A2C" w:rsidRDefault="00AE50BA">
      <w:pPr>
        <w:pStyle w:val="Normaltindrag"/>
      </w:pPr>
      <w:r w:rsidRPr="00237A2C">
        <w:t xml:space="preserve">Inte i något fall styrde departementen verkens verksamhet genom de mål som hade formulerats. Departementen var enligt Jacobsson nöjda med att sätta upp vaga mål eftersom detta gjorde det möjligt för departementen att </w:t>
      </w:r>
      <w:r w:rsidRPr="00237A2C">
        <w:t>undvika politiska uppbin</w:t>
      </w:r>
      <w:r w:rsidRPr="00237A2C">
        <w:t>d</w:t>
      </w:r>
      <w:r w:rsidRPr="00237A2C">
        <w:t xml:space="preserve">ningar. </w:t>
      </w:r>
    </w:p>
    <w:p w:rsidR="00AE50BA" w:rsidRPr="00237A2C" w:rsidRDefault="00AE50BA">
      <w:pPr>
        <w:pStyle w:val="Rubrik3"/>
      </w:pPr>
      <w:bookmarkStart w:id="318" w:name="_Toc509711251"/>
      <w:bookmarkStart w:id="319" w:name="_Toc509738073"/>
      <w:bookmarkStart w:id="320" w:name="_Toc516991692"/>
      <w:r w:rsidRPr="00237A2C">
        <w:t>Lärdomar</w:t>
      </w:r>
      <w:bookmarkEnd w:id="318"/>
      <w:bookmarkEnd w:id="319"/>
      <w:bookmarkEnd w:id="320"/>
    </w:p>
    <w:p w:rsidR="00AE50BA" w:rsidRPr="00237A2C" w:rsidRDefault="00AE50BA">
      <w:r w:rsidRPr="00237A2C">
        <w:t>Jacobssons empiriska undersökning pekar på problem i ändamålsenligheten i de traditionella styrformerna. Regler, mål och pengar var inte några exakta styrmedel. Genom att mixa och kombinera flera olika styrmedel kunde d</w:t>
      </w:r>
      <w:r w:rsidRPr="00237A2C">
        <w:t>e</w:t>
      </w:r>
      <w:r w:rsidRPr="00237A2C">
        <w:t>partementet öka sitt inflytande, men för detta krävdes även lyhördhet i d</w:t>
      </w:r>
      <w:r w:rsidRPr="00237A2C">
        <w:t>e</w:t>
      </w:r>
      <w:r w:rsidRPr="00237A2C">
        <w:t>partementen och kontinuitet i den politiska lednin</w:t>
      </w:r>
      <w:r w:rsidRPr="00237A2C">
        <w:t>g</w:t>
      </w:r>
      <w:r w:rsidRPr="00237A2C">
        <w:t>en.</w:t>
      </w:r>
      <w:r w:rsidRPr="00237A2C">
        <w:rPr>
          <w:rStyle w:val="Fotnotsreferens"/>
          <w:sz w:val="20"/>
        </w:rPr>
        <w:footnoteReference w:id="129"/>
      </w:r>
    </w:p>
    <w:p w:rsidR="00AE50BA" w:rsidRPr="00237A2C" w:rsidRDefault="00AE50BA">
      <w:pPr>
        <w:pStyle w:val="Normaltindrag"/>
      </w:pPr>
      <w:r w:rsidRPr="00237A2C">
        <w:t xml:space="preserve">Eftersom Jacobssons fallstudier behandlar förhållandena på 1970-talet, och vid det här laget har ett antal år på nacken, är det svårt att med dessa som utgångspunkt säga något säkert om dagens förhållanden mellan departement och verk. Vad fallstudierna emellertid ger en fingervisning om är den kom-plexa interaktion mellan departement och verk som råder och som skiljer sig mycket mellan olika verksamhetsområden. Denna variation mellan olika politiska områden framgår också tydligt i Bo Rothsteins avhandling </w:t>
      </w:r>
      <w:r w:rsidRPr="00237A2C">
        <w:t>(se a</w:t>
      </w:r>
      <w:r w:rsidRPr="00237A2C">
        <w:t>v</w:t>
      </w:r>
      <w:r w:rsidRPr="00237A2C">
        <w:t>snittet om utnä</w:t>
      </w:r>
      <w:r w:rsidRPr="00237A2C">
        <w:t>m</w:t>
      </w:r>
      <w:r w:rsidRPr="00237A2C">
        <w:t>ningsmakten).</w:t>
      </w:r>
    </w:p>
    <w:p w:rsidR="00AE50BA" w:rsidRPr="00237A2C" w:rsidRDefault="00AE50BA">
      <w:pPr>
        <w:pStyle w:val="Normaltindrag"/>
      </w:pPr>
      <w:r w:rsidRPr="00237A2C">
        <w:t xml:space="preserve">En viktig slutsats man kan dra av Jacobssons tämligen unika undersökning är således att relationen mellan departement och verk kan variera väldigt mycket beroende på vilket enskilt fall man väljer att studera. Man kan alltså inte beskriva förhållandet mellan förvaltningen och den politiska nivån utan att ta hänsyn till vilket verk och departement man avser. I skenet av detta blir användningen av kvantitativa data ofta problematisk då man skall studera relationerna mellan </w:t>
      </w:r>
      <w:r w:rsidRPr="00237A2C">
        <w:t>departement och verk, eftersom denna distinktion sällan görs i det kvant</w:t>
      </w:r>
      <w:r w:rsidRPr="00237A2C">
        <w:t>i</w:t>
      </w:r>
      <w:r w:rsidRPr="00237A2C">
        <w:t xml:space="preserve">tativa materialet. </w:t>
      </w:r>
    </w:p>
    <w:p w:rsidR="00AE50BA" w:rsidRPr="00237A2C" w:rsidRDefault="00AE50BA">
      <w:pPr>
        <w:pStyle w:val="Rubrik2"/>
      </w:pPr>
      <w:bookmarkStart w:id="321" w:name="_Toc509711252"/>
      <w:bookmarkStart w:id="322" w:name="_Toc509738074"/>
      <w:bookmarkStart w:id="323" w:name="_Toc516991693"/>
      <w:r w:rsidRPr="00237A2C">
        <w:t>Det svenska EU-medlemskapets effekter på relationerna mellan departe</w:t>
      </w:r>
      <w:r w:rsidRPr="00237A2C">
        <w:softHyphen/>
        <w:t>ment och verk</w:t>
      </w:r>
      <w:bookmarkEnd w:id="321"/>
      <w:bookmarkEnd w:id="322"/>
      <w:bookmarkEnd w:id="323"/>
    </w:p>
    <w:p w:rsidR="00AE50BA" w:rsidRPr="00237A2C" w:rsidRDefault="00AE50BA">
      <w:r w:rsidRPr="00237A2C">
        <w:t>Det svenska medlemskapet i EU har skapat vissa praktiska problem för idén om den svenska förvaltningsdualismen. Eftersom myndigheter i allmänhet besitter bättre kunskaper i olika sakfrågor än departementen är det ofta my</w:t>
      </w:r>
      <w:r w:rsidRPr="00237A2C">
        <w:t>n</w:t>
      </w:r>
      <w:r w:rsidRPr="00237A2C">
        <w:t>dighetstjänstemän som r</w:t>
      </w:r>
      <w:r w:rsidRPr="00237A2C">
        <w:t>e</w:t>
      </w:r>
      <w:r w:rsidRPr="00237A2C">
        <w:t>presenterar Sverige i förhandlingar i olika EU-organ. Detta gör att det i vissa fall är svårt att driva en tydlig svensk linje, eftersom det ibland är oklart i vilken egenskap (myndighetsrepresentant eller politisk representant) och med vilka befogenheter myndighetstjänstemannen deltar.</w:t>
      </w:r>
      <w:r w:rsidRPr="00237A2C">
        <w:rPr>
          <w:rStyle w:val="Fotnotsreferens"/>
          <w:sz w:val="20"/>
        </w:rPr>
        <w:footnoteReference w:id="130"/>
      </w:r>
      <w:r w:rsidRPr="00237A2C">
        <w:t xml:space="preserve"> </w:t>
      </w:r>
    </w:p>
    <w:p w:rsidR="00AE50BA" w:rsidRPr="00237A2C" w:rsidRDefault="00AE50BA">
      <w:pPr>
        <w:pStyle w:val="Normaltindrag"/>
      </w:pPr>
      <w:r w:rsidRPr="00237A2C">
        <w:t>I intervjuer med myndighets- och departementsrepresentanter framkommer en samstämmig uppfattning om att myndigheterna har en viktig roll som kunskapsförmedlare till regeringen, och att denna roll successivt ökat i bet</w:t>
      </w:r>
      <w:r w:rsidRPr="00237A2C">
        <w:t>y</w:t>
      </w:r>
      <w:r w:rsidRPr="00237A2C">
        <w:t>delse. Departementsföreträdare anser att det är en absolut nödvändighet att myndigheter som besitter en bred och djup sakkunskap skall medverka i det löpande EU-arbetet och för Sveriges räkning göra förhandlingsinsatser i olika EU-organ.</w:t>
      </w:r>
      <w:r w:rsidRPr="00237A2C">
        <w:rPr>
          <w:rStyle w:val="Fotnotsreferens"/>
          <w:sz w:val="20"/>
        </w:rPr>
        <w:footnoteReference w:id="131"/>
      </w:r>
    </w:p>
    <w:p w:rsidR="00AE50BA" w:rsidRPr="00237A2C" w:rsidRDefault="00AE50BA">
      <w:pPr>
        <w:pStyle w:val="Rubrik3"/>
      </w:pPr>
      <w:bookmarkStart w:id="324" w:name="_Toc509711253"/>
      <w:bookmarkStart w:id="325" w:name="_Toc509738075"/>
      <w:bookmarkStart w:id="326" w:name="_Toc516991694"/>
      <w:r w:rsidRPr="00237A2C">
        <w:t>Instruktioner och samordning</w:t>
      </w:r>
      <w:bookmarkEnd w:id="324"/>
      <w:bookmarkEnd w:id="325"/>
      <w:bookmarkEnd w:id="326"/>
    </w:p>
    <w:p w:rsidR="00AE50BA" w:rsidRPr="00237A2C" w:rsidRDefault="00AE50BA">
      <w:r w:rsidRPr="00237A2C">
        <w:t>I en undersökning utförd av Statskontoret framkommer att flera myndighet</w:t>
      </w:r>
      <w:r w:rsidRPr="00237A2C">
        <w:t>s</w:t>
      </w:r>
      <w:r w:rsidRPr="00237A2C">
        <w:t>företrädare menar att regeringskansliet inför flera EU-förhandlingar inte försett tjänstemännen som skall representera Sverige med tydliga instrukti</w:t>
      </w:r>
      <w:r w:rsidRPr="00237A2C">
        <w:t>o</w:t>
      </w:r>
      <w:r w:rsidRPr="00237A2C">
        <w:t>ner. Konsekvensen har blivit att många myndigheter saknat klart uttryckta politiska ståndpunkter att utgå ifrån då de skall föra Sveriges talan vid fö</w:t>
      </w:r>
      <w:r w:rsidRPr="00237A2C">
        <w:t>r</w:t>
      </w:r>
      <w:r w:rsidRPr="00237A2C">
        <w:t>handlingar i EU-organ. Enligt Statskontoret har detta bland annat inneburit att svenska intressen inte tillvaratagits på bästa sätt och i vissa fall även att ståndpunkter som saknat politisk förankring förts fra</w:t>
      </w:r>
      <w:r w:rsidRPr="00237A2C">
        <w:t>m. Detta innebär ett demokratiskt problem då det blir oklart vem, politikerna eller tjänstemännen, som bär ansvaret för besluten.</w:t>
      </w:r>
      <w:r w:rsidRPr="00237A2C">
        <w:rPr>
          <w:rStyle w:val="Fotnotsreferens"/>
          <w:sz w:val="20"/>
        </w:rPr>
        <w:footnoteReference w:id="132"/>
      </w:r>
      <w:r w:rsidRPr="00237A2C">
        <w:t xml:space="preserve"> </w:t>
      </w:r>
    </w:p>
    <w:p w:rsidR="00AE50BA" w:rsidRPr="00237A2C" w:rsidRDefault="00AE50BA">
      <w:pPr>
        <w:pStyle w:val="Normaltindrag"/>
      </w:pPr>
      <w:r w:rsidRPr="00237A2C">
        <w:t>Formerna för instruktionsgivningen till enskilda myndighetstjänstemän uppges i Statskontorets rapport variera kraftigt mellan olika departement. Vissa departement använder sig genomgående av  skriftliga instruktioner, medan andra i stort sett enbart ger muntliga instruktioner.</w:t>
      </w:r>
      <w:r w:rsidRPr="00237A2C">
        <w:rPr>
          <w:rStyle w:val="Fotnotsreferens"/>
          <w:sz w:val="20"/>
        </w:rPr>
        <w:footnoteReference w:id="133"/>
      </w:r>
    </w:p>
    <w:p w:rsidR="00AE50BA" w:rsidRPr="00237A2C" w:rsidRDefault="00AE50BA">
      <w:pPr>
        <w:pStyle w:val="Normaltindrag"/>
      </w:pPr>
      <w:r w:rsidRPr="00237A2C">
        <w:t>Jacobsson och Sundström menar att myndigheternas kontakter med d</w:t>
      </w:r>
      <w:r w:rsidRPr="00237A2C">
        <w:t>e</w:t>
      </w:r>
      <w:r w:rsidRPr="00237A2C">
        <w:t>partementens politiska ledning beträffande frågor som rör EU-arbetet i bet</w:t>
      </w:r>
      <w:r w:rsidRPr="00237A2C">
        <w:t>y</w:t>
      </w:r>
      <w:r w:rsidRPr="00237A2C">
        <w:t>dande utsträckning är informella. Det omfattande informella utbytet skall enligt författarna ses som ett uttryck för att tjänstemännen är angelägna om att förankra sina ståndpunkter hos politikerna, snarare än att politikerna aktivt försöker styra tjänstemännen. Myndighetstjänstemännen verkar des</w:t>
      </w:r>
      <w:r w:rsidRPr="00237A2C">
        <w:t>s</w:t>
      </w:r>
      <w:r w:rsidRPr="00237A2C">
        <w:t>utom vara de som oftast tar initiativet till kontakterna. Vidare tyder unde</w:t>
      </w:r>
      <w:r w:rsidRPr="00237A2C">
        <w:t>r</w:t>
      </w:r>
      <w:r w:rsidRPr="00237A2C">
        <w:t>sökningen på att tjänstemännens efterfrågan på styrning är stö</w:t>
      </w:r>
      <w:r w:rsidRPr="00237A2C">
        <w:t>rre än det utbud av styrning som politikerna erbjuder.</w:t>
      </w:r>
      <w:r w:rsidRPr="00237A2C">
        <w:rPr>
          <w:rStyle w:val="Fotnotsreferens"/>
          <w:sz w:val="20"/>
        </w:rPr>
        <w:footnoteReference w:id="134"/>
      </w:r>
    </w:p>
    <w:p w:rsidR="00AE50BA" w:rsidRPr="00237A2C" w:rsidRDefault="00AE50BA">
      <w:pPr>
        <w:pStyle w:val="Normaltindrag"/>
      </w:pPr>
      <w:r w:rsidRPr="00237A2C">
        <w:t>Emellertid visar undersökningen att klart över hälften av de tillfrågade myndighetsenheterna menar att det är lätt eller ganska lätt att veta vilken ståndpunkt regeringen eller departementens politiska ledning har i EU-frågor inom den egna myndighetens verksamhetsområde. Den ökade efterfrågan på kontakter i samband med EU-medlemskapet kan därför, enligt Jacobsson och Sundström, inte enbart ses i ljuset av EU-frågornas dynamik, komplexitet och tjänstemännens osäkerhet om politikernas uppfattning i olika frå</w:t>
      </w:r>
      <w:r w:rsidRPr="00237A2C">
        <w:t>gor som kommer upp på EU:s dagordning. Utöver att situationen är ny och därför kan skapa en mer allmän osäkerhet hos tjänstemännen är de frågor som diskut</w:t>
      </w:r>
      <w:r w:rsidRPr="00237A2C">
        <w:t>e</w:t>
      </w:r>
      <w:r w:rsidRPr="00237A2C">
        <w:t>ras i EU inte sällan detaljerade. Plötsligt skall svenska tjänstemän avge off</w:t>
      </w:r>
      <w:r w:rsidRPr="00237A2C">
        <w:t>i</w:t>
      </w:r>
      <w:r w:rsidRPr="00237A2C">
        <w:t>ciella svenska ståndpunkter i en rad frågor som sedan länge varit delegerade till myndigheterna, och som många vant sig vid att betrakta som tekniska och inte politiska. Detta ökar tjänstemännens behov av att förankra sina uppfat</w:t>
      </w:r>
      <w:r w:rsidRPr="00237A2C">
        <w:t>t</w:t>
      </w:r>
      <w:r w:rsidRPr="00237A2C">
        <w:t>ningar på den politiska nivån.</w:t>
      </w:r>
      <w:r w:rsidRPr="00237A2C">
        <w:rPr>
          <w:rStyle w:val="Fotnotsreferens"/>
          <w:sz w:val="20"/>
        </w:rPr>
        <w:footnoteReference w:id="135"/>
      </w:r>
    </w:p>
    <w:p w:rsidR="00AE50BA" w:rsidRPr="00237A2C" w:rsidRDefault="00AE50BA">
      <w:pPr>
        <w:pStyle w:val="Normaltindrag"/>
      </w:pPr>
      <w:r w:rsidRPr="00237A2C">
        <w:t>Vidare menar Jacobsson och Sundström att regeringen och departementens politiska ledning har betydligt tätare kontakter med myndighetstjänstemän inom vissa sektorer än andra. Över hälften av de undersökta enheterna inom utrikes-, jordbruks-, inrikes -, justitie - och miljöområdena uppger att de har haft kontakter med regeringen/departementets politiska ledning en gång i månaden eller oftare under det senaste året i samband med EU-arbetet. Inom enheter för kommunikation, försvar och finans är denna typ av k</w:t>
      </w:r>
      <w:r w:rsidRPr="00237A2C">
        <w:t xml:space="preserve">ontakter betydligt mindre vanliga. </w:t>
      </w:r>
    </w:p>
    <w:p w:rsidR="00AE50BA" w:rsidRPr="00237A2C" w:rsidRDefault="00AE50BA">
      <w:pPr>
        <w:pStyle w:val="Normaltindrag"/>
      </w:pPr>
      <w:r w:rsidRPr="00237A2C">
        <w:t>Det förekommer även mycket omfattande kontakter mellan departement och myndigheter på tjänstemannanivå i samband med EU-relaterat arbete. Dessa kontakter sker främst mellan myndigheter och fackdepartement; my</w:t>
      </w:r>
      <w:r w:rsidRPr="00237A2C">
        <w:t>n</w:t>
      </w:r>
      <w:r w:rsidRPr="00237A2C">
        <w:t>digheternas kontakter med uttalade samordningsorgan för EU-frågor inom regeringskansliet (EU-sekretariatet, Finansdepartementets budgetavdel</w:t>
      </w:r>
      <w:r w:rsidRPr="00237A2C">
        <w:softHyphen/>
        <w:t>ning och Statsråd</w:t>
      </w:r>
      <w:r w:rsidRPr="00237A2C">
        <w:t>s</w:t>
      </w:r>
      <w:r w:rsidRPr="00237A2C">
        <w:t>beredningen) är inte lika omfattande.</w:t>
      </w:r>
      <w:r w:rsidRPr="00237A2C">
        <w:rPr>
          <w:rStyle w:val="Fotnotsreferens"/>
          <w:sz w:val="20"/>
        </w:rPr>
        <w:footnoteReference w:id="136"/>
      </w:r>
    </w:p>
    <w:p w:rsidR="00AE50BA" w:rsidRPr="00237A2C" w:rsidRDefault="00AE50BA">
      <w:pPr>
        <w:pStyle w:val="Normaltindrag"/>
      </w:pPr>
      <w:r w:rsidRPr="00237A2C">
        <w:t>Enligt Statskontorets rapport påstås det ökade antalet direkta kontakter mellan myndighetstjänstemän och ansvariga fackdepartement, som EU-arbetet medfört, ha lett till ett ökat departementsstyre, eftersom man vid dessa kontakter utfärdar långtgående instruktioner och riktlinjer för myndi</w:t>
      </w:r>
      <w:r w:rsidRPr="00237A2C">
        <w:t>g</w:t>
      </w:r>
      <w:r w:rsidRPr="00237A2C">
        <w:t>heternas verksamhet.</w:t>
      </w:r>
      <w:r w:rsidRPr="00237A2C">
        <w:rPr>
          <w:rStyle w:val="Fotnotsreferens"/>
          <w:sz w:val="20"/>
        </w:rPr>
        <w:footnoteReference w:id="137"/>
      </w:r>
    </w:p>
    <w:p w:rsidR="00AE50BA" w:rsidRPr="00237A2C" w:rsidRDefault="00AE50BA">
      <w:pPr>
        <w:pStyle w:val="Normaltindrag"/>
      </w:pPr>
      <w:r w:rsidRPr="00237A2C">
        <w:t>Den ökade ärendemängden som EU-medlemskapet resulterat i och bet</w:t>
      </w:r>
      <w:r w:rsidRPr="00237A2C">
        <w:t>o</w:t>
      </w:r>
      <w:r w:rsidRPr="00237A2C">
        <w:t>ningen av det nationella intresset har ökat vikten av samordning både mellan förvaltningsnivåerna och mellan olika politiska områden. Enligt Statskont</w:t>
      </w:r>
      <w:r w:rsidRPr="00237A2C">
        <w:t>o</w:t>
      </w:r>
      <w:r w:rsidRPr="00237A2C">
        <w:t>rets rapport riskerar tjänstemännen utan samordning att driva enskilda frågor på ett sätt som kan vara gynnsamt för den egna sektorn, men inte för Sverige som helhet. Informella kontakter mellan tjänstemän på departement och myndigheter verkar enligt Statskontoret vara det mest vanliga samordning</w:t>
      </w:r>
      <w:r w:rsidRPr="00237A2C">
        <w:t>s</w:t>
      </w:r>
      <w:r w:rsidRPr="00237A2C">
        <w:t>förfarandet i EU-frågor.</w:t>
      </w:r>
      <w:r w:rsidRPr="00237A2C">
        <w:rPr>
          <w:rStyle w:val="Fotnotsreferens"/>
          <w:sz w:val="20"/>
        </w:rPr>
        <w:footnoteReference w:id="138"/>
      </w:r>
      <w:r w:rsidRPr="00237A2C">
        <w:t xml:space="preserve"> </w:t>
      </w:r>
    </w:p>
    <w:p w:rsidR="00AE50BA" w:rsidRPr="00237A2C" w:rsidRDefault="00AE50BA">
      <w:pPr>
        <w:pStyle w:val="Normaltindrag"/>
      </w:pPr>
      <w:r w:rsidRPr="00237A2C">
        <w:t>Jacobsson och Sundström menar att EU-arbetet har medfört en ökad sa</w:t>
      </w:r>
      <w:r w:rsidRPr="00237A2C">
        <w:t>m</w:t>
      </w:r>
      <w:r w:rsidRPr="00237A2C">
        <w:t>ordning mellan myndigheter och departement inom de individuella verksa</w:t>
      </w:r>
      <w:r w:rsidRPr="00237A2C">
        <w:t>m</w:t>
      </w:r>
      <w:r w:rsidRPr="00237A2C">
        <w:t>hetsområdena, men att samordningen ökat i mindre omfattning  mellan olika sektorer.</w:t>
      </w:r>
      <w:r w:rsidRPr="00237A2C">
        <w:rPr>
          <w:rStyle w:val="Fotnotsreferens"/>
          <w:sz w:val="20"/>
        </w:rPr>
        <w:footnoteReference w:id="139"/>
      </w:r>
    </w:p>
    <w:p w:rsidR="00AE50BA" w:rsidRPr="00237A2C" w:rsidRDefault="00AE50BA">
      <w:pPr>
        <w:pStyle w:val="Rubrik3"/>
      </w:pPr>
      <w:bookmarkStart w:id="327" w:name="_Toc509711254"/>
      <w:bookmarkStart w:id="328" w:name="_Toc509738076"/>
      <w:bookmarkStart w:id="329" w:name="_Toc516991695"/>
      <w:r w:rsidRPr="00237A2C">
        <w:t>Konsekvenser för den svenska förvaltningsmodellen</w:t>
      </w:r>
      <w:bookmarkEnd w:id="327"/>
      <w:bookmarkEnd w:id="328"/>
      <w:bookmarkEnd w:id="329"/>
    </w:p>
    <w:p w:rsidR="00AE50BA" w:rsidRPr="00237A2C" w:rsidRDefault="00AE50BA">
      <w:r w:rsidRPr="00237A2C">
        <w:t>Trots att man i Statskontorets undersökning konstaterar att den svenska fö</w:t>
      </w:r>
      <w:r w:rsidRPr="00237A2C">
        <w:t>r</w:t>
      </w:r>
      <w:r w:rsidRPr="00237A2C">
        <w:t>valtningsmodellen är ändamålsenlig och att inga konstitutionella förändrin</w:t>
      </w:r>
      <w:r w:rsidRPr="00237A2C">
        <w:t>g</w:t>
      </w:r>
      <w:r w:rsidRPr="00237A2C">
        <w:t xml:space="preserve">ar därför krävs för att anpassa förvaltningen till EU-samarbetet </w:t>
      </w:r>
      <w:r w:rsidRPr="00237A2C">
        <w:rPr>
          <w:rStyle w:val="Fotnotsreferens"/>
          <w:sz w:val="20"/>
        </w:rPr>
        <w:footnoteReference w:id="140"/>
      </w:r>
      <w:r w:rsidRPr="00237A2C">
        <w:t>, menar Jacobsson att den politiska styrningens förutsättningar har förändrats i och med EU-medlemskapet. Bland annat har det visat sig att inordnandet av EU-arbetet i de ordinarie formerna för styrning ibland kan vara problematisk. Myndigheternas tjänstemän deltar till exempel i ett nätverksarbete med andra länders förvaltningar och europeiska organisationer som inte särskilt enkelt går att inordna i det svenska etablerade vertikala styrsystemet.</w:t>
      </w:r>
      <w:r w:rsidRPr="00237A2C">
        <w:rPr>
          <w:rStyle w:val="Fotnotsreferens"/>
          <w:sz w:val="20"/>
        </w:rPr>
        <w:footnoteReference w:id="141"/>
      </w:r>
      <w:r w:rsidRPr="00237A2C">
        <w:t xml:space="preserve"> Styrningen försvåras således både av organisatoriska skillnader beträffande vilka p</w:t>
      </w:r>
      <w:r w:rsidRPr="00237A2C">
        <w:t>o</w:t>
      </w:r>
      <w:r w:rsidRPr="00237A2C">
        <w:t>licyområden som sorterar under departementen och av att  initiativ växer fram i nätverk där lojaliteten ofta finns inom detta.</w:t>
      </w:r>
    </w:p>
    <w:p w:rsidR="00AE50BA" w:rsidRPr="00237A2C" w:rsidRDefault="00AE50BA">
      <w:pPr>
        <w:pStyle w:val="Normaltindrag"/>
      </w:pPr>
      <w:r w:rsidRPr="00237A2C">
        <w:t>Jacobsson hävdar att EU-samarbetet också har minskat den svenska fö</w:t>
      </w:r>
      <w:r w:rsidRPr="00237A2C">
        <w:t>r</w:t>
      </w:r>
      <w:r w:rsidRPr="00237A2C">
        <w:t>valtningsdualismens möjlighet för politikerna att hålla känsliga frågor ifrån sig och att de även i ökad omfattning tvingas att ta ansvar för sådant som de har små möjligheter att påverka. Tidigare har ministrar på ett auktoritativt sätt kunnat hävda att de inte fått lägga sig i vissa frågor, eftersom det funnits myndigheter som självständigt har haft att hantera dessa. Samtidigt har mö</w:t>
      </w:r>
      <w:r w:rsidRPr="00237A2C">
        <w:t>j</w:t>
      </w:r>
      <w:r w:rsidRPr="00237A2C">
        <w:t>ligheten funnits att på andra sätt, till exempel genom informella kontakter eller offentliga utredningar, lyfta frågor ti</w:t>
      </w:r>
      <w:r w:rsidRPr="00237A2C">
        <w:t>ll den politiska nivån. Europeis</w:t>
      </w:r>
      <w:r w:rsidRPr="00237A2C">
        <w:t>e</w:t>
      </w:r>
      <w:r w:rsidRPr="00237A2C">
        <w:t>ringen försvårar möjligheten för politikerna att på detta sätt på egen hand avgöra vad som är politik.</w:t>
      </w:r>
      <w:r w:rsidRPr="00237A2C">
        <w:rPr>
          <w:rStyle w:val="Fotnotsreferens"/>
          <w:sz w:val="20"/>
        </w:rPr>
        <w:footnoteReference w:id="142"/>
      </w:r>
    </w:p>
    <w:p w:rsidR="00AE50BA" w:rsidRPr="00237A2C" w:rsidRDefault="00AE50BA">
      <w:pPr>
        <w:pStyle w:val="Rubrik2"/>
      </w:pPr>
      <w:bookmarkStart w:id="330" w:name="_Toc509711255"/>
      <w:bookmarkStart w:id="331" w:name="_Toc509738077"/>
      <w:bookmarkStart w:id="332" w:name="_Toc516991696"/>
      <w:r w:rsidRPr="00237A2C">
        <w:t>Den empiriska forskningen och den svenska förvaltningsmodellen</w:t>
      </w:r>
      <w:bookmarkEnd w:id="330"/>
      <w:bookmarkEnd w:id="331"/>
      <w:bookmarkEnd w:id="332"/>
    </w:p>
    <w:p w:rsidR="00AE50BA" w:rsidRPr="00237A2C" w:rsidRDefault="00AE50BA">
      <w:r w:rsidRPr="00237A2C">
        <w:t>Genomgången av den empiriska forskningen som behandlar relationen me</w:t>
      </w:r>
      <w:r w:rsidRPr="00237A2C">
        <w:t>l</w:t>
      </w:r>
      <w:r w:rsidRPr="00237A2C">
        <w:t>lan regeringen/departementen och ämbetsverken visar att verkligheten inte uppvisar den tydliga åtskillnad mellan den politiska nivån och förvaltningen som idén om den svenska förvaltningsmodellen vill göra gällande. De pol</w:t>
      </w:r>
      <w:r w:rsidRPr="00237A2C">
        <w:t>i</w:t>
      </w:r>
      <w:r w:rsidRPr="00237A2C">
        <w:t>tiska organens möjlighet att styra förvaltningen visar sig i flera avseenden vara beskuren. Kedjan från politiskt beslut till verkställelse är långt ifrån så rak och okomplicerad som modellen förutsätter.</w:t>
      </w:r>
    </w:p>
    <w:p w:rsidR="00AE50BA" w:rsidRPr="00237A2C" w:rsidRDefault="00AE50BA">
      <w:pPr>
        <w:pStyle w:val="Normaltindrag"/>
      </w:pPr>
      <w:r w:rsidRPr="00237A2C">
        <w:t>Den empiriska forskningen fokuserar i huvudsak på relationen mellan r</w:t>
      </w:r>
      <w:r w:rsidRPr="00237A2C">
        <w:t>e</w:t>
      </w:r>
      <w:r w:rsidRPr="00237A2C">
        <w:t>gering/departement och myndigheter i avseende på styrning snarare än att undersöka arbetsfördelningen mellan den politiska nivån och förvaltningen. I samband med internationellt samarbete, framför allt i och med det svenska EU-medlemskapet, har eme</w:t>
      </w:r>
      <w:r w:rsidRPr="00237A2C">
        <w:t>l</w:t>
      </w:r>
      <w:r w:rsidRPr="00237A2C">
        <w:t>lertid också arbetsfördelningen mellan myndig</w:t>
      </w:r>
      <w:r w:rsidRPr="00237A2C">
        <w:softHyphen/>
        <w:t>heter</w:t>
      </w:r>
      <w:r w:rsidRPr="00237A2C">
        <w:softHyphen/>
        <w:t>na och regeringen/departementen i viss mån kommit att studeras. Det faktum att myndighetstjänstemän i många fall av regeringen ålagts att för</w:t>
      </w:r>
      <w:r w:rsidRPr="00237A2C">
        <w:t>e</w:t>
      </w:r>
      <w:r w:rsidRPr="00237A2C">
        <w:t>träda Sverige på politiska förhandlingsarenor måste betraktas som et</w:t>
      </w:r>
      <w:r w:rsidRPr="00237A2C">
        <w:t xml:space="preserve">t stort avsteg från den organisatoriska doktrinen om tudelningen mellan politiska och verkställande uppgifter som den svenska förvaltningsmodellen bygger på. </w:t>
      </w:r>
    </w:p>
    <w:p w:rsidR="00AE50BA" w:rsidRPr="00237A2C" w:rsidRDefault="00AE50BA">
      <w:pPr>
        <w:pStyle w:val="Normaltindrag"/>
      </w:pPr>
      <w:r w:rsidRPr="00237A2C">
        <w:t>Att avsteg från modellen görs beträffande den dualistiska uppdelningen är emellertid inte något nytt. Friberg konstaterar att detta inträffade redan under andra världskriget då</w:t>
      </w:r>
      <w:r w:rsidRPr="00237A2C">
        <w:rPr>
          <w:i/>
        </w:rPr>
        <w:t xml:space="preserve"> </w:t>
      </w:r>
      <w:r w:rsidRPr="00237A2C">
        <w:t>befogenhetsfördelningen mellan regeringen och de större ämbetsverken utvecklades till ett faktiskt ministerstyre inom både politiskt perifera och centrala frågor.</w:t>
      </w:r>
      <w:r w:rsidRPr="00237A2C">
        <w:rPr>
          <w:rStyle w:val="Fotnotsreferens"/>
          <w:sz w:val="20"/>
        </w:rPr>
        <w:footnoteReference w:id="143"/>
      </w:r>
      <w:r w:rsidRPr="00237A2C">
        <w:t xml:space="preserve"> </w:t>
      </w:r>
    </w:p>
    <w:p w:rsidR="00AE50BA" w:rsidRPr="00237A2C" w:rsidRDefault="00AE50BA">
      <w:pPr>
        <w:pStyle w:val="Normaltindrag"/>
      </w:pPr>
      <w:r w:rsidRPr="00237A2C">
        <w:t>Jacobsson uppmärksammar att förändringar i arbetsfördelningen åtmin</w:t>
      </w:r>
      <w:r w:rsidRPr="00237A2C">
        <w:softHyphen/>
        <w:t>stone i ett fall under 1970-talet skapat spänningar mellan regeringen och verk. Detta inträffade då Industridepartementet återtog utredningsuppgifter från Statens industriverk, SIND, mot verksledningens vilja och placerade denna ver</w:t>
      </w:r>
      <w:r w:rsidRPr="00237A2C">
        <w:t>k</w:t>
      </w:r>
      <w:r w:rsidRPr="00237A2C">
        <w:t>samhet inom departementet.</w:t>
      </w:r>
    </w:p>
    <w:p w:rsidR="00AE50BA" w:rsidRPr="00237A2C" w:rsidRDefault="00AE50BA">
      <w:pPr>
        <w:pStyle w:val="Normaltindrag"/>
      </w:pPr>
      <w:r w:rsidRPr="00237A2C">
        <w:t>Den sammantagna slutsatsen av genomgången av de empiriska studierna är att det i praktiken inte går någon tydlig gräns mellan den politiska nivån och förvaltningen, som idén om den svenska modellen gör gällande. Ingen ent</w:t>
      </w:r>
      <w:r w:rsidRPr="00237A2C">
        <w:t>y</w:t>
      </w:r>
      <w:r w:rsidRPr="00237A2C">
        <w:t>dig bild går heller att ge av relationerna mellan departement och verk efte</w:t>
      </w:r>
      <w:r w:rsidRPr="00237A2C">
        <w:t>r</w:t>
      </w:r>
      <w:r w:rsidRPr="00237A2C">
        <w:t>som variationen mellan de enskilda fallen är stor.</w:t>
      </w:r>
    </w:p>
    <w:p w:rsidR="00AE50BA" w:rsidRPr="00237A2C" w:rsidRDefault="00AE50BA">
      <w:pPr>
        <w:pStyle w:val="Rubrik1"/>
      </w:pPr>
      <w:bookmarkStart w:id="333" w:name="_Toc506174983"/>
      <w:bookmarkStart w:id="334" w:name="_Toc509711256"/>
      <w:bookmarkStart w:id="335" w:name="_Toc509738078"/>
      <w:bookmarkStart w:id="336" w:name="_Toc516991697"/>
      <w:r w:rsidRPr="00237A2C">
        <w:t>Del 3</w:t>
      </w:r>
      <w:bookmarkEnd w:id="333"/>
      <w:bookmarkEnd w:id="334"/>
      <w:bookmarkEnd w:id="335"/>
      <w:bookmarkEnd w:id="336"/>
    </w:p>
    <w:p w:rsidR="00AE50BA" w:rsidRPr="00237A2C" w:rsidRDefault="00AE50BA">
      <w:pPr>
        <w:pStyle w:val="Rubrik1"/>
      </w:pPr>
      <w:bookmarkStart w:id="337" w:name="_Toc509711257"/>
      <w:bookmarkStart w:id="338" w:name="_Toc509738079"/>
      <w:bookmarkStart w:id="339" w:name="_Toc516991698"/>
      <w:r w:rsidRPr="00237A2C">
        <w:t>Ett internationellt perspektiv på den svenska förvaltningsmodellen</w:t>
      </w:r>
      <w:bookmarkEnd w:id="337"/>
      <w:bookmarkEnd w:id="338"/>
      <w:bookmarkEnd w:id="339"/>
    </w:p>
    <w:p w:rsidR="00AE50BA" w:rsidRPr="00237A2C" w:rsidRDefault="00AE50BA">
      <w:r w:rsidRPr="00237A2C">
        <w:t>De svenska ämbetsverkens självständighet brukar, som vi har sett, utpekas som en av svensk förvaltnings utmärkande kännetecken. Detta framhålls ofta i den förvaltningspolitiska debatten. Vi har dock också sett att det är mindre påtagligt när det gäller förvaltningens praktik. De undersökningar som gjorts av hur det svenska systemet med själv</w:t>
      </w:r>
      <w:r w:rsidRPr="00237A2C">
        <w:softHyphen/>
        <w:t>ständiga ämbetsverk fungerar i prakt</w:t>
      </w:r>
      <w:r w:rsidRPr="00237A2C">
        <w:t>i</w:t>
      </w:r>
      <w:r w:rsidRPr="00237A2C">
        <w:t>ken visar samstäm</w:t>
      </w:r>
      <w:r w:rsidRPr="00237A2C">
        <w:softHyphen/>
      </w:r>
      <w:r w:rsidRPr="00237A2C">
        <w:softHyphen/>
      </w:r>
      <w:r w:rsidRPr="00237A2C">
        <w:softHyphen/>
      </w:r>
      <w:r w:rsidRPr="00237A2C">
        <w:softHyphen/>
        <w:t>migt att det inte finns några vattentäta skott mellan reg</w:t>
      </w:r>
      <w:r w:rsidRPr="00237A2C">
        <w:t>e</w:t>
      </w:r>
      <w:r w:rsidRPr="00237A2C">
        <w:t>rings</w:t>
      </w:r>
      <w:r w:rsidRPr="00237A2C">
        <w:softHyphen/>
        <w:t>kan</w:t>
      </w:r>
      <w:r w:rsidRPr="00237A2C">
        <w:softHyphen/>
        <w:t>sliet och ämbets</w:t>
      </w:r>
      <w:r w:rsidRPr="00237A2C">
        <w:softHyphen/>
        <w:t>verken. Kontakter mellan regerings</w:t>
      </w:r>
      <w:r w:rsidRPr="00237A2C">
        <w:softHyphen/>
        <w:t>kan</w:t>
      </w:r>
      <w:r w:rsidRPr="00237A2C">
        <w:softHyphen/>
        <w:t>sli</w:t>
      </w:r>
      <w:r w:rsidRPr="00237A2C">
        <w:softHyphen/>
        <w:t>et och ämbetsverken är tvärtom mycket vanliga.</w:t>
      </w:r>
    </w:p>
    <w:p w:rsidR="00AE50BA" w:rsidRPr="00237A2C" w:rsidRDefault="00AE50BA">
      <w:pPr>
        <w:pStyle w:val="Normaltindrag"/>
      </w:pPr>
      <w:r w:rsidRPr="00237A2C">
        <w:t>En fråga är då hur stor skillnaden i praktiken är jämfört med länder där minister</w:t>
      </w:r>
      <w:r w:rsidRPr="00237A2C">
        <w:softHyphen/>
        <w:t>styre råder. I detta avsnitt görs en studie av några av Sveriges grannländer, som i många avseenden är mycket lika oss. Likheterna beträ</w:t>
      </w:r>
      <w:r w:rsidRPr="00237A2C">
        <w:t>f</w:t>
      </w:r>
      <w:r w:rsidRPr="00237A2C">
        <w:t>fan</w:t>
      </w:r>
      <w:r w:rsidRPr="00237A2C">
        <w:softHyphen/>
        <w:t>de välfärds</w:t>
      </w:r>
      <w:r w:rsidRPr="00237A2C">
        <w:softHyphen/>
      </w:r>
      <w:r w:rsidRPr="00237A2C">
        <w:softHyphen/>
      </w:r>
      <w:r w:rsidRPr="00237A2C">
        <w:softHyphen/>
      </w:r>
      <w:r w:rsidRPr="00237A2C">
        <w:softHyphen/>
      </w:r>
      <w:r w:rsidRPr="00237A2C">
        <w:softHyphen/>
        <w:t>po</w:t>
      </w:r>
      <w:r w:rsidRPr="00237A2C">
        <w:softHyphen/>
        <w:t>li</w:t>
      </w:r>
      <w:r w:rsidRPr="00237A2C">
        <w:softHyphen/>
        <w:t>tik</w:t>
      </w:r>
      <w:r w:rsidRPr="00237A2C">
        <w:softHyphen/>
        <w:t>en och det fakti</w:t>
      </w:r>
      <w:r w:rsidRPr="00237A2C">
        <w:softHyphen/>
      </w:r>
      <w:r w:rsidRPr="00237A2C">
        <w:softHyphen/>
      </w:r>
      <w:r w:rsidRPr="00237A2C">
        <w:softHyphen/>
        <w:t>ska styrel</w:t>
      </w:r>
      <w:r w:rsidRPr="00237A2C">
        <w:softHyphen/>
      </w:r>
      <w:r w:rsidRPr="00237A2C">
        <w:softHyphen/>
        <w:t>se</w:t>
      </w:r>
      <w:r w:rsidRPr="00237A2C">
        <w:softHyphen/>
        <w:t>skicket brukar samman</w:t>
      </w:r>
      <w:r w:rsidRPr="00237A2C">
        <w:softHyphen/>
      </w:r>
      <w:r w:rsidRPr="00237A2C">
        <w:softHyphen/>
      </w:r>
      <w:r w:rsidRPr="00237A2C">
        <w:softHyphen/>
      </w:r>
      <w:r w:rsidRPr="00237A2C">
        <w:softHyphen/>
      </w:r>
      <w:r w:rsidRPr="00237A2C">
        <w:softHyphen/>
        <w:t>fattas med begreppet ”den nordiska modellen”.</w:t>
      </w:r>
      <w:r w:rsidRPr="00237A2C">
        <w:rPr>
          <w:rStyle w:val="Fotnotsreferens"/>
        </w:rPr>
        <w:footnoteReference w:id="144"/>
      </w:r>
      <w:r w:rsidRPr="00237A2C">
        <w:t xml:space="preserve"> Men beträffande just förval</w:t>
      </w:r>
      <w:r w:rsidRPr="00237A2C">
        <w:t>t</w:t>
      </w:r>
      <w:r w:rsidRPr="00237A2C">
        <w:t xml:space="preserve">ningens styrning skiljer sig </w:t>
      </w:r>
      <w:r w:rsidRPr="00237A2C">
        <w:rPr>
          <w:i/>
        </w:rPr>
        <w:t>Danmark</w:t>
      </w:r>
      <w:r w:rsidRPr="00237A2C">
        <w:rPr>
          <w:b/>
        </w:rPr>
        <w:t xml:space="preserve"> </w:t>
      </w:r>
      <w:r w:rsidRPr="00237A2C">
        <w:t>och</w:t>
      </w:r>
      <w:r w:rsidRPr="00237A2C">
        <w:rPr>
          <w:b/>
        </w:rPr>
        <w:t xml:space="preserve"> </w:t>
      </w:r>
      <w:r w:rsidRPr="00237A2C">
        <w:rPr>
          <w:i/>
        </w:rPr>
        <w:t>Norge</w:t>
      </w:r>
      <w:r w:rsidRPr="00237A2C">
        <w:t xml:space="preserve"> från Sverige. De </w:t>
      </w:r>
      <w:r w:rsidRPr="00237A2C">
        <w:sym w:font="Symbol" w:char="F02D"/>
      </w:r>
      <w:r w:rsidRPr="00237A2C">
        <w:t xml:space="preserve"> liksom de flesta andra länder </w:t>
      </w:r>
      <w:r w:rsidRPr="00237A2C">
        <w:sym w:font="Symbol" w:char="F02D"/>
      </w:r>
      <w:r w:rsidRPr="00237A2C">
        <w:t xml:space="preserve"> har en ministerstyrd förvaltning.</w:t>
      </w:r>
    </w:p>
    <w:p w:rsidR="00AE50BA" w:rsidRPr="00237A2C" w:rsidRDefault="00AE50BA">
      <w:pPr>
        <w:pStyle w:val="Rubrik2"/>
      </w:pPr>
      <w:bookmarkStart w:id="340" w:name="_Toc509711258"/>
      <w:bookmarkStart w:id="341" w:name="_Toc509738080"/>
      <w:bookmarkStart w:id="342" w:name="_Toc516991699"/>
      <w:r w:rsidRPr="00237A2C">
        <w:t>Ministerstyre i teorin</w:t>
      </w:r>
      <w:bookmarkEnd w:id="340"/>
      <w:bookmarkEnd w:id="341"/>
      <w:bookmarkEnd w:id="342"/>
    </w:p>
    <w:p w:rsidR="00AE50BA" w:rsidRPr="00237A2C" w:rsidRDefault="00AE50BA">
      <w:r w:rsidRPr="00237A2C">
        <w:t>Innan jag övergår till att diskutera hur ministerstyret faktiskt utövas vill jag presentera rättsläget. Jag väljer att göra en mer utförlig presen</w:t>
      </w:r>
      <w:r w:rsidRPr="00237A2C">
        <w:softHyphen/>
        <w:t>ta</w:t>
      </w:r>
      <w:r w:rsidRPr="00237A2C">
        <w:softHyphen/>
        <w:t>tion av de danska förhållandena för att därefter endast gå igenom hur norsk lagstiftning skiljer sig från den danska.</w:t>
      </w:r>
    </w:p>
    <w:p w:rsidR="00AE50BA" w:rsidRPr="00237A2C" w:rsidRDefault="00AE50BA">
      <w:pPr>
        <w:pStyle w:val="Rubrik3"/>
      </w:pPr>
      <w:bookmarkStart w:id="343" w:name="_Toc509711259"/>
      <w:bookmarkStart w:id="344" w:name="_Toc509738081"/>
      <w:bookmarkStart w:id="345" w:name="_Toc516991700"/>
      <w:r w:rsidRPr="00237A2C">
        <w:t>Danmark</w:t>
      </w:r>
      <w:bookmarkEnd w:id="343"/>
      <w:bookmarkEnd w:id="344"/>
      <w:bookmarkEnd w:id="345"/>
    </w:p>
    <w:p w:rsidR="00AE50BA" w:rsidRPr="00237A2C" w:rsidRDefault="00AE50BA">
      <w:r w:rsidRPr="00237A2C">
        <w:t>Inledningsvis måste sägas att mer än en dansk jurist har uttryckt att det är mycket otillfredsställande att det ” hersker en så stor usikkerhed om 'gælden</w:t>
      </w:r>
      <w:r w:rsidRPr="00237A2C">
        <w:softHyphen/>
      </w:r>
      <w:r w:rsidRPr="00237A2C">
        <w:softHyphen/>
        <w:t>de ret” avseende rättsförhållandet mellan politiker och ämbets</w:t>
      </w:r>
      <w:r w:rsidRPr="00237A2C">
        <w:softHyphen/>
        <w:t>män.</w:t>
      </w:r>
      <w:r w:rsidRPr="00237A2C">
        <w:rPr>
          <w:rStyle w:val="Fotnotsreferens"/>
        </w:rPr>
        <w:footnoteReference w:id="145"/>
      </w:r>
      <w:r w:rsidRPr="00237A2C">
        <w:t xml:space="preserve"> Den generella regeln är dock att ministern kan träffa avgörandet i alla ärenden inom sitt ansvarsområde. Alla beslut fattas på ministerns vägnar (PMV) och denne kan när som helst instruera underlydande eller själv överta behand</w:t>
      </w:r>
      <w:r w:rsidRPr="00237A2C">
        <w:softHyphen/>
        <w:t>ling</w:t>
      </w:r>
      <w:r w:rsidRPr="00237A2C">
        <w:softHyphen/>
        <w:t>en av ett ärende. Vidare kan som huvudregel alla förvaltningsbeslut överkla</w:t>
      </w:r>
      <w:r w:rsidRPr="00237A2C">
        <w:softHyphen/>
        <w:t>gas till den ansvarige ministern. Danmark (och Norge) saknar näml</w:t>
      </w:r>
      <w:r w:rsidRPr="00237A2C">
        <w:t>i</w:t>
      </w:r>
      <w:r w:rsidRPr="00237A2C">
        <w:t>gen förvaltnings</w:t>
      </w:r>
      <w:r w:rsidRPr="00237A2C">
        <w:softHyphen/>
        <w:t>domsto</w:t>
      </w:r>
      <w:r w:rsidRPr="00237A2C">
        <w:softHyphen/>
        <w:t>lar.</w:t>
      </w:r>
      <w:r w:rsidRPr="00237A2C">
        <w:rPr>
          <w:rStyle w:val="Fotnotsreferens"/>
        </w:rPr>
        <w:footnoteReference w:id="146"/>
      </w:r>
      <w:r w:rsidRPr="00237A2C">
        <w:t xml:space="preserve"> Enskilda medbor</w:t>
      </w:r>
      <w:r w:rsidRPr="00237A2C">
        <w:softHyphen/>
        <w:t>ga</w:t>
      </w:r>
      <w:r w:rsidRPr="00237A2C">
        <w:softHyphen/>
        <w:t>re kan också vända sig till ministern i så kallade ministerbrev, något som är mycket vanligt. Fram till 1980 var den så kallade torsdags</w:t>
      </w:r>
      <w:r w:rsidRPr="00237A2C">
        <w:softHyphen/>
      </w:r>
      <w:r w:rsidRPr="00237A2C">
        <w:softHyphen/>
        <w:t>mottag</w:t>
      </w:r>
      <w:r w:rsidRPr="00237A2C">
        <w:softHyphen/>
        <w:t>ningen då medborgare kunde träffa ministern (utan att ha avtalat tid)  kl. 10</w:t>
      </w:r>
      <w:r w:rsidRPr="00237A2C">
        <w:sym w:font="Symbol" w:char="F02D"/>
      </w:r>
      <w:r w:rsidRPr="00237A2C">
        <w:t>11 fast institu</w:t>
      </w:r>
      <w:r w:rsidRPr="00237A2C">
        <w:softHyphen/>
        <w:t>tio</w:t>
      </w:r>
      <w:r w:rsidRPr="00237A2C">
        <w:softHyphen/>
        <w:t>na</w:t>
      </w:r>
      <w:r w:rsidRPr="00237A2C">
        <w:softHyphen/>
        <w:t>li</w:t>
      </w:r>
      <w:r w:rsidRPr="00237A2C">
        <w:softHyphen/>
        <w:t>se</w:t>
      </w:r>
      <w:r w:rsidRPr="00237A2C">
        <w:softHyphen/>
        <w:t>rad. Ännu lever mottag</w:t>
      </w:r>
      <w:r w:rsidRPr="00237A2C">
        <w:softHyphen/>
        <w:t>ningen kvar på vissa ministerier under något föränd</w:t>
      </w:r>
      <w:r w:rsidRPr="00237A2C">
        <w:softHyphen/>
        <w:t>rade betin</w:t>
      </w:r>
      <w:r w:rsidRPr="00237A2C">
        <w:t>g</w:t>
      </w:r>
      <w:r w:rsidRPr="00237A2C">
        <w:t>el</w:t>
      </w:r>
      <w:r w:rsidRPr="00237A2C">
        <w:softHyphen/>
        <w:t>ser.</w:t>
      </w:r>
      <w:r w:rsidRPr="00237A2C">
        <w:rPr>
          <w:rStyle w:val="Fotnotsreferens"/>
        </w:rPr>
        <w:footnoteReference w:id="147"/>
      </w:r>
    </w:p>
    <w:p w:rsidR="00AE50BA" w:rsidRPr="00237A2C" w:rsidRDefault="00AE50BA">
      <w:pPr>
        <w:pStyle w:val="Normaltindrag"/>
      </w:pPr>
      <w:r w:rsidRPr="00237A2C">
        <w:t xml:space="preserve">Ministerns styrningsmöjligheter är dock inte obegränsade. Också ministern är </w:t>
      </w:r>
      <w:r w:rsidRPr="00237A2C">
        <w:rPr>
          <w:i/>
        </w:rPr>
        <w:t>bunden av lag</w:t>
      </w:r>
      <w:r w:rsidRPr="00237A2C">
        <w:t xml:space="preserve"> och kan ställas till rättsligt ansvar för felaktig ämbets</w:t>
      </w:r>
      <w:r w:rsidRPr="00237A2C">
        <w:softHyphen/>
        <w:t>utöv</w:t>
      </w:r>
      <w:r w:rsidRPr="00237A2C">
        <w:softHyphen/>
        <w:t>ning (vilket också skedde i det så kallade Tamilärendet).</w:t>
      </w:r>
      <w:r w:rsidRPr="00237A2C">
        <w:rPr>
          <w:rStyle w:val="Fotnotsreferens"/>
        </w:rPr>
        <w:footnoteReference w:id="148"/>
      </w:r>
      <w:r w:rsidRPr="00237A2C">
        <w:t xml:space="preserve"> Och ämbets</w:t>
      </w:r>
      <w:r w:rsidRPr="00237A2C">
        <w:softHyphen/>
        <w:t>män</w:t>
      </w:r>
      <w:r w:rsidRPr="00237A2C">
        <w:softHyphen/>
        <w:t>nens lydnads</w:t>
      </w:r>
      <w:r w:rsidRPr="00237A2C">
        <w:softHyphen/>
        <w:t>plikt är inte total. Tjänste</w:t>
      </w:r>
      <w:r w:rsidRPr="00237A2C">
        <w:softHyphen/>
      </w:r>
      <w:r w:rsidRPr="00237A2C">
        <w:softHyphen/>
        <w:t>män</w:t>
      </w:r>
      <w:r w:rsidRPr="00237A2C">
        <w:softHyphen/>
        <w:t>nen skall vägra lyda om den han</w:t>
      </w:r>
      <w:r w:rsidRPr="00237A2C">
        <w:t>d</w:t>
      </w:r>
      <w:r w:rsidRPr="00237A2C">
        <w:t>ling ministern ger direktiv om är uppenbart olaglig. Om beslu</w:t>
      </w:r>
      <w:r w:rsidRPr="00237A2C">
        <w:softHyphen/>
        <w:t>tets legalitet är tveksam skall tjänstemännen prote</w:t>
      </w:r>
      <w:r w:rsidRPr="00237A2C">
        <w:softHyphen/>
        <w:t>ste</w:t>
      </w:r>
      <w:r w:rsidRPr="00237A2C">
        <w:softHyphen/>
        <w:t>ra, men åtlyda om direktivet kvarstår.</w:t>
      </w:r>
      <w:r w:rsidRPr="00237A2C">
        <w:rPr>
          <w:rStyle w:val="Fotnotsreferens"/>
        </w:rPr>
        <w:footnoteReference w:id="149"/>
      </w:r>
      <w:r w:rsidRPr="00237A2C">
        <w:t xml:space="preserve"> Även när lagstiftningen ger utrymme för en betydan</w:t>
      </w:r>
      <w:r w:rsidRPr="00237A2C">
        <w:softHyphen/>
        <w:t>de sköns</w:t>
      </w:r>
      <w:r w:rsidRPr="00237A2C">
        <w:softHyphen/>
        <w:t>mäs</w:t>
      </w:r>
      <w:r w:rsidRPr="00237A2C">
        <w:softHyphen/>
        <w:t>sig</w:t>
      </w:r>
      <w:r w:rsidRPr="00237A2C">
        <w:softHyphen/>
        <w:t>het gäller vissa allmänna rätts</w:t>
      </w:r>
      <w:r w:rsidRPr="00237A2C">
        <w:softHyphen/>
        <w:t>prin</w:t>
      </w:r>
      <w:r w:rsidRPr="00237A2C">
        <w:softHyphen/>
        <w:t>ci</w:t>
      </w:r>
      <w:r w:rsidRPr="00237A2C">
        <w:softHyphen/>
        <w:t>per, som till exempel att likadana fall skall behand</w:t>
      </w:r>
      <w:r w:rsidRPr="00237A2C">
        <w:softHyphen/>
        <w:t>las lika. Minister</w:t>
      </w:r>
      <w:r w:rsidRPr="00237A2C">
        <w:softHyphen/>
        <w:t>styre innebär således inte total godtycklighet, utan ”bara” att ministern har formella möjlig</w:t>
      </w:r>
      <w:r w:rsidRPr="00237A2C">
        <w:softHyphen/>
        <w:t>het</w:t>
      </w:r>
      <w:r w:rsidRPr="00237A2C">
        <w:softHyphen/>
        <w:t>er att bestämma praxis genom att ”själv” fatta beslut angåen</w:t>
      </w:r>
      <w:r w:rsidRPr="00237A2C">
        <w:softHyphen/>
      </w:r>
      <w:r w:rsidRPr="00237A2C">
        <w:softHyphen/>
        <w:t>de enskilda fall. Den huvudsakliga poängen är alltså att även i Danmark (och för den delen också i Norge) begränsas principen om den folkstyr</w:t>
      </w:r>
      <w:r w:rsidRPr="00237A2C">
        <w:softHyphen/>
        <w:t>da förvalt</w:t>
      </w:r>
      <w:r w:rsidRPr="00237A2C">
        <w:softHyphen/>
        <w:t>ningen för att sky</w:t>
      </w:r>
      <w:r w:rsidRPr="00237A2C">
        <w:t>dda rättssta</w:t>
      </w:r>
      <w:r w:rsidRPr="00237A2C">
        <w:softHyphen/>
        <w:t>ten.</w:t>
      </w:r>
    </w:p>
    <w:p w:rsidR="00AE50BA" w:rsidRPr="00237A2C" w:rsidRDefault="00AE50BA">
      <w:pPr>
        <w:pStyle w:val="Normaltindrag"/>
      </w:pPr>
      <w:r w:rsidRPr="00237A2C">
        <w:t>En annan viktig formell begränsning av ministerstyrets räckvid är att en ”(s)tadig større dele af statsfor</w:t>
      </w:r>
      <w:r w:rsidRPr="00237A2C">
        <w:softHyphen/>
        <w:t>valt</w:t>
      </w:r>
      <w:r w:rsidRPr="00237A2C">
        <w:softHyphen/>
      </w:r>
      <w:r w:rsidRPr="00237A2C">
        <w:softHyphen/>
        <w:t>ningen er helt eller delvis unddraget m</w:t>
      </w:r>
      <w:r w:rsidRPr="00237A2C">
        <w:t>i</w:t>
      </w:r>
      <w:r w:rsidRPr="00237A2C">
        <w:t>nisterens styring”.</w:t>
      </w:r>
      <w:r w:rsidRPr="00237A2C">
        <w:rPr>
          <w:rStyle w:val="Fotnotsreferens"/>
        </w:rPr>
        <w:footnoteReference w:id="150"/>
      </w:r>
      <w:r w:rsidRPr="00237A2C">
        <w:t xml:space="preserve"> Klara exempel på begränsningar i minister</w:t>
      </w:r>
      <w:r w:rsidRPr="00237A2C">
        <w:softHyphen/>
        <w:t>styrel</w:t>
      </w:r>
      <w:r w:rsidRPr="00237A2C">
        <w:softHyphen/>
        <w:t xml:space="preserve">sen är de </w:t>
      </w:r>
      <w:r w:rsidRPr="00237A2C">
        <w:rPr>
          <w:i/>
        </w:rPr>
        <w:t>besvärs</w:t>
      </w:r>
      <w:r w:rsidRPr="00237A2C">
        <w:rPr>
          <w:i/>
        </w:rPr>
        <w:softHyphen/>
      </w:r>
      <w:r w:rsidRPr="00237A2C">
        <w:rPr>
          <w:i/>
        </w:rPr>
        <w:softHyphen/>
      </w:r>
      <w:r w:rsidRPr="00237A2C">
        <w:rPr>
          <w:i/>
        </w:rPr>
        <w:softHyphen/>
        <w:t>nämnder</w:t>
      </w:r>
      <w:r w:rsidRPr="00237A2C">
        <w:t xml:space="preserve"> (</w:t>
      </w:r>
      <w:r w:rsidRPr="00237A2C">
        <w:rPr>
          <w:i/>
        </w:rPr>
        <w:t>ankenævn</w:t>
      </w:r>
      <w:r w:rsidRPr="00237A2C">
        <w:t>) som upprättats på central nivå (för att befria ministern från hante</w:t>
      </w:r>
      <w:r w:rsidRPr="00237A2C">
        <w:softHyphen/>
      </w:r>
      <w:r w:rsidRPr="00237A2C">
        <w:softHyphen/>
        <w:t>ring</w:t>
      </w:r>
      <w:r w:rsidRPr="00237A2C">
        <w:softHyphen/>
        <w:t>en av enskilda ärenden). Huvudregeln om att ”allt” kan överkla</w:t>
      </w:r>
      <w:r w:rsidRPr="00237A2C">
        <w:softHyphen/>
        <w:t>gas till ministern har fått allt fler undantag. Det har till och med sagts att ”(u)dviklingen har forladt det histo</w:t>
      </w:r>
      <w:r w:rsidRPr="00237A2C">
        <w:softHyphen/>
        <w:t>ri</w:t>
      </w:r>
      <w:r w:rsidRPr="00237A2C">
        <w:softHyphen/>
        <w:t>ske udgangs</w:t>
      </w:r>
      <w:r w:rsidRPr="00237A2C">
        <w:softHyphen/>
        <w:t>punkt uden at sætte noget sammen</w:t>
      </w:r>
      <w:r w:rsidRPr="00237A2C">
        <w:softHyphen/>
      </w:r>
      <w:r w:rsidRPr="00237A2C">
        <w:softHyphen/>
        <w:t>hæng</w:t>
      </w:r>
      <w:r w:rsidRPr="00237A2C">
        <w:softHyphen/>
        <w:t>en</w:t>
      </w:r>
      <w:r w:rsidRPr="00237A2C">
        <w:softHyphen/>
        <w:t>de og oversku</w:t>
      </w:r>
      <w:r w:rsidRPr="00237A2C">
        <w:softHyphen/>
        <w:t>eligt i stedet".</w:t>
      </w:r>
      <w:r w:rsidRPr="00237A2C">
        <w:rPr>
          <w:rStyle w:val="Fotnotsreferens"/>
        </w:rPr>
        <w:footnoteReference w:id="151"/>
      </w:r>
      <w:r w:rsidRPr="00237A2C">
        <w:t xml:space="preserve"> Exempel på sådana nämnder är Lands</w:t>
      </w:r>
      <w:r w:rsidRPr="00237A2C">
        <w:softHyphen/>
        <w:t>skat</w:t>
      </w:r>
      <w:r w:rsidRPr="00237A2C">
        <w:softHyphen/>
        <w:t>te</w:t>
      </w:r>
      <w:r w:rsidRPr="00237A2C">
        <w:softHyphen/>
        <w:t>rät</w:t>
      </w:r>
      <w:r w:rsidRPr="00237A2C">
        <w:softHyphen/>
        <w:t>ten, Den Sociala Ankesty</w:t>
      </w:r>
      <w:r w:rsidRPr="00237A2C">
        <w:softHyphen/>
        <w:t>rel</w:t>
      </w:r>
      <w:r w:rsidRPr="00237A2C">
        <w:softHyphen/>
        <w:t>sen och Miljö</w:t>
      </w:r>
      <w:r w:rsidRPr="00237A2C">
        <w:softHyphen/>
        <w:t>anke</w:t>
      </w:r>
      <w:r w:rsidRPr="00237A2C">
        <w:softHyphen/>
        <w:t>nämnden.</w:t>
      </w:r>
      <w:r w:rsidRPr="00237A2C">
        <w:rPr>
          <w:rStyle w:val="Fotnotsreferens"/>
        </w:rPr>
        <w:footnoteReference w:id="152"/>
      </w:r>
    </w:p>
    <w:p w:rsidR="00AE50BA" w:rsidRPr="00237A2C" w:rsidRDefault="00AE50BA">
      <w:pPr>
        <w:pStyle w:val="Normaltindrag"/>
      </w:pPr>
      <w:r w:rsidRPr="00237A2C">
        <w:t>Vidare finns det "endnu uafklarede, men umiskendelige tegn på, at cen</w:t>
      </w:r>
      <w:r w:rsidRPr="00237A2C">
        <w:t>t</w:t>
      </w:r>
      <w:r w:rsidRPr="00237A2C">
        <w:t>ral</w:t>
      </w:r>
      <w:r w:rsidRPr="00237A2C">
        <w:softHyphen/>
        <w:t>admi</w:t>
      </w:r>
      <w:r w:rsidRPr="00237A2C">
        <w:softHyphen/>
        <w:t>ni</w:t>
      </w:r>
      <w:r w:rsidRPr="00237A2C">
        <w:softHyphen/>
        <w:t>stra</w:t>
      </w:r>
      <w:r w:rsidRPr="00237A2C">
        <w:softHyphen/>
        <w:t>tio</w:t>
      </w:r>
      <w:r w:rsidRPr="00237A2C">
        <w:softHyphen/>
        <w:t xml:space="preserve">nens </w:t>
      </w:r>
      <w:r w:rsidRPr="00237A2C">
        <w:rPr>
          <w:i/>
        </w:rPr>
        <w:t>direktorater</w:t>
      </w:r>
      <w:r w:rsidRPr="00237A2C">
        <w:t xml:space="preserve"> (ämbets</w:t>
      </w:r>
      <w:r w:rsidRPr="00237A2C">
        <w:softHyphen/>
        <w:t>verk/min anmärk</w:t>
      </w:r>
      <w:r w:rsidRPr="00237A2C">
        <w:softHyphen/>
      </w:r>
      <w:r w:rsidRPr="00237A2C">
        <w:softHyphen/>
      </w:r>
      <w:r w:rsidRPr="00237A2C">
        <w:softHyphen/>
        <w:t>ning) i et vist o</w:t>
      </w:r>
      <w:r w:rsidRPr="00237A2C">
        <w:t>m</w:t>
      </w:r>
      <w:r w:rsidRPr="00237A2C">
        <w:t>fang unddr</w:t>
      </w:r>
      <w:r w:rsidRPr="00237A2C">
        <w:softHyphen/>
        <w:t>ages ministerens styring".</w:t>
      </w:r>
      <w:r w:rsidRPr="00237A2C">
        <w:rPr>
          <w:rStyle w:val="Fotnotsreferens"/>
        </w:rPr>
        <w:footnoteReference w:id="153"/>
      </w:r>
      <w:r w:rsidRPr="00237A2C">
        <w:t xml:space="preserve"> Sådana direktorat har sedan 1960-talets början inrättats inom de flesta sektorer för att avgöra enskilda ärenden. Direktoraten har klara likheter med de svenska ämbets</w:t>
      </w:r>
      <w:r w:rsidRPr="00237A2C">
        <w:softHyphen/>
        <w:t>verken. Men den a</w:t>
      </w:r>
      <w:r w:rsidRPr="00237A2C">
        <w:t>v</w:t>
      </w:r>
      <w:r w:rsidRPr="00237A2C">
        <w:t>gör</w:t>
      </w:r>
      <w:r w:rsidRPr="00237A2C">
        <w:softHyphen/>
        <w:t>an</w:t>
      </w:r>
      <w:r w:rsidRPr="00237A2C">
        <w:softHyphen/>
        <w:t>de skillnaden är att de inte är självstän</w:t>
      </w:r>
      <w:r w:rsidRPr="00237A2C">
        <w:softHyphen/>
        <w:t>diga, utan att minister</w:t>
      </w:r>
      <w:r w:rsidRPr="00237A2C">
        <w:softHyphen/>
      </w:r>
      <w:r w:rsidRPr="00237A2C">
        <w:softHyphen/>
      </w:r>
      <w:r w:rsidRPr="00237A2C">
        <w:softHyphen/>
      </w:r>
      <w:r w:rsidRPr="00237A2C">
        <w:softHyphen/>
        <w:t>sty</w:t>
      </w:r>
      <w:r w:rsidRPr="00237A2C">
        <w:softHyphen/>
        <w:t>relse är tillå</w:t>
      </w:r>
      <w:r w:rsidRPr="00237A2C">
        <w:softHyphen/>
        <w:t>ten.</w:t>
      </w:r>
      <w:r w:rsidRPr="00237A2C">
        <w:rPr>
          <w:rStyle w:val="Fotnotsreferens"/>
        </w:rPr>
        <w:footnoteReference w:id="154"/>
      </w:r>
      <w:r w:rsidRPr="00237A2C">
        <w:t xml:space="preserve"> Under en tid var denna organisa</w:t>
      </w:r>
      <w:r w:rsidRPr="00237A2C">
        <w:softHyphen/>
        <w:t>tions</w:t>
      </w:r>
      <w:r w:rsidRPr="00237A2C">
        <w:softHyphen/>
        <w:t>modell med departement och direktorat den helt dominerande tankefiguren för central</w:t>
      </w:r>
      <w:r w:rsidRPr="00237A2C">
        <w:softHyphen/>
        <w:t>för</w:t>
      </w:r>
      <w:r w:rsidRPr="00237A2C">
        <w:softHyphen/>
        <w:t>valt</w:t>
      </w:r>
      <w:r w:rsidRPr="00237A2C">
        <w:softHyphen/>
        <w:t>ning</w:t>
      </w:r>
      <w:r w:rsidRPr="00237A2C">
        <w:softHyphen/>
        <w:t>ens org</w:t>
      </w:r>
      <w:r w:rsidRPr="00237A2C">
        <w:t>a</w:t>
      </w:r>
      <w:r w:rsidRPr="00237A2C">
        <w:t>ni</w:t>
      </w:r>
      <w:r w:rsidRPr="00237A2C">
        <w:softHyphen/>
        <w:t>sation (både i Danmark och Norge). Depar</w:t>
      </w:r>
      <w:r w:rsidRPr="00237A2C">
        <w:softHyphen/>
        <w:t>tementet skulle vara ministerns sekre</w:t>
      </w:r>
      <w:r w:rsidRPr="00237A2C">
        <w:softHyphen/>
      </w:r>
      <w:r w:rsidRPr="00237A2C">
        <w:softHyphen/>
        <w:t>ta</w:t>
      </w:r>
      <w:r w:rsidRPr="00237A2C">
        <w:softHyphen/>
        <w:t>ri</w:t>
      </w:r>
      <w:r w:rsidRPr="00237A2C">
        <w:softHyphen/>
        <w:t>at och hantera de mer politiska frågorna (som planlägg</w:t>
      </w:r>
      <w:r w:rsidRPr="00237A2C">
        <w:softHyphen/>
        <w:t>ning, koordi</w:t>
      </w:r>
      <w:r w:rsidRPr="00237A2C">
        <w:softHyphen/>
      </w:r>
      <w:r w:rsidRPr="00237A2C">
        <w:softHyphen/>
      </w:r>
      <w:r w:rsidRPr="00237A2C">
        <w:softHyphen/>
        <w:t>nation, besvärs</w:t>
      </w:r>
      <w:r w:rsidRPr="00237A2C">
        <w:softHyphen/>
      </w:r>
      <w:r w:rsidRPr="00237A2C">
        <w:softHyphen/>
      </w:r>
      <w:r w:rsidRPr="00237A2C">
        <w:softHyphen/>
        <w:t>frågor) medan direkto</w:t>
      </w:r>
      <w:r w:rsidRPr="00237A2C">
        <w:softHyphen/>
        <w:t>raten skulle handha den löpan</w:t>
      </w:r>
      <w:r w:rsidRPr="00237A2C">
        <w:softHyphen/>
        <w:t>de äre</w:t>
      </w:r>
      <w:r w:rsidRPr="00237A2C">
        <w:t>n</w:t>
      </w:r>
      <w:r w:rsidRPr="00237A2C">
        <w:t>debe</w:t>
      </w:r>
      <w:r w:rsidRPr="00237A2C">
        <w:softHyphen/>
        <w:t>handlingen. Därige</w:t>
      </w:r>
      <w:r w:rsidRPr="00237A2C">
        <w:softHyphen/>
        <w:t>nom skulle en rationell arbets</w:t>
      </w:r>
      <w:r w:rsidRPr="00237A2C">
        <w:softHyphen/>
        <w:t>delning åstad</w:t>
      </w:r>
      <w:r w:rsidRPr="00237A2C">
        <w:softHyphen/>
        <w:t>kom</w:t>
      </w:r>
      <w:r w:rsidRPr="00237A2C">
        <w:softHyphen/>
        <w:t>mas och ministern befrias från den löpande ärende</w:t>
      </w:r>
      <w:r w:rsidRPr="00237A2C">
        <w:softHyphen/>
        <w:t>han</w:t>
      </w:r>
      <w:r w:rsidRPr="00237A2C">
        <w:softHyphen/>
        <w:t>teri</w:t>
      </w:r>
      <w:r w:rsidRPr="00237A2C">
        <w:t>ngen. (Observera likh</w:t>
      </w:r>
      <w:r w:rsidRPr="00237A2C">
        <w:t>e</w:t>
      </w:r>
      <w:r w:rsidRPr="00237A2C">
        <w:t>terna med hur den tudelade svenska central</w:t>
      </w:r>
      <w:r w:rsidRPr="00237A2C">
        <w:softHyphen/>
        <w:t>förvalt</w:t>
      </w:r>
      <w:r w:rsidRPr="00237A2C">
        <w:softHyphen/>
        <w:t>ning</w:t>
      </w:r>
      <w:r w:rsidRPr="00237A2C">
        <w:softHyphen/>
        <w:t>en beskrivs.)</w:t>
      </w:r>
    </w:p>
    <w:p w:rsidR="00AE50BA" w:rsidRPr="00237A2C" w:rsidRDefault="00AE50BA">
      <w:pPr>
        <w:pStyle w:val="Normaltindrag"/>
      </w:pPr>
      <w:r w:rsidRPr="00237A2C">
        <w:t>Som framgår ovan finns något paradoxalt över direktoratens verksam</w:t>
      </w:r>
      <w:r w:rsidRPr="00237A2C">
        <w:softHyphen/>
        <w:t xml:space="preserve">het. De har tillkommit för att avlasta ministeriet och alltså att fatta beslut utan dess direkta inblandning, men ändå är ministern ansvarig för deras beslut och agerande. Till mycket stor del är det uteslutande </w:t>
      </w:r>
      <w:r w:rsidRPr="00237A2C">
        <w:sym w:font="Symbol" w:char="F02D"/>
      </w:r>
      <w:r w:rsidRPr="00237A2C">
        <w:t xml:space="preserve"> en ofta obestämd och vacklande </w:t>
      </w:r>
      <w:r w:rsidRPr="00237A2C">
        <w:sym w:font="Symbol" w:char="F02D"/>
      </w:r>
      <w:r w:rsidRPr="00237A2C">
        <w:t xml:space="preserve"> praxis som avgör huruvida direktoraten skall hänskju</w:t>
      </w:r>
      <w:r w:rsidRPr="00237A2C">
        <w:softHyphen/>
        <w:t>ta ett äre</w:t>
      </w:r>
      <w:r w:rsidRPr="00237A2C">
        <w:t>n</w:t>
      </w:r>
      <w:r w:rsidRPr="00237A2C">
        <w:t>de till ministe</w:t>
      </w:r>
      <w:r w:rsidRPr="00237A2C">
        <w:softHyphen/>
        <w:t>riet eller inte.</w:t>
      </w:r>
      <w:r w:rsidRPr="00237A2C">
        <w:rPr>
          <w:rStyle w:val="Fotnotsreferens"/>
        </w:rPr>
        <w:footnoteReference w:id="155"/>
      </w:r>
    </w:p>
    <w:p w:rsidR="00AE50BA" w:rsidRPr="00237A2C" w:rsidRDefault="00AE50BA">
      <w:pPr>
        <w:pStyle w:val="Normaltindrag"/>
      </w:pPr>
      <w:r w:rsidRPr="00237A2C">
        <w:t>Den kanske allra viktigaste begränsningen är slutligen den grund</w:t>
      </w:r>
      <w:r w:rsidRPr="00237A2C">
        <w:softHyphen/>
        <w:t>lags</w:t>
      </w:r>
      <w:r w:rsidRPr="00237A2C">
        <w:softHyphen/>
      </w:r>
      <w:r w:rsidRPr="00237A2C">
        <w:softHyphen/>
        <w:t xml:space="preserve">fästa </w:t>
      </w:r>
      <w:r w:rsidRPr="00237A2C">
        <w:rPr>
          <w:i/>
        </w:rPr>
        <w:t>kommunala självständigheten</w:t>
      </w:r>
      <w:r w:rsidRPr="00237A2C">
        <w:t>. Kommunala beslut kan inte överkla</w:t>
      </w:r>
      <w:r w:rsidRPr="00237A2C">
        <w:softHyphen/>
        <w:t>gas till ministern om inte rätt till detta fastslagits i lagstift</w:t>
      </w:r>
      <w:r w:rsidRPr="00237A2C">
        <w:softHyphen/>
        <w:t>ning</w:t>
      </w:r>
      <w:r w:rsidRPr="00237A2C">
        <w:softHyphen/>
        <w:t>en.</w:t>
      </w:r>
      <w:r w:rsidRPr="00237A2C">
        <w:rPr>
          <w:rStyle w:val="Fotnotsreferens"/>
        </w:rPr>
        <w:footnoteReference w:id="156"/>
      </w:r>
      <w:r w:rsidRPr="00237A2C">
        <w:t xml:space="preserve"> I Danmark, liksom i Sverige, har allt fler uppgifter decen</w:t>
      </w:r>
      <w:r w:rsidRPr="00237A2C">
        <w:softHyphen/>
        <w:t>traliserats till kommu</w:t>
      </w:r>
      <w:r w:rsidRPr="00237A2C">
        <w:softHyphen/>
        <w:t>nerna. En kvalificerad bedömning, utan syste</w:t>
      </w:r>
      <w:r w:rsidRPr="00237A2C">
        <w:softHyphen/>
        <w:t>ma</w:t>
      </w:r>
      <w:r w:rsidRPr="00237A2C">
        <w:softHyphen/>
        <w:t>tiskt insamlat empiriskt under</w:t>
      </w:r>
      <w:r w:rsidRPr="00237A2C">
        <w:softHyphen/>
      </w:r>
      <w:r w:rsidRPr="00237A2C">
        <w:softHyphen/>
        <w:t>lag, är vidare att den danska kommu</w:t>
      </w:r>
      <w:r w:rsidRPr="00237A2C">
        <w:softHyphen/>
        <w:t>nala tjänste</w:t>
      </w:r>
      <w:r w:rsidRPr="00237A2C">
        <w:softHyphen/>
        <w:t>pro</w:t>
      </w:r>
      <w:r w:rsidRPr="00237A2C">
        <w:softHyphen/>
        <w:t>duk</w:t>
      </w:r>
      <w:r w:rsidRPr="00237A2C">
        <w:softHyphen/>
        <w:t>tionen generellt sett är min</w:t>
      </w:r>
      <w:r w:rsidRPr="00237A2C">
        <w:t>d</w:t>
      </w:r>
      <w:r w:rsidRPr="00237A2C">
        <w:t>re statligt styrd än den svenska.</w:t>
      </w:r>
      <w:r w:rsidRPr="00237A2C">
        <w:rPr>
          <w:rStyle w:val="Fotnotsreferens"/>
        </w:rPr>
        <w:footnoteReference w:id="157"/>
      </w:r>
    </w:p>
    <w:p w:rsidR="00AE50BA" w:rsidRPr="00237A2C" w:rsidRDefault="00AE50BA">
      <w:pPr>
        <w:pStyle w:val="Normaltindrag"/>
      </w:pPr>
      <w:r w:rsidRPr="00237A2C">
        <w:t>Danska (och norska) ämbetsmän är med en inter</w:t>
      </w:r>
      <w:r w:rsidRPr="00237A2C">
        <w:softHyphen/>
        <w:t>na</w:t>
      </w:r>
      <w:r w:rsidRPr="00237A2C">
        <w:softHyphen/>
        <w:t>tio</w:t>
      </w:r>
      <w:r w:rsidRPr="00237A2C">
        <w:softHyphen/>
        <w:t>nell måttstock påfa</w:t>
      </w:r>
      <w:r w:rsidRPr="00237A2C">
        <w:t>l</w:t>
      </w:r>
      <w:r w:rsidRPr="00237A2C">
        <w:t>lande återhållsamma i förhål</w:t>
      </w:r>
      <w:r w:rsidRPr="00237A2C">
        <w:softHyphen/>
      </w:r>
      <w:r w:rsidRPr="00237A2C">
        <w:softHyphen/>
        <w:t>lande till offentligheten. Uttalanden till media ges av de tjänstemän som givits sådant uppdrag av statsrådet. Efter</w:t>
      </w:r>
      <w:r w:rsidRPr="00237A2C">
        <w:softHyphen/>
        <w:t>som stat</w:t>
      </w:r>
      <w:r w:rsidRPr="00237A2C">
        <w:t>s</w:t>
      </w:r>
      <w:r w:rsidRPr="00237A2C">
        <w:t>råden utåt bär det fulla ansvaret för ministeriernas ageran</w:t>
      </w:r>
      <w:r w:rsidRPr="00237A2C">
        <w:softHyphen/>
        <w:t>de och inte kan skylla på tjänste</w:t>
      </w:r>
      <w:r w:rsidRPr="00237A2C">
        <w:softHyphen/>
        <w:t>män</w:t>
      </w:r>
      <w:r w:rsidRPr="00237A2C">
        <w:softHyphen/>
        <w:t>nen när beslut möter kritik bör inte tjänstemännen de</w:t>
      </w:r>
      <w:r w:rsidRPr="00237A2C">
        <w:t>s</w:t>
      </w:r>
      <w:r w:rsidRPr="00237A2C">
        <w:t>avou</w:t>
      </w:r>
      <w:r w:rsidRPr="00237A2C">
        <w:softHyphen/>
        <w:t>era sitt stats</w:t>
      </w:r>
      <w:r w:rsidRPr="00237A2C">
        <w:softHyphen/>
        <w:t>råd.</w:t>
      </w:r>
      <w:r w:rsidRPr="00237A2C">
        <w:rPr>
          <w:rStyle w:val="Fotnotsreferens"/>
        </w:rPr>
        <w:footnoteReference w:id="158"/>
      </w:r>
    </w:p>
    <w:p w:rsidR="00AE50BA" w:rsidRPr="00237A2C" w:rsidRDefault="00AE50BA">
      <w:pPr>
        <w:pStyle w:val="Rubrik3"/>
      </w:pPr>
      <w:bookmarkStart w:id="346" w:name="_Toc509711260"/>
      <w:bookmarkStart w:id="347" w:name="_Toc509738082"/>
      <w:bookmarkStart w:id="348" w:name="_Toc516991701"/>
      <w:r w:rsidRPr="00237A2C">
        <w:t>Norge</w:t>
      </w:r>
      <w:bookmarkEnd w:id="346"/>
      <w:bookmarkEnd w:id="347"/>
      <w:bookmarkEnd w:id="348"/>
    </w:p>
    <w:p w:rsidR="00AE50BA" w:rsidRPr="00237A2C" w:rsidRDefault="00AE50BA">
      <w:r w:rsidRPr="00237A2C">
        <w:t>Norge skiljer sig från Danmark i vissa avseenden. Men huvudsakligen är lagstiftning och praxis väldigt lika, vilket väl bland annat har historiska ors</w:t>
      </w:r>
      <w:r w:rsidRPr="00237A2C">
        <w:t>a</w:t>
      </w:r>
      <w:r w:rsidRPr="00237A2C">
        <w:t>ker.</w:t>
      </w:r>
      <w:r w:rsidRPr="00237A2C">
        <w:rPr>
          <w:rStyle w:val="Fotnotsreferens"/>
        </w:rPr>
        <w:footnoteReference w:id="159"/>
      </w:r>
      <w:r w:rsidRPr="00237A2C">
        <w:t xml:space="preserve"> Liksom i Danmark har ministern (och på dennes vägnar depar</w:t>
      </w:r>
      <w:r w:rsidRPr="00237A2C">
        <w:softHyphen/>
        <w:t>te</w:t>
      </w:r>
      <w:r w:rsidRPr="00237A2C">
        <w:softHyphen/>
        <w:t>men</w:t>
      </w:r>
      <w:r w:rsidRPr="00237A2C">
        <w:softHyphen/>
      </w:r>
      <w:r w:rsidRPr="00237A2C">
        <w:softHyphen/>
        <w:t>tet) rätt att kontrollera och instruera underliggande förvaltningsor</w:t>
      </w:r>
      <w:r w:rsidRPr="00237A2C">
        <w:softHyphen/>
        <w:t>gan och att omprö</w:t>
      </w:r>
      <w:r w:rsidRPr="00237A2C">
        <w:softHyphen/>
      </w:r>
      <w:r w:rsidRPr="00237A2C">
        <w:softHyphen/>
        <w:t xml:space="preserve">va beslut </w:t>
      </w:r>
      <w:r w:rsidRPr="00237A2C">
        <w:sym w:font="Symbol" w:char="F02D"/>
      </w:r>
      <w:r w:rsidRPr="00237A2C">
        <w:t xml:space="preserve"> också i enskilda förvaltningsärenden </w:t>
      </w:r>
      <w:r w:rsidRPr="00237A2C">
        <w:sym w:font="Symbol" w:char="F02D"/>
      </w:r>
      <w:r w:rsidRPr="00237A2C">
        <w:t xml:space="preserve"> som dessa har trä</w:t>
      </w:r>
      <w:r w:rsidRPr="00237A2C">
        <w:t>f</w:t>
      </w:r>
      <w:r w:rsidRPr="00237A2C">
        <w:t>fat. Förvalt</w:t>
      </w:r>
      <w:r w:rsidRPr="00237A2C">
        <w:softHyphen/>
        <w:t>nings</w:t>
      </w:r>
      <w:r w:rsidRPr="00237A2C">
        <w:softHyphen/>
        <w:t>dom</w:t>
      </w:r>
      <w:r w:rsidRPr="00237A2C">
        <w:softHyphen/>
        <w:t>stolar saknas. Också i Norge har dock kommunerna en grund</w:t>
      </w:r>
      <w:r w:rsidRPr="00237A2C">
        <w:softHyphen/>
        <w:t>lagsfäst självständighet, varför principen om minister</w:t>
      </w:r>
      <w:r w:rsidRPr="00237A2C">
        <w:softHyphen/>
        <w:t>styre inte gäller dem. Vidare finns också här exempel på besvärs</w:t>
      </w:r>
      <w:r w:rsidRPr="00237A2C">
        <w:softHyphen/>
        <w:t>nämnder (</w:t>
      </w:r>
      <w:r w:rsidRPr="00237A2C">
        <w:rPr>
          <w:i/>
        </w:rPr>
        <w:t>ankeutvalg</w:t>
      </w:r>
      <w:r w:rsidRPr="00237A2C">
        <w:t>), vars beslut inte kan omprövas av ministeriet och vilkas raison d</w:t>
      </w:r>
      <w:r w:rsidRPr="00237A2C">
        <w:t>'être i själva ve</w:t>
      </w:r>
      <w:r w:rsidRPr="00237A2C">
        <w:t>r</w:t>
      </w:r>
      <w:r w:rsidRPr="00237A2C">
        <w:t>ket är att avlasta ministe</w:t>
      </w:r>
      <w:r w:rsidRPr="00237A2C">
        <w:softHyphen/>
        <w:t>riet besvärs</w:t>
      </w:r>
      <w:r w:rsidRPr="00237A2C">
        <w:softHyphen/>
        <w:t xml:space="preserve">ärenden. </w:t>
      </w:r>
    </w:p>
    <w:p w:rsidR="00AE50BA" w:rsidRPr="00237A2C" w:rsidRDefault="00AE50BA">
      <w:pPr>
        <w:pStyle w:val="Normaltindrag"/>
      </w:pPr>
      <w:r w:rsidRPr="00237A2C">
        <w:t xml:space="preserve">Beträffande ämbetsverken </w:t>
      </w:r>
      <w:r w:rsidRPr="00237A2C">
        <w:sym w:font="Symbol" w:char="F02D"/>
      </w:r>
      <w:r w:rsidRPr="00237A2C">
        <w:t xml:space="preserve"> de så kallade direkto</w:t>
      </w:r>
      <w:r w:rsidRPr="00237A2C">
        <w:softHyphen/>
        <w:t xml:space="preserve">raten </w:t>
      </w:r>
      <w:r w:rsidRPr="00237A2C">
        <w:sym w:font="Symbol" w:char="F02D"/>
      </w:r>
      <w:r w:rsidRPr="00237A2C">
        <w:t xml:space="preserve"> finns dock en viktig skillnad mellan Danmark och Norge. I Norge träffar direktoraten beslut i eget namn </w:t>
      </w:r>
      <w:r w:rsidRPr="00237A2C">
        <w:sym w:font="Symbol" w:char="F02D"/>
      </w:r>
      <w:r w:rsidRPr="00237A2C">
        <w:t xml:space="preserve"> ej på ministerns vägnar </w:t>
      </w:r>
      <w:r w:rsidRPr="00237A2C">
        <w:sym w:font="Symbol" w:char="F02D"/>
      </w:r>
      <w:r w:rsidRPr="00237A2C">
        <w:t xml:space="preserve"> varför inget hindrar att stat</w:t>
      </w:r>
      <w:r w:rsidRPr="00237A2C">
        <w:t>s</w:t>
      </w:r>
      <w:r w:rsidRPr="00237A2C">
        <w:t>rådet hänvisar till att ett beslut är fattat av ett direktorat.</w:t>
      </w:r>
      <w:r w:rsidRPr="00237A2C">
        <w:rPr>
          <w:rStyle w:val="Fotnotsreferens"/>
        </w:rPr>
        <w:footnoteReference w:id="160"/>
      </w:r>
      <w:r w:rsidRPr="00237A2C">
        <w:t xml:space="preserve"> En annan skillnad mellan Danmark och Norge är att regeringen i Norge - </w:t>
      </w:r>
      <w:r w:rsidRPr="00237A2C">
        <w:rPr>
          <w:i/>
        </w:rPr>
        <w:t>Kongen i statsråd</w:t>
      </w:r>
      <w:r w:rsidRPr="00237A2C">
        <w:t xml:space="preserve"> - är det högsta förvaltningsorganet. Regering</w:t>
      </w:r>
      <w:r w:rsidRPr="00237A2C">
        <w:softHyphen/>
        <w:t>en är också fortfar</w:t>
      </w:r>
      <w:r w:rsidRPr="00237A2C">
        <w:softHyphen/>
        <w:t>an</w:t>
      </w:r>
      <w:r w:rsidRPr="00237A2C">
        <w:softHyphen/>
        <w:t>de sista b</w:t>
      </w:r>
      <w:r w:rsidRPr="00237A2C">
        <w:t>e</w:t>
      </w:r>
      <w:r w:rsidRPr="00237A2C">
        <w:t>svärs</w:t>
      </w:r>
      <w:r w:rsidRPr="00237A2C">
        <w:softHyphen/>
        <w:t>in</w:t>
      </w:r>
      <w:r w:rsidRPr="00237A2C">
        <w:softHyphen/>
        <w:t>stans i vissa frågor. Många beslut fattas således av regeringen som kollektiv. Ärendena föredras av den ansva</w:t>
      </w:r>
      <w:r w:rsidRPr="00237A2C">
        <w:softHyphen/>
        <w:t>rige ministern. På detta sätt fattas beslut angående förvalt</w:t>
      </w:r>
      <w:r w:rsidRPr="00237A2C">
        <w:softHyphen/>
        <w:t>nings</w:t>
      </w:r>
      <w:r w:rsidRPr="00237A2C">
        <w:softHyphen/>
      </w:r>
      <w:r w:rsidRPr="00237A2C">
        <w:softHyphen/>
        <w:t>ärenden som utnäm</w:t>
      </w:r>
      <w:r w:rsidRPr="00237A2C">
        <w:softHyphen/>
        <w:t>ning</w:t>
      </w:r>
      <w:r w:rsidRPr="00237A2C">
        <w:softHyphen/>
        <w:t>ar och benåd</w:t>
      </w:r>
      <w:r w:rsidRPr="00237A2C">
        <w:softHyphen/>
        <w:t>ning</w:t>
      </w:r>
      <w:r w:rsidRPr="00237A2C">
        <w:softHyphen/>
        <w:t>ar.</w:t>
      </w:r>
      <w:r w:rsidRPr="00237A2C">
        <w:rPr>
          <w:rStyle w:val="Fotnotsreferens"/>
        </w:rPr>
        <w:footnoteReference w:id="161"/>
      </w:r>
    </w:p>
    <w:p w:rsidR="00AE50BA" w:rsidRPr="00237A2C" w:rsidRDefault="00AE50BA">
      <w:pPr>
        <w:pStyle w:val="Rubrik3"/>
      </w:pPr>
      <w:bookmarkStart w:id="349" w:name="_Toc509711261"/>
      <w:bookmarkStart w:id="350" w:name="_Toc509738083"/>
      <w:bookmarkStart w:id="351" w:name="_Toc516991702"/>
      <w:r w:rsidRPr="00237A2C">
        <w:t>Ansvarsutkrävande</w:t>
      </w:r>
      <w:bookmarkEnd w:id="349"/>
      <w:bookmarkEnd w:id="350"/>
      <w:bookmarkEnd w:id="351"/>
    </w:p>
    <w:p w:rsidR="00AE50BA" w:rsidRPr="00237A2C" w:rsidRDefault="00AE50BA">
      <w:r w:rsidRPr="00237A2C">
        <w:t>Ministern är i både Danmark och Norge dels politiskt ansvarig för sina handlingar, dels också rättsligt ansvarig. Ofta hävdas det att denne är ansv</w:t>
      </w:r>
      <w:r w:rsidRPr="00237A2C">
        <w:t>a</w:t>
      </w:r>
      <w:r w:rsidRPr="00237A2C">
        <w:t>rig för allt som sker i ministeriet. Detta är delvis riktigt; ministern är skyldig att ”redogöra för ministeriets handlande” i parlamentet. En minister har en plikt att svara på frågor angående sin administration, också om frågorna berör förhållanden som ministern inte personligen har haft något att göra med eller ens har haft kännedom om. Men detta är en sak. Något annat är vad det kan utkrävas ett rättsligt ansvar för och hur det parlamentariska ansvars</w:t>
      </w:r>
      <w:r w:rsidRPr="00237A2C">
        <w:softHyphen/>
        <w:t>utkräv</w:t>
      </w:r>
      <w:r w:rsidRPr="00237A2C">
        <w:softHyphen/>
        <w:t>andet fungerar i praktiken.</w:t>
      </w:r>
    </w:p>
    <w:p w:rsidR="00AE50BA" w:rsidRPr="00237A2C" w:rsidRDefault="00AE50BA">
      <w:pPr>
        <w:pStyle w:val="Normaltindrag"/>
      </w:pPr>
      <w:r w:rsidRPr="00237A2C">
        <w:t>Genom de många s</w:t>
      </w:r>
      <w:r w:rsidRPr="00237A2C">
        <w:t>kandalerna de senaste 15 åren har dessa frågor varit högt uppe på den danska politiska agendan. Medan debattens vågor har gått höga i Danmark har det, så vitt jag har kunnat finna, varit stiltje i Norge. Det norska minister</w:t>
      </w:r>
      <w:r w:rsidRPr="00237A2C">
        <w:softHyphen/>
        <w:t>ansva</w:t>
      </w:r>
      <w:r w:rsidRPr="00237A2C">
        <w:softHyphen/>
        <w:t>rets gränser har inte aktualiserats på samma sätt som i Danmark och praxis är således något oklar. Inte sedan 1963 har ett norskt statsråd avgått på grund av ett misstroendevotum. Nedan kommer jag därför uteslutande att diskutera de danska erfaren</w:t>
      </w:r>
      <w:r w:rsidRPr="00237A2C">
        <w:softHyphen/>
        <w:t>het</w:t>
      </w:r>
      <w:r w:rsidRPr="00237A2C">
        <w:softHyphen/>
        <w:t>er</w:t>
      </w:r>
      <w:r w:rsidRPr="00237A2C">
        <w:softHyphen/>
        <w:t>na.</w:t>
      </w:r>
      <w:r w:rsidRPr="00237A2C">
        <w:rPr>
          <w:rStyle w:val="Fotnotsreferens"/>
        </w:rPr>
        <w:footnoteReference w:id="162"/>
      </w:r>
    </w:p>
    <w:p w:rsidR="00AE50BA" w:rsidRPr="00237A2C" w:rsidRDefault="00AE50BA">
      <w:pPr>
        <w:pStyle w:val="Normaltindrag"/>
      </w:pPr>
      <w:r w:rsidRPr="00237A2C">
        <w:t>Christensen polemiserar starkt mot föreställningen om en tidigare parl</w:t>
      </w:r>
      <w:r w:rsidRPr="00237A2C">
        <w:t>a</w:t>
      </w:r>
      <w:r w:rsidRPr="00237A2C">
        <w:t>mentarisk guldålder ”hvor det politiske ansvar var effektivt, og ministre rask væk blev fjernet af Folketinget fra deres poster, når der dukkede tvivlsomme sager op...”.</w:t>
      </w:r>
      <w:r w:rsidRPr="00237A2C">
        <w:rPr>
          <w:rStyle w:val="Fotnotsreferens"/>
        </w:rPr>
        <w:footnoteReference w:id="163"/>
      </w:r>
      <w:r w:rsidRPr="00237A2C">
        <w:t xml:space="preserve"> Sedan parla</w:t>
      </w:r>
      <w:r w:rsidRPr="00237A2C">
        <w:softHyphen/>
        <w:t>men</w:t>
      </w:r>
      <w:r w:rsidRPr="00237A2C">
        <w:softHyphen/>
        <w:t>ta</w:t>
      </w:r>
      <w:r w:rsidRPr="00237A2C">
        <w:softHyphen/>
        <w:t>rismen infördes i Danmark 1901 har Folk</w:t>
      </w:r>
      <w:r w:rsidRPr="00237A2C">
        <w:t>e</w:t>
      </w:r>
      <w:r w:rsidRPr="00237A2C">
        <w:t>tinget inte genom misstro</w:t>
      </w:r>
      <w:r w:rsidRPr="00237A2C">
        <w:softHyphen/>
        <w:t>en</w:t>
      </w:r>
      <w:r w:rsidRPr="00237A2C">
        <w:softHyphen/>
        <w:t>de</w:t>
      </w:r>
      <w:r w:rsidRPr="00237A2C">
        <w:softHyphen/>
        <w:t xml:space="preserve">votum tvingat </w:t>
      </w:r>
      <w:r w:rsidRPr="00237A2C">
        <w:rPr>
          <w:i/>
        </w:rPr>
        <w:t>någon enda</w:t>
      </w:r>
      <w:r w:rsidRPr="00237A2C">
        <w:t xml:space="preserve"> enskild minister att avgå. Anteciperade avgång</w:t>
      </w:r>
      <w:r w:rsidRPr="00237A2C">
        <w:softHyphen/>
        <w:t>ar, när statsråd ”frivilligt” avgått och föregått parlamentets ageran</w:t>
      </w:r>
      <w:r w:rsidRPr="00237A2C">
        <w:softHyphen/>
        <w:t>de, är svårare att räkna, men inte heller de har varit va</w:t>
      </w:r>
      <w:r w:rsidRPr="00237A2C">
        <w:t>n</w:t>
      </w:r>
      <w:r w:rsidRPr="00237A2C">
        <w:t>liga enligt Christensen.</w:t>
      </w:r>
    </w:p>
    <w:p w:rsidR="00AE50BA" w:rsidRPr="00237A2C" w:rsidRDefault="00AE50BA">
      <w:pPr>
        <w:pStyle w:val="Normaltindrag"/>
      </w:pPr>
      <w:r w:rsidRPr="00237A2C">
        <w:t>Justitie</w:t>
      </w:r>
      <w:r w:rsidRPr="00237A2C">
        <w:softHyphen/>
        <w:t xml:space="preserve">minister Ninn Hansens och så småningom statsminister Schlüters avgångar i kölvattnet på Tamilaffären är dock </w:t>
      </w:r>
      <w:r w:rsidRPr="00237A2C">
        <w:sym w:font="Symbol" w:char="F02D"/>
      </w:r>
      <w:r w:rsidRPr="00237A2C">
        <w:t xml:space="preserve"> synnerligen spekta</w:t>
      </w:r>
      <w:r w:rsidRPr="00237A2C">
        <w:softHyphen/>
        <w:t xml:space="preserve">kulära </w:t>
      </w:r>
      <w:r w:rsidRPr="00237A2C">
        <w:sym w:font="Symbol" w:char="F02D"/>
      </w:r>
      <w:r w:rsidRPr="00237A2C">
        <w:t xml:space="preserve"> exempel på sådana anteciperade avgångar. En borgerlig skatte- och ekonomi</w:t>
      </w:r>
      <w:r w:rsidRPr="00237A2C">
        <w:softHyphen/>
        <w:t>mini</w:t>
      </w:r>
      <w:r w:rsidRPr="00237A2C">
        <w:softHyphen/>
        <w:t>sters avgång 1992 är ett annat. Men i övrigt anser Christen</w:t>
      </w:r>
      <w:r w:rsidRPr="00237A2C">
        <w:softHyphen/>
      </w:r>
      <w:r w:rsidRPr="00237A2C">
        <w:softHyphen/>
      </w:r>
      <w:r w:rsidRPr="00237A2C">
        <w:softHyphen/>
        <w:t>sen att det är tveksamt om Folketinget hade kunnat samlas omkring ett misstro</w:t>
      </w:r>
      <w:r w:rsidRPr="00237A2C">
        <w:softHyphen/>
        <w:t>en</w:t>
      </w:r>
      <w:r w:rsidRPr="00237A2C">
        <w:softHyphen/>
        <w:t>de</w:t>
      </w:r>
      <w:r w:rsidRPr="00237A2C">
        <w:softHyphen/>
        <w:t>vo</w:t>
      </w:r>
      <w:r w:rsidRPr="00237A2C">
        <w:softHyphen/>
        <w:t>tum. Vanligare är att ministrar avgår på grund av den belastning de kommit att utgöra för regeringen.</w:t>
      </w:r>
      <w:r w:rsidRPr="00237A2C">
        <w:rPr>
          <w:rStyle w:val="Fotnotsreferens"/>
        </w:rPr>
        <w:footnoteReference w:id="164"/>
      </w:r>
      <w:r w:rsidRPr="00237A2C">
        <w:t xml:space="preserve"> (Här kan man argumentera för att likheterna är stora med till exempel statsråden Sahlins, Rainers, Leijons, Freiwalds och möjl</w:t>
      </w:r>
      <w:r w:rsidRPr="00237A2C">
        <w:t>i</w:t>
      </w:r>
      <w:r w:rsidRPr="00237A2C">
        <w:t>gen Wickboms avgång</w:t>
      </w:r>
      <w:r w:rsidRPr="00237A2C">
        <w:softHyphen/>
        <w:t>ar i Sverige.)</w:t>
      </w:r>
    </w:p>
    <w:p w:rsidR="00AE50BA" w:rsidRPr="00237A2C" w:rsidRDefault="00AE50BA">
      <w:pPr>
        <w:pStyle w:val="Normaltindrag"/>
      </w:pPr>
      <w:r w:rsidRPr="00237A2C">
        <w:t>I princip kan Folketinget genom misstroendevo</w:t>
      </w:r>
      <w:r w:rsidRPr="00237A2C">
        <w:softHyphen/>
        <w:t>tum avsätta en minister utan någon som helst motivering, men i praxis har det rättsliga ansvaret också kommit att få en betydelse för det politiska ansvars</w:t>
      </w:r>
      <w:r w:rsidRPr="00237A2C">
        <w:softHyphen/>
      </w:r>
      <w:r w:rsidRPr="00237A2C">
        <w:softHyphen/>
        <w:t>utkräv</w:t>
      </w:r>
      <w:r w:rsidRPr="00237A2C">
        <w:softHyphen/>
        <w:t>an</w:t>
      </w:r>
      <w:r w:rsidRPr="00237A2C">
        <w:softHyphen/>
        <w:t>det. Ors</w:t>
      </w:r>
      <w:r w:rsidRPr="00237A2C">
        <w:t>a</w:t>
      </w:r>
      <w:r w:rsidRPr="00237A2C">
        <w:t>ken är förmodligen att politiska beslut inte bara förutsätter en majori</w:t>
      </w:r>
      <w:r w:rsidRPr="00237A2C">
        <w:softHyphen/>
        <w:t xml:space="preserve">tet, utan att det också skall kunna </w:t>
      </w:r>
      <w:r w:rsidRPr="00237A2C">
        <w:rPr>
          <w:i/>
        </w:rPr>
        <w:t>argumenteras</w:t>
      </w:r>
      <w:r w:rsidRPr="00237A2C">
        <w:t xml:space="preserve"> för dem. De juridiska normer</w:t>
      </w:r>
      <w:r w:rsidRPr="00237A2C">
        <w:softHyphen/>
        <w:t>na är objektiva till sin karaktär och är därför användbara som argument i den pol</w:t>
      </w:r>
      <w:r w:rsidRPr="00237A2C">
        <w:t>i</w:t>
      </w:r>
      <w:r w:rsidRPr="00237A2C">
        <w:t>tiska debatten.</w:t>
      </w:r>
      <w:r w:rsidRPr="00237A2C">
        <w:rPr>
          <w:rStyle w:val="Fotnotsreferens"/>
        </w:rPr>
        <w:footnoteReference w:id="165"/>
      </w:r>
      <w:r w:rsidRPr="00237A2C">
        <w:t xml:space="preserve"> Det är därför viktigt att det rättsliga ministeransvaret inte är abs</w:t>
      </w:r>
      <w:r w:rsidRPr="00237A2C">
        <w:t>o</w:t>
      </w:r>
      <w:r w:rsidRPr="00237A2C">
        <w:t>lut.</w:t>
      </w:r>
    </w:p>
    <w:p w:rsidR="00AE50BA" w:rsidRPr="00237A2C" w:rsidRDefault="00AE50BA">
      <w:pPr>
        <w:pStyle w:val="Normaltindrag"/>
      </w:pPr>
      <w:r w:rsidRPr="00237A2C">
        <w:t>Ministern är juridiskt ansvarig för sina ämbetsmäns handling</w:t>
      </w:r>
      <w:r w:rsidRPr="00237A2C">
        <w:softHyphen/>
      </w:r>
      <w:r w:rsidRPr="00237A2C">
        <w:softHyphen/>
        <w:t>ar om han e</w:t>
      </w:r>
      <w:r w:rsidRPr="00237A2C">
        <w:t>l</w:t>
      </w:r>
      <w:r w:rsidRPr="00237A2C">
        <w:t>ler hon har känt till att en viss åtgärd skulle vidtas och inte försökt att hindra den. Ministern är också ansvarig om en ämbetsman har utfört en nödvän</w:t>
      </w:r>
      <w:r w:rsidRPr="00237A2C">
        <w:softHyphen/>
        <w:t>dig eller naturlig handling för att genomföra ett beslut fattat av ministern. Slutl</w:t>
      </w:r>
      <w:r w:rsidRPr="00237A2C">
        <w:t>i</w:t>
      </w:r>
      <w:r w:rsidRPr="00237A2C">
        <w:t>gen kan ministern också göras ansvarig om han genom underlåtenhet att i rimlig utsträckning utöva tillsyn över eller faststäl</w:t>
      </w:r>
      <w:r w:rsidRPr="00237A2C">
        <w:softHyphen/>
      </w:r>
      <w:r w:rsidRPr="00237A2C">
        <w:softHyphen/>
      </w:r>
      <w:r w:rsidRPr="00237A2C">
        <w:softHyphen/>
        <w:t>la instruk</w:t>
      </w:r>
      <w:r w:rsidRPr="00237A2C">
        <w:softHyphen/>
        <w:t>tio</w:t>
      </w:r>
      <w:r w:rsidRPr="00237A2C">
        <w:softHyphen/>
        <w:t>ner för ä</w:t>
      </w:r>
      <w:r w:rsidRPr="00237A2C">
        <w:t>m</w:t>
      </w:r>
      <w:r w:rsidRPr="00237A2C">
        <w:t>betsmännens myndig</w:t>
      </w:r>
      <w:r w:rsidRPr="00237A2C">
        <w:softHyphen/>
        <w:t>hetsutövning har bidra</w:t>
      </w:r>
      <w:r w:rsidRPr="00237A2C">
        <w:softHyphen/>
        <w:t>git till att främja en olaglig han</w:t>
      </w:r>
      <w:r w:rsidRPr="00237A2C">
        <w:t>d</w:t>
      </w:r>
      <w:r w:rsidRPr="00237A2C">
        <w:t>ling. Ministern är vidare straf</w:t>
      </w:r>
      <w:r w:rsidRPr="00237A2C">
        <w:t>f</w:t>
      </w:r>
      <w:r w:rsidRPr="00237A2C">
        <w:softHyphen/>
        <w:t>rätts</w:t>
      </w:r>
      <w:r w:rsidRPr="00237A2C">
        <w:softHyphen/>
        <w:t>ligt ansva</w:t>
      </w:r>
      <w:r w:rsidRPr="00237A2C">
        <w:softHyphen/>
        <w:t>rig om han medve</w:t>
      </w:r>
      <w:r w:rsidRPr="00237A2C">
        <w:softHyphen/>
      </w:r>
      <w:r w:rsidRPr="00237A2C">
        <w:softHyphen/>
        <w:t>tet eller av grov oaktsamhet åsidosätter sina plikter eller ger Folke</w:t>
      </w:r>
      <w:r w:rsidRPr="00237A2C">
        <w:softHyphen/>
        <w:t>tinget felaktiga eller vilseledande uppgifter eller förtiger uppgif</w:t>
      </w:r>
      <w:r w:rsidRPr="00237A2C">
        <w:softHyphen/>
        <w:t>ter.</w:t>
      </w:r>
      <w:r w:rsidRPr="00237A2C">
        <w:rPr>
          <w:rStyle w:val="Fotnotsreferens"/>
        </w:rPr>
        <w:footnoteReference w:id="166"/>
      </w:r>
    </w:p>
    <w:p w:rsidR="00AE50BA" w:rsidRPr="00237A2C" w:rsidRDefault="00AE50BA">
      <w:pPr>
        <w:pStyle w:val="Normaltindrag"/>
      </w:pPr>
      <w:r w:rsidRPr="00237A2C">
        <w:t xml:space="preserve">Två faktiska fall stödjer tesen att ministeransvaret </w:t>
      </w:r>
      <w:r w:rsidRPr="00237A2C">
        <w:rPr>
          <w:i/>
        </w:rPr>
        <w:t>i prakti</w:t>
      </w:r>
      <w:r w:rsidRPr="00237A2C">
        <w:rPr>
          <w:i/>
        </w:rPr>
        <w:softHyphen/>
        <w:t>ken</w:t>
      </w:r>
      <w:r w:rsidRPr="00237A2C">
        <w:t xml:space="preserve"> inte är abs</w:t>
      </w:r>
      <w:r w:rsidRPr="00237A2C">
        <w:t>o</w:t>
      </w:r>
      <w:r w:rsidRPr="00237A2C">
        <w:t xml:space="preserve">lut. Det så kallade </w:t>
      </w:r>
      <w:r w:rsidRPr="00237A2C">
        <w:rPr>
          <w:i/>
        </w:rPr>
        <w:t>Stavadfallet</w:t>
      </w:r>
      <w:r w:rsidRPr="00237A2C">
        <w:t xml:space="preserve"> visade att om ministern bevisligen har blivit vilseledd av sina ämbetsmän så övergår det rätts</w:t>
      </w:r>
      <w:r w:rsidRPr="00237A2C">
        <w:softHyphen/>
        <w:t>liga ansvaret till tjänste</w:t>
      </w:r>
      <w:r w:rsidRPr="00237A2C">
        <w:softHyphen/>
        <w:t>män</w:t>
      </w:r>
      <w:r w:rsidRPr="00237A2C">
        <w:softHyphen/>
        <w:t>nen.</w:t>
      </w:r>
      <w:r w:rsidRPr="00237A2C">
        <w:rPr>
          <w:rStyle w:val="Fotnotsreferens"/>
        </w:rPr>
        <w:footnoteReference w:id="167"/>
      </w:r>
      <w:r w:rsidRPr="00237A2C">
        <w:t xml:space="preserve"> Den så kallade </w:t>
      </w:r>
      <w:r w:rsidRPr="00237A2C">
        <w:rPr>
          <w:i/>
        </w:rPr>
        <w:t>Postskandalen</w:t>
      </w:r>
      <w:r w:rsidRPr="00237A2C">
        <w:t xml:space="preserve"> visade att (fem) trafikministrar inte ansågs vara ansvariga för vissa missförhållanden, eftersom de ansågs att ha suttit på minister</w:t>
      </w:r>
      <w:r w:rsidRPr="00237A2C">
        <w:softHyphen/>
        <w:t>tabu</w:t>
      </w:r>
      <w:r w:rsidRPr="00237A2C">
        <w:softHyphen/>
        <w:t>ret</w:t>
      </w:r>
      <w:r w:rsidRPr="00237A2C">
        <w:softHyphen/>
        <w:t>ten för kort tid för att kunna uppmärksamma missför</w:t>
      </w:r>
      <w:r w:rsidRPr="00237A2C">
        <w:softHyphen/>
      </w:r>
      <w:r w:rsidRPr="00237A2C">
        <w:softHyphen/>
        <w:t>hål</w:t>
      </w:r>
      <w:r w:rsidRPr="00237A2C">
        <w:softHyphen/>
        <w:t>lan</w:t>
      </w:r>
      <w:r w:rsidRPr="00237A2C">
        <w:softHyphen/>
        <w:t xml:space="preserve">dena och åtgärda dem. (De satt </w:t>
      </w:r>
      <w:r w:rsidRPr="00237A2C">
        <w:sym w:font="Symbol" w:char="F02D"/>
      </w:r>
      <w:r w:rsidRPr="00237A2C">
        <w:t xml:space="preserve"> med ett undantag </w:t>
      </w:r>
      <w:r w:rsidRPr="00237A2C">
        <w:sym w:font="Symbol" w:char="F02D"/>
      </w:r>
      <w:r w:rsidRPr="00237A2C">
        <w:t xml:space="preserve"> vardera ca 1½</w:t>
      </w:r>
      <w:r w:rsidRPr="00237A2C">
        <w:sym w:font="Symbol" w:char="F02D"/>
      </w:r>
      <w:r w:rsidRPr="00237A2C">
        <w:t>2 år.)</w:t>
      </w:r>
      <w:r w:rsidRPr="00237A2C">
        <w:rPr>
          <w:rStyle w:val="Fotnotsreferens"/>
        </w:rPr>
        <w:footnoteReference w:id="168"/>
      </w:r>
      <w:r w:rsidRPr="00237A2C">
        <w:t xml:space="preserve"> Således tas i Danmark viss hänsyn till en ministers faktiskt begränsade möjlig</w:t>
      </w:r>
      <w:r w:rsidRPr="00237A2C">
        <w:softHyphen/>
      </w:r>
      <w:r w:rsidRPr="00237A2C">
        <w:softHyphen/>
        <w:t>he</w:t>
      </w:r>
      <w:r w:rsidRPr="00237A2C">
        <w:softHyphen/>
        <w:t>ter att styra sitt ansvarsområde vid utkräv</w:t>
      </w:r>
      <w:r w:rsidRPr="00237A2C">
        <w:softHyphen/>
        <w:t>an</w:t>
      </w:r>
      <w:r w:rsidRPr="00237A2C">
        <w:softHyphen/>
        <w:t>det av ministeransvar. I praktiken förefaller alltså inte skillna</w:t>
      </w:r>
      <w:r w:rsidRPr="00237A2C">
        <w:softHyphen/>
        <w:t>der</w:t>
      </w:r>
      <w:r w:rsidRPr="00237A2C">
        <w:softHyphen/>
        <w:t>na när det gäller ansvarsutkrävandet vara så stora jämfört med Sverige. En dansk förvalt</w:t>
      </w:r>
      <w:r w:rsidRPr="00237A2C">
        <w:softHyphen/>
        <w:t>nings</w:t>
      </w:r>
      <w:r w:rsidRPr="00237A2C">
        <w:softHyphen/>
        <w:t>forska</w:t>
      </w:r>
      <w:r w:rsidRPr="00237A2C">
        <w:softHyphen/>
        <w:t>re har till och med frågat ”om det så ikke var på tide helt at opgive et minister</w:t>
      </w:r>
      <w:r w:rsidRPr="00237A2C">
        <w:softHyphen/>
      </w:r>
      <w:r w:rsidRPr="00237A2C">
        <w:softHyphen/>
        <w:t>ansvar</w:t>
      </w:r>
      <w:r w:rsidRPr="00237A2C">
        <w:softHyphen/>
        <w:t>lig</w:t>
      </w:r>
      <w:r w:rsidRPr="00237A2C">
        <w:softHyphen/>
        <w:t>heds</w:t>
      </w:r>
      <w:r w:rsidRPr="00237A2C">
        <w:softHyphen/>
        <w:t>princip, der i grunden bygger på en fiktion om, at ministern selv klarer alle ekspe</w:t>
      </w:r>
      <w:r w:rsidRPr="00237A2C">
        <w:softHyphen/>
        <w:t>di</w:t>
      </w:r>
      <w:r w:rsidRPr="00237A2C">
        <w:softHyphen/>
        <w:t>tio</w:t>
      </w:r>
      <w:r w:rsidRPr="00237A2C">
        <w:softHyphen/>
        <w:t>ner".</w:t>
      </w:r>
      <w:r w:rsidRPr="00237A2C">
        <w:rPr>
          <w:rStyle w:val="Fotnotsreferens"/>
        </w:rPr>
        <w:footnoteReference w:id="169"/>
      </w:r>
    </w:p>
    <w:p w:rsidR="00AE50BA" w:rsidRPr="00237A2C" w:rsidRDefault="00AE50BA">
      <w:pPr>
        <w:pStyle w:val="Rubrik2"/>
      </w:pPr>
      <w:bookmarkStart w:id="352" w:name="_Toc509711262"/>
      <w:bookmarkStart w:id="353" w:name="_Toc509738084"/>
      <w:bookmarkStart w:id="354" w:name="_Toc516991703"/>
      <w:r w:rsidRPr="00237A2C">
        <w:t>Ministerstyre i praktiken</w:t>
      </w:r>
      <w:bookmarkEnd w:id="352"/>
      <w:bookmarkEnd w:id="353"/>
      <w:bookmarkEnd w:id="354"/>
    </w:p>
    <w:p w:rsidR="00AE50BA" w:rsidRPr="00237A2C" w:rsidRDefault="00AE50BA">
      <w:pPr>
        <w:pStyle w:val="Rubrik3"/>
      </w:pPr>
      <w:bookmarkStart w:id="355" w:name="_Toc509711263"/>
      <w:bookmarkStart w:id="356" w:name="_Toc509738085"/>
      <w:bookmarkStart w:id="357" w:name="_Toc516991704"/>
      <w:r w:rsidRPr="00237A2C">
        <w:t>Normstyrning</w:t>
      </w:r>
      <w:bookmarkEnd w:id="355"/>
      <w:bookmarkEnd w:id="356"/>
      <w:bookmarkEnd w:id="357"/>
    </w:p>
    <w:p w:rsidR="00AE50BA" w:rsidRPr="00237A2C" w:rsidRDefault="00AE50BA">
      <w:r w:rsidRPr="00237A2C">
        <w:t>Redan grundläggande läroböcker om förvaltning i Danmark och Norge fas</w:t>
      </w:r>
      <w:r w:rsidRPr="00237A2C">
        <w:t>t</w:t>
      </w:r>
      <w:r w:rsidRPr="00237A2C">
        <w:t>slår att ministerns möjli</w:t>
      </w:r>
      <w:r w:rsidRPr="00237A2C">
        <w:t>g</w:t>
      </w:r>
      <w:r w:rsidRPr="00237A2C">
        <w:t>heter att ha sin hand med i hela den myndighets</w:t>
      </w:r>
      <w:r w:rsidRPr="00237A2C">
        <w:softHyphen/>
        <w:t>ut</w:t>
      </w:r>
      <w:r w:rsidRPr="00237A2C">
        <w:softHyphen/>
        <w:t>övning som sker i hans namn i praktiken är små. Ministrarna avgör kvanti</w:t>
      </w:r>
      <w:r w:rsidRPr="00237A2C">
        <w:softHyphen/>
        <w:t>ta</w:t>
      </w:r>
      <w:r w:rsidRPr="00237A2C">
        <w:softHyphen/>
        <w:t>tivt sett en försvin</w:t>
      </w:r>
      <w:r w:rsidRPr="00237A2C">
        <w:softHyphen/>
        <w:t>nan</w:t>
      </w:r>
      <w:r w:rsidRPr="00237A2C">
        <w:softHyphen/>
        <w:t>de liten del av de ärenden som i princip ankommer på dem. På stora områden, som inte tilldrar sig mini</w:t>
      </w:r>
      <w:r w:rsidRPr="00237A2C">
        <w:t>s</w:t>
      </w:r>
      <w:r w:rsidRPr="00237A2C">
        <w:t>terns intresse och uppmärk</w:t>
      </w:r>
      <w:r w:rsidRPr="00237A2C">
        <w:softHyphen/>
        <w:t>sam</w:t>
      </w:r>
      <w:r w:rsidRPr="00237A2C">
        <w:softHyphen/>
        <w:t>het, är det tjänst</w:t>
      </w:r>
      <w:r w:rsidRPr="00237A2C">
        <w:t>e</w:t>
      </w:r>
      <w:r w:rsidRPr="00237A2C">
        <w:t>männens eget omdöme som fäller utslaget.</w:t>
      </w:r>
      <w:r w:rsidRPr="00237A2C">
        <w:rPr>
          <w:rStyle w:val="Fotnotsreferens"/>
        </w:rPr>
        <w:footnoteReference w:id="170"/>
      </w:r>
      <w:r w:rsidRPr="00237A2C">
        <w:t xml:space="preserve"> </w:t>
      </w:r>
    </w:p>
    <w:p w:rsidR="00AE50BA" w:rsidRPr="00237A2C" w:rsidRDefault="00AE50BA">
      <w:pPr>
        <w:pStyle w:val="Normaltindrag"/>
      </w:pPr>
      <w:r w:rsidRPr="00237A2C">
        <w:t>Detta resultat verifieras av Lindbom (1997), som närmare studerade tre förvaltningsområden i de två länderna: justitieministeriet, arbetsmark</w:t>
      </w:r>
      <w:r w:rsidRPr="00237A2C">
        <w:softHyphen/>
        <w:t>nads</w:t>
      </w:r>
      <w:r w:rsidRPr="00237A2C">
        <w:softHyphen/>
        <w:t xml:space="preserve">ministeriet och utbildningsministeriet. Lindbom hävdar att ministern inte i någon större utsträckning kunde välja vilka ärenden som kom upp på hennes bord, utan det gjorde i allmänhet media. Ministerns möjlighet att styra genom att skapa praxis var vidare liten. Av studien framgår vidare att </w:t>
      </w:r>
      <w:r w:rsidRPr="00237A2C">
        <w:rPr>
          <w:i/>
        </w:rPr>
        <w:t>organi</w:t>
      </w:r>
      <w:r w:rsidRPr="00237A2C">
        <w:rPr>
          <w:i/>
        </w:rPr>
        <w:softHyphen/>
      </w:r>
      <w:r w:rsidRPr="00237A2C">
        <w:rPr>
          <w:i/>
        </w:rPr>
        <w:softHyphen/>
        <w:t>se</w:t>
      </w:r>
      <w:r w:rsidRPr="00237A2C">
        <w:rPr>
          <w:i/>
        </w:rPr>
        <w:softHyphen/>
        <w:t>ringen</w:t>
      </w:r>
      <w:r w:rsidRPr="00237A2C">
        <w:t xml:space="preserve"> inom olika sektorer visade tydliga likheter vid en jämför</w:t>
      </w:r>
      <w:r w:rsidRPr="00237A2C">
        <w:softHyphen/>
      </w:r>
      <w:r w:rsidRPr="00237A2C">
        <w:softHyphen/>
      </w:r>
      <w:r w:rsidRPr="00237A2C">
        <w:softHyphen/>
      </w:r>
      <w:r w:rsidRPr="00237A2C">
        <w:softHyphen/>
      </w:r>
      <w:r w:rsidRPr="00237A2C">
        <w:softHyphen/>
        <w:t>else mellan länderna. Inom arbets</w:t>
      </w:r>
      <w:r w:rsidRPr="00237A2C">
        <w:softHyphen/>
        <w:t>mark</w:t>
      </w:r>
      <w:r w:rsidRPr="00237A2C">
        <w:softHyphen/>
        <w:t>nads</w:t>
      </w:r>
      <w:r w:rsidRPr="00237A2C">
        <w:softHyphen/>
        <w:t>sek</w:t>
      </w:r>
      <w:r w:rsidRPr="00237A2C">
        <w:softHyphen/>
        <w:t>torn i såväl Danmark som Norge har d</w:t>
      </w:r>
      <w:r w:rsidRPr="00237A2C">
        <w:t>i</w:t>
      </w:r>
      <w:r w:rsidRPr="00237A2C">
        <w:t>rektorat med stora likheter med svenska AMS etab</w:t>
      </w:r>
      <w:r w:rsidRPr="00237A2C">
        <w:t>lerats. I samtliga länder har arbets</w:t>
      </w:r>
      <w:r w:rsidRPr="00237A2C">
        <w:softHyphen/>
      </w:r>
      <w:r w:rsidRPr="00237A2C">
        <w:softHyphen/>
        <w:t>mark</w:t>
      </w:r>
      <w:r w:rsidRPr="00237A2C">
        <w:softHyphen/>
        <w:t>na</w:t>
      </w:r>
      <w:r w:rsidRPr="00237A2C">
        <w:softHyphen/>
        <w:t>dens myndig</w:t>
      </w:r>
      <w:r w:rsidRPr="00237A2C">
        <w:softHyphen/>
        <w:t>heter fått en relativt stor frihet att hantera de operativa besluten och mål- och resultat</w:t>
      </w:r>
      <w:r w:rsidRPr="00237A2C">
        <w:softHyphen/>
        <w:t>styr</w:t>
      </w:r>
      <w:r w:rsidRPr="00237A2C">
        <w:softHyphen/>
        <w:t>nings</w:t>
      </w:r>
      <w:r w:rsidRPr="00237A2C">
        <w:softHyphen/>
      </w:r>
      <w:r w:rsidRPr="00237A2C">
        <w:softHyphen/>
        <w:t>idé</w:t>
      </w:r>
      <w:r w:rsidRPr="00237A2C">
        <w:softHyphen/>
        <w:t>er har påver</w:t>
      </w:r>
      <w:r w:rsidRPr="00237A2C">
        <w:softHyphen/>
        <w:t>kat kompe</w:t>
      </w:r>
      <w:r w:rsidRPr="00237A2C">
        <w:softHyphen/>
        <w:t>tens</w:t>
      </w:r>
      <w:r w:rsidRPr="00237A2C">
        <w:softHyphen/>
        <w:t>fördelningen. Detsamma gällde kriminalvården. Grundsko</w:t>
      </w:r>
      <w:r w:rsidRPr="00237A2C">
        <w:softHyphen/>
        <w:t>lan har i stor utsträck</w:t>
      </w:r>
      <w:r w:rsidRPr="00237A2C">
        <w:softHyphen/>
        <w:t>ning kommu</w:t>
      </w:r>
      <w:r w:rsidRPr="00237A2C">
        <w:softHyphen/>
      </w:r>
      <w:r w:rsidRPr="00237A2C">
        <w:softHyphen/>
      </w:r>
      <w:r w:rsidRPr="00237A2C">
        <w:softHyphen/>
      </w:r>
      <w:r w:rsidRPr="00237A2C">
        <w:softHyphen/>
      </w:r>
      <w:r w:rsidRPr="00237A2C">
        <w:softHyphen/>
        <w:t>na</w:t>
      </w:r>
      <w:r w:rsidRPr="00237A2C">
        <w:softHyphen/>
      </w:r>
      <w:r w:rsidRPr="00237A2C">
        <w:softHyphen/>
      </w:r>
      <w:r w:rsidRPr="00237A2C">
        <w:softHyphen/>
        <w:t>liserats och den statliga styrningen minskat kraftigt. Besvärs</w:t>
      </w:r>
      <w:r w:rsidRPr="00237A2C">
        <w:softHyphen/>
        <w:t>nämn</w:t>
      </w:r>
      <w:r w:rsidRPr="00237A2C">
        <w:softHyphen/>
        <w:t>der har i stor utsträckning upprättats i såväl Norge som Da</w:t>
      </w:r>
      <w:r w:rsidRPr="00237A2C">
        <w:t>n</w:t>
      </w:r>
      <w:r w:rsidRPr="00237A2C">
        <w:t>mark, vilket inskränker ministerstyret. På utlännings</w:t>
      </w:r>
      <w:r w:rsidRPr="00237A2C">
        <w:softHyphen/>
      </w:r>
      <w:r w:rsidRPr="00237A2C">
        <w:softHyphen/>
      </w:r>
      <w:r w:rsidRPr="00237A2C">
        <w:softHyphen/>
        <w:t>området har Danmark ett sådant organ</w:t>
      </w:r>
      <w:r w:rsidRPr="00237A2C">
        <w:t>, vilket har stora likheter med den svenska Utlänningsnämnden. Också på arbets</w:t>
      </w:r>
      <w:r w:rsidRPr="00237A2C">
        <w:softHyphen/>
        <w:t>marknads</w:t>
      </w:r>
      <w:r w:rsidRPr="00237A2C">
        <w:softHyphen/>
        <w:t>sidan har både Norge och Danmark upprättat b</w:t>
      </w:r>
      <w:r w:rsidRPr="00237A2C">
        <w:t>e</w:t>
      </w:r>
      <w:r w:rsidRPr="00237A2C">
        <w:t>svä</w:t>
      </w:r>
      <w:r w:rsidRPr="00237A2C">
        <w:t>r</w:t>
      </w:r>
      <w:r w:rsidRPr="00237A2C">
        <w:t>s</w:t>
      </w:r>
      <w:r w:rsidRPr="00237A2C">
        <w:softHyphen/>
        <w:t>organ, som bland annat avgör överklaganden angående arbets</w:t>
      </w:r>
      <w:r w:rsidRPr="00237A2C">
        <w:softHyphen/>
      </w:r>
      <w:r w:rsidRPr="00237A2C">
        <w:softHyphen/>
        <w:t>lös</w:t>
      </w:r>
      <w:r w:rsidRPr="00237A2C">
        <w:softHyphen/>
        <w:t>hets</w:t>
      </w:r>
      <w:r w:rsidRPr="00237A2C">
        <w:softHyphen/>
        <w:t>er</w:t>
      </w:r>
      <w:r w:rsidRPr="00237A2C">
        <w:softHyphen/>
        <w:t>sättningen.</w:t>
      </w:r>
      <w:r w:rsidRPr="00237A2C">
        <w:rPr>
          <w:rStyle w:val="Fotnotsreferens"/>
        </w:rPr>
        <w:footnoteReference w:id="171"/>
      </w:r>
    </w:p>
    <w:p w:rsidR="00AE50BA" w:rsidRPr="00237A2C" w:rsidRDefault="00AE50BA">
      <w:pPr>
        <w:pStyle w:val="Normaltindrag"/>
      </w:pPr>
      <w:r w:rsidRPr="00237A2C">
        <w:t>Det finns däremot ganska tydliga skillnader mellan de olika sektorerna. Justitie</w:t>
      </w:r>
      <w:r w:rsidRPr="00237A2C">
        <w:softHyphen/>
        <w:t>mini</w:t>
      </w:r>
      <w:r w:rsidRPr="00237A2C">
        <w:softHyphen/>
        <w:t>ste</w:t>
      </w:r>
      <w:r w:rsidRPr="00237A2C">
        <w:softHyphen/>
        <w:t>riet är ett exceptionellt ministerium genom att det behandlar ett så stort antal förvalt</w:t>
      </w:r>
      <w:r w:rsidRPr="00237A2C">
        <w:softHyphen/>
        <w:t>ningsärenden.</w:t>
      </w:r>
      <w:r w:rsidRPr="00237A2C">
        <w:rPr>
          <w:rStyle w:val="Fotnotsreferens"/>
        </w:rPr>
        <w:footnoteReference w:id="172"/>
      </w:r>
      <w:r w:rsidRPr="00237A2C">
        <w:t xml:space="preserve"> Justitie</w:t>
      </w:r>
      <w:r w:rsidRPr="00237A2C">
        <w:softHyphen/>
        <w:t>depar</w:t>
      </w:r>
      <w:r w:rsidRPr="00237A2C">
        <w:softHyphen/>
        <w:t>tementet uppvisade också i den norska maktut</w:t>
      </w:r>
      <w:r w:rsidRPr="00237A2C">
        <w:softHyphen/>
      </w:r>
      <w:r w:rsidRPr="00237A2C">
        <w:softHyphen/>
        <w:t>red</w:t>
      </w:r>
      <w:r w:rsidRPr="00237A2C">
        <w:softHyphen/>
        <w:t>ning</w:t>
      </w:r>
      <w:r w:rsidRPr="00237A2C">
        <w:softHyphen/>
        <w:t>ens under</w:t>
      </w:r>
      <w:r w:rsidRPr="00237A2C">
        <w:softHyphen/>
        <w:t>sök</w:t>
      </w:r>
      <w:r w:rsidRPr="00237A2C">
        <w:softHyphen/>
        <w:t xml:space="preserve">ning (1978) en särpräglad profil </w:t>
      </w:r>
      <w:r w:rsidRPr="00237A2C">
        <w:sym w:font="Symbol" w:char="F02D"/>
      </w:r>
      <w:r w:rsidRPr="00237A2C">
        <w:t xml:space="preserve"> som bärare av den klassiska byråkrati</w:t>
      </w:r>
      <w:r w:rsidRPr="00237A2C">
        <w:softHyphen/>
        <w:t>kul</w:t>
      </w:r>
      <w:r w:rsidRPr="00237A2C">
        <w:softHyphen/>
        <w:t>tu</w:t>
      </w:r>
      <w:r w:rsidRPr="00237A2C">
        <w:softHyphen/>
        <w:t>ren.</w:t>
      </w:r>
      <w:r w:rsidRPr="00237A2C">
        <w:rPr>
          <w:rStyle w:val="Fotnotsreferens"/>
        </w:rPr>
        <w:footnoteReference w:id="173"/>
      </w:r>
      <w:r w:rsidRPr="00237A2C">
        <w:t xml:space="preserve"> I båda länderna är eller har utlännings</w:t>
      </w:r>
      <w:r w:rsidRPr="00237A2C">
        <w:softHyphen/>
        <w:t>ären</w:t>
      </w:r>
      <w:r w:rsidRPr="00237A2C">
        <w:softHyphen/>
        <w:t>den och benåd</w:t>
      </w:r>
      <w:r w:rsidRPr="00237A2C">
        <w:softHyphen/>
        <w:t>nings</w:t>
      </w:r>
      <w:r w:rsidRPr="00237A2C">
        <w:softHyphen/>
        <w:t>ären</w:t>
      </w:r>
      <w:r w:rsidRPr="00237A2C">
        <w:softHyphen/>
        <w:t>den varit de dominerande ärende</w:t>
      </w:r>
      <w:r w:rsidRPr="00237A2C">
        <w:softHyphen/>
        <w:t>typ</w:t>
      </w:r>
      <w:r w:rsidRPr="00237A2C">
        <w:softHyphen/>
        <w:t>er</w:t>
      </w:r>
      <w:r w:rsidRPr="00237A2C">
        <w:softHyphen/>
        <w:t>na där ministern i praktiken deltagit i beslutsfattandet. Både dessa ärend</w:t>
      </w:r>
      <w:r w:rsidRPr="00237A2C">
        <w:t>e</w:t>
      </w:r>
      <w:r w:rsidRPr="00237A2C">
        <w:t>typer förekommer i stor mängd och ett betydande antal av dem föreläggs den politiska ledningen.</w:t>
      </w:r>
    </w:p>
    <w:p w:rsidR="00AE50BA" w:rsidRPr="00237A2C" w:rsidRDefault="00AE50BA">
      <w:pPr>
        <w:pStyle w:val="Normaltindrag"/>
      </w:pPr>
      <w:r w:rsidRPr="00237A2C">
        <w:t xml:space="preserve">Här kan det konstateras att samma ärendetyper </w:t>
      </w:r>
      <w:r w:rsidRPr="00237A2C">
        <w:sym w:font="Symbol" w:char="F02D"/>
      </w:r>
      <w:r w:rsidRPr="00237A2C">
        <w:t xml:space="preserve"> alltså benådning- och u</w:t>
      </w:r>
      <w:r w:rsidRPr="00237A2C">
        <w:t>t</w:t>
      </w:r>
      <w:r w:rsidRPr="00237A2C">
        <w:t>län</w:t>
      </w:r>
      <w:r w:rsidRPr="00237A2C">
        <w:softHyphen/>
        <w:t>nings</w:t>
      </w:r>
      <w:r w:rsidRPr="00237A2C">
        <w:softHyphen/>
        <w:t xml:space="preserve">ärenden </w:t>
      </w:r>
      <w:r w:rsidRPr="00237A2C">
        <w:sym w:font="Symbol" w:char="F02D"/>
      </w:r>
      <w:r w:rsidRPr="00237A2C">
        <w:t xml:space="preserve"> i </w:t>
      </w:r>
      <w:r w:rsidRPr="00237A2C">
        <w:rPr>
          <w:b/>
          <w:i/>
        </w:rPr>
        <w:t>Sverige</w:t>
      </w:r>
      <w:r w:rsidRPr="00237A2C">
        <w:t xml:space="preserve"> i stor utsträck</w:t>
      </w:r>
      <w:r w:rsidRPr="00237A2C">
        <w:softHyphen/>
        <w:t xml:space="preserve">ning avgjorts av </w:t>
      </w:r>
      <w:r w:rsidRPr="00237A2C">
        <w:rPr>
          <w:i/>
        </w:rPr>
        <w:t>regeringen.</w:t>
      </w:r>
      <w:r w:rsidRPr="00237A2C">
        <w:t xml:space="preserve"> Också här har alltså besluts</w:t>
      </w:r>
      <w:r w:rsidRPr="00237A2C">
        <w:softHyphen/>
        <w:t>fat</w:t>
      </w:r>
      <w:r w:rsidRPr="00237A2C">
        <w:softHyphen/>
        <w:t>tan</w:t>
      </w:r>
      <w:r w:rsidRPr="00237A2C">
        <w:softHyphen/>
        <w:t>det i sista hand formellt varit hos politiker. Den svenska regeringen avgjorde 1995 1332 stycken nådeären</w:t>
      </w:r>
      <w:r w:rsidRPr="00237A2C">
        <w:softHyphen/>
        <w:t>den.</w:t>
      </w:r>
      <w:r w:rsidRPr="00237A2C">
        <w:rPr>
          <w:rStyle w:val="Fotnotsreferens"/>
        </w:rPr>
        <w:footnoteReference w:id="174"/>
      </w:r>
      <w:r w:rsidRPr="00237A2C">
        <w:t xml:space="preserve"> Innan utlä</w:t>
      </w:r>
      <w:r w:rsidRPr="00237A2C">
        <w:t>n</w:t>
      </w:r>
      <w:r w:rsidRPr="00237A2C">
        <w:t>nings</w:t>
      </w:r>
      <w:r w:rsidRPr="00237A2C">
        <w:softHyphen/>
        <w:t>nämndens tillkomst 1992 behand</w:t>
      </w:r>
      <w:r w:rsidRPr="00237A2C">
        <w:softHyphen/>
      </w:r>
      <w:r w:rsidRPr="00237A2C">
        <w:softHyphen/>
      </w:r>
      <w:r w:rsidRPr="00237A2C">
        <w:softHyphen/>
      </w:r>
      <w:r w:rsidRPr="00237A2C">
        <w:softHyphen/>
        <w:t>l</w:t>
      </w:r>
      <w:r w:rsidRPr="00237A2C">
        <w:softHyphen/>
        <w:t>ade regeringen också ett betydan</w:t>
      </w:r>
      <w:r w:rsidRPr="00237A2C">
        <w:softHyphen/>
        <w:t>de antal utlän</w:t>
      </w:r>
      <w:r w:rsidRPr="00237A2C">
        <w:softHyphen/>
        <w:t>nings</w:t>
      </w:r>
      <w:r w:rsidRPr="00237A2C">
        <w:softHyphen/>
        <w:t>ärenden. År 1989 var till exempel antalet utlännings- och medbor</w:t>
      </w:r>
      <w:r w:rsidRPr="00237A2C">
        <w:softHyphen/>
        <w:t>gar</w:t>
      </w:r>
      <w:r w:rsidRPr="00237A2C">
        <w:softHyphen/>
        <w:t>skaps</w:t>
      </w:r>
      <w:r w:rsidRPr="00237A2C">
        <w:softHyphen/>
        <w:t>ärenden 3714 stycken.</w:t>
      </w:r>
      <w:r w:rsidRPr="00237A2C">
        <w:rPr>
          <w:rStyle w:val="Fotnotsreferens"/>
        </w:rPr>
        <w:footnoteReference w:id="175"/>
      </w:r>
      <w:r w:rsidRPr="00237A2C">
        <w:t xml:space="preserve"> Det förekommer fortfar</w:t>
      </w:r>
      <w:r w:rsidRPr="00237A2C">
        <w:softHyphen/>
        <w:t>an</w:t>
      </w:r>
      <w:r w:rsidRPr="00237A2C">
        <w:softHyphen/>
        <w:t>de att regeringen beslutar i enskilda sådana ärenden eftersom Invand</w:t>
      </w:r>
      <w:r w:rsidRPr="00237A2C">
        <w:softHyphen/>
        <w:t>rar</w:t>
      </w:r>
      <w:r w:rsidRPr="00237A2C">
        <w:softHyphen/>
        <w:t>verket och Utlännings</w:t>
      </w:r>
      <w:r w:rsidRPr="00237A2C">
        <w:softHyphen/>
        <w:t>nämn</w:t>
      </w:r>
      <w:r w:rsidRPr="00237A2C">
        <w:softHyphen/>
        <w:t>den kan överlåta ärendet till regering</w:t>
      </w:r>
      <w:r w:rsidRPr="00237A2C">
        <w:softHyphen/>
        <w:t>en.</w:t>
      </w:r>
    </w:p>
    <w:p w:rsidR="00AE50BA" w:rsidRPr="00237A2C" w:rsidRDefault="00AE50BA">
      <w:pPr>
        <w:pStyle w:val="Normaltindrag"/>
      </w:pPr>
      <w:r w:rsidRPr="00237A2C">
        <w:t>När ett ärende i Sverige behandlas i regerings</w:t>
      </w:r>
      <w:r w:rsidRPr="00237A2C">
        <w:softHyphen/>
        <w:t>samman</w:t>
      </w:r>
      <w:r w:rsidRPr="00237A2C">
        <w:softHyphen/>
        <w:t>trä</w:t>
      </w:r>
      <w:r w:rsidRPr="00237A2C">
        <w:softHyphen/>
        <w:t>de är det dock helt klart för beslut och det är snarast att se som en helt formell registrering. Flera hundra ”beslut” fattas på en mycket kort tid. Den reella beredningen i reg</w:t>
      </w:r>
      <w:r w:rsidRPr="00237A2C">
        <w:t>e</w:t>
      </w:r>
      <w:r w:rsidRPr="00237A2C">
        <w:t xml:space="preserve">ringen sker inte vid dessa möten, utan i andra sammanhang </w:t>
      </w:r>
      <w:r w:rsidRPr="00237A2C">
        <w:sym w:font="Symbol" w:char="F02D"/>
      </w:r>
      <w:r w:rsidRPr="00237A2C">
        <w:t xml:space="preserve"> de så kallade allmänna bered</w:t>
      </w:r>
      <w:r w:rsidRPr="00237A2C">
        <w:softHyphen/>
        <w:t>ningarna och lunchberedningarna. Enligt Torbjörn Larssons under</w:t>
      </w:r>
      <w:r w:rsidRPr="00237A2C">
        <w:softHyphen/>
        <w:t>sökning var det dock bara omkring 1% av regerings</w:t>
      </w:r>
      <w:r w:rsidRPr="00237A2C">
        <w:softHyphen/>
        <w:t>ären</w:t>
      </w:r>
      <w:r w:rsidRPr="00237A2C">
        <w:softHyphen/>
        <w:t>de</w:t>
      </w:r>
      <w:r w:rsidRPr="00237A2C">
        <w:softHyphen/>
        <w:t>na (inklusive propositioner med mera), som disku</w:t>
      </w:r>
      <w:r w:rsidRPr="00237A2C">
        <w:softHyphen/>
        <w:t>te</w:t>
      </w:r>
      <w:r w:rsidRPr="00237A2C">
        <w:softHyphen/>
        <w:t>rades under allmän beredning. Vid lunch</w:t>
      </w:r>
      <w:r w:rsidRPr="00237A2C">
        <w:softHyphen/>
        <w:t>bered</w:t>
      </w:r>
      <w:r w:rsidRPr="00237A2C">
        <w:softHyphen/>
        <w:t>ningarna, vil</w:t>
      </w:r>
      <w:r w:rsidRPr="00237A2C">
        <w:t>ka är mycket informella tillställ</w:t>
      </w:r>
      <w:r w:rsidRPr="00237A2C">
        <w:softHyphen/>
        <w:t>ning</w:t>
      </w:r>
      <w:r w:rsidRPr="00237A2C">
        <w:softHyphen/>
        <w:t>ar, dras ärendena muntligt, proto</w:t>
      </w:r>
      <w:r w:rsidRPr="00237A2C">
        <w:softHyphen/>
        <w:t>koll förs vanligen inte och omröst</w:t>
      </w:r>
      <w:r w:rsidRPr="00237A2C">
        <w:softHyphen/>
        <w:t>ning</w:t>
      </w:r>
      <w:r w:rsidRPr="00237A2C">
        <w:softHyphen/>
        <w:t xml:space="preserve">ar är sällsynta </w:t>
      </w:r>
      <w:r w:rsidRPr="00237A2C">
        <w:sym w:font="Symbol" w:char="F02D"/>
      </w:r>
      <w:r w:rsidRPr="00237A2C">
        <w:t xml:space="preserve"> bland annat därför att alla statsråd sällan är där.</w:t>
      </w:r>
      <w:r w:rsidRPr="00237A2C">
        <w:rPr>
          <w:rStyle w:val="Fotnotsreferens"/>
        </w:rPr>
        <w:footnoteReference w:id="176"/>
      </w:r>
    </w:p>
    <w:p w:rsidR="00AE50BA" w:rsidRPr="00237A2C" w:rsidRDefault="00AE50BA">
      <w:pPr>
        <w:pStyle w:val="Normaltindrag"/>
      </w:pPr>
      <w:r w:rsidRPr="00237A2C">
        <w:t>Det är dessa procedurer som gör regeringen ansvarig som kollektiv. (Vad avser Norge bereds för övrigt benådningssaker också på detta sätt i regerin</w:t>
      </w:r>
      <w:r w:rsidRPr="00237A2C">
        <w:t>g</w:t>
      </w:r>
      <w:r w:rsidRPr="00237A2C">
        <w:t>en och utlän</w:t>
      </w:r>
      <w:r w:rsidRPr="00237A2C">
        <w:softHyphen/>
        <w:t>nings</w:t>
      </w:r>
      <w:r w:rsidRPr="00237A2C">
        <w:softHyphen/>
        <w:t xml:space="preserve">ärenden kunde tidigare överklagas till den.) I </w:t>
      </w:r>
      <w:r w:rsidRPr="00237A2C">
        <w:rPr>
          <w:i/>
        </w:rPr>
        <w:t>praktiken</w:t>
      </w:r>
      <w:r w:rsidRPr="00237A2C">
        <w:t xml:space="preserve"> förefaller inte skillna</w:t>
      </w:r>
      <w:r w:rsidRPr="00237A2C">
        <w:softHyphen/>
      </w:r>
      <w:r w:rsidRPr="00237A2C">
        <w:softHyphen/>
      </w:r>
      <w:r w:rsidRPr="00237A2C">
        <w:softHyphen/>
        <w:t>den gentemot Danmark eller Norge vara särskilt stor.</w:t>
      </w:r>
      <w:r w:rsidRPr="00237A2C">
        <w:rPr>
          <w:rStyle w:val="Fotnotsreferens"/>
        </w:rPr>
        <w:footnoteReference w:id="177"/>
      </w:r>
      <w:r w:rsidRPr="00237A2C">
        <w:t xml:space="preserve"> Utifrån ett rätts</w:t>
      </w:r>
      <w:r w:rsidRPr="00237A2C">
        <w:softHyphen/>
        <w:t>säker</w:t>
      </w:r>
      <w:r w:rsidRPr="00237A2C">
        <w:softHyphen/>
        <w:t>hets</w:t>
      </w:r>
      <w:r w:rsidRPr="00237A2C">
        <w:softHyphen/>
        <w:t>per</w:t>
      </w:r>
      <w:r w:rsidRPr="00237A2C">
        <w:softHyphen/>
        <w:t>spektiv är det en grad- snarare än en artskill</w:t>
      </w:r>
      <w:r w:rsidRPr="00237A2C">
        <w:softHyphen/>
        <w:t>nad mellan sådana avgör</w:t>
      </w:r>
      <w:r w:rsidRPr="00237A2C">
        <w:softHyphen/>
        <w:t>an</w:t>
      </w:r>
      <w:r w:rsidRPr="00237A2C">
        <w:softHyphen/>
        <w:t>den av regering</w:t>
      </w:r>
      <w:r w:rsidRPr="00237A2C">
        <w:softHyphen/>
        <w:t>en som kollektiv och beslut tagna av en enskild minister. Anled</w:t>
      </w:r>
      <w:r w:rsidRPr="00237A2C">
        <w:softHyphen/>
        <w:t>ning</w:t>
      </w:r>
      <w:r w:rsidRPr="00237A2C">
        <w:softHyphen/>
        <w:t>en att regeringen fattar beslut i förvaltnings</w:t>
      </w:r>
      <w:r w:rsidRPr="00237A2C">
        <w:softHyphen/>
        <w:t>ären</w:t>
      </w:r>
      <w:r w:rsidRPr="00237A2C">
        <w:softHyphen/>
        <w:t>den (ca 8000 1998</w:t>
      </w:r>
      <w:r w:rsidRPr="00237A2C">
        <w:rPr>
          <w:rStyle w:val="Fotnotsreferens"/>
        </w:rPr>
        <w:footnoteReference w:id="178"/>
      </w:r>
      <w:r w:rsidRPr="00237A2C">
        <w:t>) är i många fall just att de är så politiskt kontro</w:t>
      </w:r>
      <w:r w:rsidRPr="00237A2C">
        <w:softHyphen/>
        <w:t>ver</w:t>
      </w:r>
      <w:r w:rsidRPr="00237A2C">
        <w:softHyphen/>
        <w:t>siel</w:t>
      </w:r>
      <w:r w:rsidRPr="00237A2C">
        <w:softHyphen/>
        <w:t>la att man inte kunnat överlåta dem åt andra organ, till exempel dispenser för vapen</w:t>
      </w:r>
      <w:r w:rsidRPr="00237A2C">
        <w:softHyphen/>
        <w:t>export och vissa asylärenden.</w:t>
      </w:r>
    </w:p>
    <w:p w:rsidR="00AE50BA" w:rsidRPr="00237A2C" w:rsidRDefault="00AE50BA">
      <w:pPr>
        <w:pStyle w:val="Normaltindrag"/>
      </w:pPr>
      <w:r w:rsidRPr="00237A2C">
        <w:t>Vi ser således tydliga skillnader mellan de olika sektor</w:t>
      </w:r>
      <w:r w:rsidRPr="00237A2C">
        <w:softHyphen/>
        <w:t>er</w:t>
      </w:r>
      <w:r w:rsidRPr="00237A2C">
        <w:softHyphen/>
        <w:t>na, främst att b</w:t>
      </w:r>
      <w:r w:rsidRPr="00237A2C">
        <w:t>e</w:t>
      </w:r>
      <w:r w:rsidRPr="00237A2C">
        <w:t>lastningen av förvaltningsärenden är så mycket större i justitie</w:t>
      </w:r>
      <w:r w:rsidRPr="00237A2C">
        <w:softHyphen/>
        <w:t>mini</w:t>
      </w:r>
      <w:r w:rsidRPr="00237A2C">
        <w:softHyphen/>
        <w:t>ste</w:t>
      </w:r>
      <w:r w:rsidRPr="00237A2C">
        <w:softHyphen/>
        <w:t xml:space="preserve">riet än i de andra departementen. Samtidigt ser man stora likheter inom en sektor </w:t>
      </w:r>
      <w:r w:rsidRPr="00237A2C">
        <w:rPr>
          <w:i/>
        </w:rPr>
        <w:t>mellan</w:t>
      </w:r>
      <w:r w:rsidRPr="00237A2C">
        <w:t xml:space="preserve"> länderna, som i exemplet med behand</w:t>
      </w:r>
      <w:r w:rsidRPr="00237A2C">
        <w:softHyphen/>
        <w:t>ling</w:t>
      </w:r>
      <w:r w:rsidRPr="00237A2C">
        <w:softHyphen/>
        <w:t>en av benåd</w:t>
      </w:r>
      <w:r w:rsidRPr="00237A2C">
        <w:softHyphen/>
        <w:t>nings- och asylärenden ovan. Det intryck man får är att skillna</w:t>
      </w:r>
      <w:r w:rsidRPr="00237A2C">
        <w:softHyphen/>
        <w:t>der</w:t>
      </w:r>
      <w:r w:rsidRPr="00237A2C">
        <w:softHyphen/>
        <w:t>na mellan länderna närmast förefaller vara mindre än skillna</w:t>
      </w:r>
      <w:r w:rsidRPr="00237A2C">
        <w:softHyphen/>
        <w:t>derna mellan respektive sektor inom ett land.</w:t>
      </w:r>
    </w:p>
    <w:p w:rsidR="00AE50BA" w:rsidRPr="00237A2C" w:rsidRDefault="00AE50BA">
      <w:pPr>
        <w:pStyle w:val="Normaltindrag"/>
      </w:pPr>
      <w:r w:rsidRPr="00237A2C">
        <w:t>Ovanstå</w:t>
      </w:r>
      <w:r w:rsidRPr="00237A2C">
        <w:softHyphen/>
        <w:t>ende resonemang om variation inom länderna sätter ett fr</w:t>
      </w:r>
      <w:r w:rsidRPr="00237A2C">
        <w:t>å</w:t>
      </w:r>
      <w:r w:rsidRPr="00237A2C">
        <w:t>geteck</w:t>
      </w:r>
      <w:r w:rsidRPr="00237A2C">
        <w:softHyphen/>
        <w:t>en för om vi kan tala om nationella modeller. En nordisk surveyundersö</w:t>
      </w:r>
      <w:r w:rsidRPr="00237A2C">
        <w:t>k</w:t>
      </w:r>
      <w:r w:rsidRPr="00237A2C">
        <w:t>ning om myndig</w:t>
      </w:r>
      <w:r w:rsidRPr="00237A2C">
        <w:softHyphen/>
      </w:r>
      <w:r w:rsidRPr="00237A2C">
        <w:softHyphen/>
        <w:t>heter</w:t>
      </w:r>
      <w:r w:rsidRPr="00237A2C">
        <w:softHyphen/>
        <w:t>nas kontakter med regeringen/den politiska ledningen i samband med EU-relaterade frågor finner däremot natio</w:t>
      </w:r>
      <w:r w:rsidRPr="00237A2C">
        <w:softHyphen/>
        <w:t>nel</w:t>
      </w:r>
      <w:r w:rsidRPr="00237A2C">
        <w:softHyphen/>
        <w:t>la mönster, men inte det förväntade utifrån de två förvaltnings</w:t>
      </w:r>
      <w:r w:rsidRPr="00237A2C">
        <w:softHyphen/>
        <w:t>model</w:t>
      </w:r>
      <w:r w:rsidRPr="00237A2C">
        <w:softHyphen/>
        <w:t>lerna. I Sverige där fö</w:t>
      </w:r>
      <w:r w:rsidRPr="00237A2C">
        <w:t>r</w:t>
      </w:r>
      <w:r w:rsidRPr="00237A2C">
        <w:t>valt</w:t>
      </w:r>
      <w:r w:rsidRPr="00237A2C">
        <w:softHyphen/>
        <w:t>ningsmodellen starkt betonar tudel</w:t>
      </w:r>
      <w:r w:rsidRPr="00237A2C">
        <w:softHyphen/>
        <w:t>ning</w:t>
      </w:r>
      <w:r w:rsidRPr="00237A2C">
        <w:softHyphen/>
        <w:t xml:space="preserve">en mellan politik och förvaltning finns de </w:t>
      </w:r>
      <w:r w:rsidRPr="00237A2C">
        <w:rPr>
          <w:i/>
        </w:rPr>
        <w:t>mest</w:t>
      </w:r>
      <w:r w:rsidRPr="00237A2C">
        <w:t xml:space="preserve"> omfattande informella kontak</w:t>
      </w:r>
      <w:r w:rsidRPr="00237A2C">
        <w:softHyphen/>
        <w:t>terna. I Danmark råder en</w:t>
      </w:r>
      <w:r w:rsidRPr="00237A2C">
        <w:t xml:space="preserve"> bety</w:t>
      </w:r>
      <w:r w:rsidRPr="00237A2C">
        <w:t>d</w:t>
      </w:r>
      <w:r w:rsidRPr="00237A2C">
        <w:t>ligt högre grad av formalisering av kontakterna.</w:t>
      </w:r>
      <w:r w:rsidRPr="00237A2C">
        <w:rPr>
          <w:rStyle w:val="Fotnotsreferens"/>
        </w:rPr>
        <w:footnoteReference w:id="179"/>
      </w:r>
      <w:r w:rsidRPr="00237A2C">
        <w:t xml:space="preserve"> Det är osäkert om resu</w:t>
      </w:r>
      <w:r w:rsidRPr="00237A2C">
        <w:t>l</w:t>
      </w:r>
      <w:r w:rsidRPr="00237A2C">
        <w:t>tatet går att generalisera, men det är ändock anmärkningsvärt. Också detta resultat kan tas som intäkt för att skillnaderna mellan ministerstyrda system och dualisti</w:t>
      </w:r>
      <w:r w:rsidRPr="00237A2C">
        <w:softHyphen/>
        <w:t>ska i praktiken är de förväntade.</w:t>
      </w:r>
    </w:p>
    <w:p w:rsidR="00AE50BA" w:rsidRPr="00237A2C" w:rsidRDefault="00AE50BA">
      <w:pPr>
        <w:pStyle w:val="Rubrik3"/>
      </w:pPr>
      <w:bookmarkStart w:id="358" w:name="_Toc509711264"/>
      <w:bookmarkStart w:id="359" w:name="_Toc509738086"/>
      <w:bookmarkStart w:id="360" w:name="_Toc516991705"/>
      <w:r w:rsidRPr="00237A2C">
        <w:t>Budgetstyrning</w:t>
      </w:r>
      <w:bookmarkEnd w:id="358"/>
      <w:bookmarkEnd w:id="359"/>
      <w:bookmarkEnd w:id="360"/>
    </w:p>
    <w:p w:rsidR="00AE50BA" w:rsidRPr="00237A2C" w:rsidRDefault="00AE50BA">
      <w:pPr>
        <w:keepNext/>
        <w:keepLines/>
      </w:pPr>
      <w:r w:rsidRPr="00237A2C">
        <w:t>I ovanstående avsnitt om normgivning och normtillämpning visade det sig att det fanns tydliga inskränkningar i ministerns formella möjligheter att utöva ministerstyre. Också när det gäller ministerns möjligheter att styra fördel</w:t>
      </w:r>
      <w:r w:rsidRPr="00237A2C">
        <w:softHyphen/>
        <w:t xml:space="preserve">ningen av olika anslag är sådana begränsningar vanliga. Nedan följer en genomgång av de danska förhållandena. En relativt stor grupp nämnder och råd, av Christensen benämnda </w:t>
      </w:r>
      <w:r w:rsidRPr="00237A2C">
        <w:rPr>
          <w:i/>
        </w:rPr>
        <w:t>ansöknings</w:t>
      </w:r>
      <w:r w:rsidRPr="00237A2C">
        <w:rPr>
          <w:i/>
        </w:rPr>
        <w:softHyphen/>
        <w:t>nämnder</w:t>
      </w:r>
      <w:r w:rsidRPr="00237A2C">
        <w:t>, beslutar självständigt om utbetalningar av bidrag. Betydligt större möjligheter har ministern att påve</w:t>
      </w:r>
      <w:r w:rsidRPr="00237A2C">
        <w:t>r</w:t>
      </w:r>
      <w:r w:rsidRPr="00237A2C">
        <w:t xml:space="preserve">ka fördelningen av </w:t>
      </w:r>
      <w:r w:rsidRPr="00237A2C">
        <w:rPr>
          <w:i/>
        </w:rPr>
        <w:t>puljemedel</w:t>
      </w:r>
      <w:r w:rsidRPr="00237A2C">
        <w:t xml:space="preserve"> (statliga penningpotter)</w:t>
      </w:r>
      <w:r w:rsidRPr="00237A2C">
        <w:rPr>
          <w:i/>
        </w:rPr>
        <w:t>.</w:t>
      </w:r>
      <w:r w:rsidRPr="00237A2C">
        <w:rPr>
          <w:rStyle w:val="Fotnotsreferens"/>
        </w:rPr>
        <w:footnoteReference w:id="180"/>
      </w:r>
      <w:r w:rsidRPr="00237A2C">
        <w:t xml:space="preserve"> Jag kommer i avsnittet nedan att diskute</w:t>
      </w:r>
      <w:r w:rsidRPr="00237A2C">
        <w:softHyphen/>
        <w:t>ra dessa i tur och ordning.</w:t>
      </w:r>
    </w:p>
    <w:p w:rsidR="00AE50BA" w:rsidRPr="00237A2C" w:rsidRDefault="00AE50BA">
      <w:pPr>
        <w:pStyle w:val="Rubrik3"/>
      </w:pPr>
      <w:bookmarkStart w:id="361" w:name="_Toc509711265"/>
      <w:bookmarkStart w:id="362" w:name="_Toc509738087"/>
      <w:bookmarkStart w:id="363" w:name="_Toc516991706"/>
      <w:r w:rsidRPr="00237A2C">
        <w:t>Ansökningsnämndernas verksamhet</w:t>
      </w:r>
      <w:bookmarkEnd w:id="361"/>
      <w:bookmarkEnd w:id="362"/>
      <w:bookmarkEnd w:id="363"/>
    </w:p>
    <w:p w:rsidR="00AE50BA" w:rsidRPr="00237A2C" w:rsidRDefault="00AE50BA">
      <w:pPr>
        <w:rPr>
          <w:b/>
        </w:rPr>
      </w:pPr>
      <w:r w:rsidRPr="00237A2C">
        <w:t xml:space="preserve">Ansökningsnämnder kan inte instrueras av ministern om vilka beslut de skall fatta om det inte finns särskilt angivet i lag </w:t>
      </w:r>
      <w:r w:rsidRPr="00237A2C">
        <w:sym w:font="Symbol" w:char="F02D"/>
      </w:r>
      <w:r w:rsidRPr="00237A2C">
        <w:t xml:space="preserve"> och det gör det mycket sällan. Ministern kan inte heller ompröva deras beslut. Exempel på områden som hanteras av ansökningsnämnder är företagsstöd och exportstöd och medel till kultur och forskning.</w:t>
      </w:r>
      <w:r w:rsidRPr="00237A2C">
        <w:rPr>
          <w:rStyle w:val="Fotnotsreferens"/>
        </w:rPr>
        <w:footnoteReference w:id="181"/>
      </w:r>
    </w:p>
    <w:p w:rsidR="00AE50BA" w:rsidRPr="00237A2C" w:rsidRDefault="00AE50BA">
      <w:pPr>
        <w:pStyle w:val="Normaltindrag"/>
      </w:pPr>
      <w:r w:rsidRPr="00237A2C">
        <w:t>Ansökningsnämnderna har enligt Christensen vanligtvis upprättats av två skäl: 1) för att möjliggöra rekrytering av männi</w:t>
      </w:r>
      <w:r w:rsidRPr="00237A2C">
        <w:softHyphen/>
        <w:t>skor utanför central</w:t>
      </w:r>
      <w:r w:rsidRPr="00237A2C">
        <w:softHyphen/>
        <w:t>admi</w:t>
      </w:r>
      <w:r w:rsidRPr="00237A2C">
        <w:softHyphen/>
        <w:t>nistrationen (till exempel politiker, intresserep</w:t>
      </w:r>
      <w:r w:rsidRPr="00237A2C">
        <w:softHyphen/>
        <w:t>re</w:t>
      </w:r>
      <w:r w:rsidRPr="00237A2C">
        <w:softHyphen/>
        <w:t>sen</w:t>
      </w:r>
      <w:r w:rsidRPr="00237A2C">
        <w:softHyphen/>
        <w:t>tanter och sakkunniga från bl.a. universitetsvärlden) och 2) för att fjärma besluten från ministerns påverkan och ansvar. Ministern får endast ge instruktioner om ärendebe</w:t>
      </w:r>
      <w:r w:rsidRPr="00237A2C">
        <w:softHyphen/>
        <w:t>hand</w:t>
      </w:r>
      <w:r w:rsidRPr="00237A2C">
        <w:softHyphen/>
      </w:r>
      <w:r w:rsidRPr="00237A2C">
        <w:softHyphen/>
        <w:t>lingens procedur (</w:t>
      </w:r>
      <w:r w:rsidRPr="00237A2C">
        <w:rPr>
          <w:i/>
        </w:rPr>
        <w:t>forretnings</w:t>
      </w:r>
      <w:r w:rsidRPr="00237A2C">
        <w:rPr>
          <w:i/>
        </w:rPr>
        <w:softHyphen/>
        <w:t>orden</w:t>
      </w:r>
      <w:r w:rsidRPr="00237A2C">
        <w:t>), men om inte bidragsprogrammets la</w:t>
      </w:r>
      <w:r w:rsidRPr="00237A2C">
        <w:t>g</w:t>
      </w:r>
      <w:r w:rsidRPr="00237A2C">
        <w:t>stiftning ger undan</w:t>
      </w:r>
      <w:r w:rsidRPr="00237A2C">
        <w:softHyphen/>
        <w:t>tag måste ministerns instruktioner överensstämma med förvalt</w:t>
      </w:r>
      <w:r w:rsidRPr="00237A2C">
        <w:softHyphen/>
        <w:t>nings</w:t>
      </w:r>
      <w:r w:rsidRPr="00237A2C">
        <w:softHyphen/>
        <w:t>lagen och grundläggande rättspraxis. De beslut som fattas i r</w:t>
      </w:r>
      <w:r w:rsidRPr="00237A2C">
        <w:t>å</w:t>
      </w:r>
      <w:r w:rsidRPr="00237A2C">
        <w:t>den/nämnd</w:t>
      </w:r>
      <w:r w:rsidRPr="00237A2C">
        <w:softHyphen/>
        <w:t>erna kan inte överk</w:t>
      </w:r>
      <w:r w:rsidRPr="00237A2C">
        <w:t>lagas till centraladmi</w:t>
      </w:r>
      <w:r w:rsidRPr="00237A2C">
        <w:softHyphen/>
        <w:t>ni</w:t>
      </w:r>
      <w:r w:rsidRPr="00237A2C">
        <w:softHyphen/>
        <w:t>stra</w:t>
      </w:r>
      <w:r w:rsidRPr="00237A2C">
        <w:softHyphen/>
        <w:t>tionen med mindre än att program</w:t>
      </w:r>
      <w:r w:rsidRPr="00237A2C">
        <w:softHyphen/>
        <w:t>mets lagstiftning ger uttryckligt stöd för det. Inte heller kan central</w:t>
      </w:r>
      <w:r w:rsidRPr="00237A2C">
        <w:softHyphen/>
        <w:t>admi</w:t>
      </w:r>
      <w:r w:rsidRPr="00237A2C">
        <w:softHyphen/>
        <w:t>nistrationen på eget initiativ eller ens på begäran av rådet/nämn</w:t>
      </w:r>
      <w:r w:rsidRPr="00237A2C">
        <w:softHyphen/>
        <w:t>den ta upp ärendet.</w:t>
      </w:r>
      <w:r w:rsidRPr="00237A2C">
        <w:rPr>
          <w:rStyle w:val="Fotnotsreferens"/>
        </w:rPr>
        <w:footnoteReference w:id="182"/>
      </w:r>
    </w:p>
    <w:p w:rsidR="00AE50BA" w:rsidRPr="00237A2C" w:rsidRDefault="00AE50BA">
      <w:pPr>
        <w:pStyle w:val="Normaltindrag"/>
      </w:pPr>
      <w:r w:rsidRPr="00237A2C">
        <w:t>Eftersom beslutsprocedurer inkluderande ansökningsnämnd har varit sä</w:t>
      </w:r>
      <w:r w:rsidRPr="00237A2C">
        <w:t>r</w:t>
      </w:r>
      <w:r w:rsidRPr="00237A2C">
        <w:t>skilt viktiga på det näringspolitiska området har jag valt att undersöka detta närmare. Från och med mitten av 1970-talet infördes en betydan</w:t>
      </w:r>
      <w:r w:rsidRPr="00237A2C">
        <w:softHyphen/>
        <w:t>de mängd nya industripolitiska stödformer och därmed ökades också antalet kollegiala nämnder som är så karakteristiska för dansk industri</w:t>
      </w:r>
      <w:r w:rsidRPr="00237A2C">
        <w:softHyphen/>
        <w:t>poli</w:t>
      </w:r>
      <w:r w:rsidRPr="00237A2C">
        <w:softHyphen/>
        <w:t>tik. Den skönsmäs</w:t>
      </w:r>
      <w:r w:rsidRPr="00237A2C">
        <w:softHyphen/>
        <w:t>si</w:t>
      </w:r>
      <w:r w:rsidRPr="00237A2C">
        <w:softHyphen/>
        <w:t>ga bedömningens betydelse för besluten är betyd</w:t>
      </w:r>
      <w:r w:rsidRPr="00237A2C">
        <w:softHyphen/>
        <w:t>an</w:t>
      </w:r>
      <w:r w:rsidRPr="00237A2C">
        <w:softHyphen/>
        <w:t>de, men begränsas likväl av en räcka mer eller mindre objektiva krav i det enskilda stödpro</w:t>
      </w:r>
      <w:r w:rsidRPr="00237A2C">
        <w:softHyphen/>
        <w:t>gram</w:t>
      </w:r>
      <w:r w:rsidRPr="00237A2C">
        <w:softHyphen/>
        <w:t>met, till exempel beträf</w:t>
      </w:r>
      <w:r w:rsidRPr="00237A2C">
        <w:softHyphen/>
        <w:t>fan</w:t>
      </w:r>
      <w:r w:rsidRPr="00237A2C">
        <w:softHyphen/>
        <w:t xml:space="preserve">de företagens soliditet och </w:t>
      </w:r>
      <w:r w:rsidRPr="00237A2C">
        <w:t>räntabilitet. Sidenius hävdar vidare att ministeriet endast involveras i mycket stora och principiella äre</w:t>
      </w:r>
      <w:r w:rsidRPr="00237A2C">
        <w:t>n</w:t>
      </w:r>
      <w:r w:rsidRPr="00237A2C">
        <w:t>den.</w:t>
      </w:r>
      <w:r w:rsidRPr="00237A2C">
        <w:rPr>
          <w:rStyle w:val="Fotnotsreferens"/>
        </w:rPr>
        <w:footnoteReference w:id="183"/>
      </w:r>
      <w:r w:rsidRPr="00237A2C">
        <w:t xml:space="preserve"> Här kan noteras att Grønbæk (1991) vid en jämförelse mellan den danska och den svenska industripo</w:t>
      </w:r>
      <w:r w:rsidRPr="00237A2C">
        <w:softHyphen/>
        <w:t>liti</w:t>
      </w:r>
      <w:r w:rsidRPr="00237A2C">
        <w:softHyphen/>
        <w:t>ken under 1970- och 1980-talet noter</w:t>
      </w:r>
      <w:r w:rsidRPr="00237A2C">
        <w:t>a</w:t>
      </w:r>
      <w:r w:rsidRPr="00237A2C">
        <w:t>de flera betydande skillnader: den svenska politiken var betydligt mer omfat</w:t>
      </w:r>
      <w:r w:rsidRPr="00237A2C">
        <w:softHyphen/>
        <w:t>tan</w:t>
      </w:r>
      <w:r w:rsidRPr="00237A2C">
        <w:softHyphen/>
        <w:t>de, den känne</w:t>
      </w:r>
      <w:r w:rsidRPr="00237A2C">
        <w:softHyphen/>
        <w:t>teck</w:t>
      </w:r>
      <w:r w:rsidRPr="00237A2C">
        <w:softHyphen/>
        <w:t>nades i betydligt högre grad av selektivitet och stöd till enskil</w:t>
      </w:r>
      <w:r w:rsidRPr="00237A2C">
        <w:softHyphen/>
        <w:t>da företag, direkta kontakter mellan stat och företag var vanliga och utrymmet för beslut på skönsmäs</w:t>
      </w:r>
      <w:r w:rsidRPr="00237A2C">
        <w:softHyphen/>
        <w:t>si</w:t>
      </w:r>
      <w:r w:rsidRPr="00237A2C">
        <w:softHyphen/>
        <w:t>ga grunder betydligt större.</w:t>
      </w:r>
      <w:r w:rsidRPr="00237A2C">
        <w:rPr>
          <w:rStyle w:val="Fotnotsreferens"/>
        </w:rPr>
        <w:footnoteReference w:id="184"/>
      </w:r>
      <w:r w:rsidRPr="00237A2C">
        <w:t xml:space="preserve"> Det svenska förbudet mot ministerstyre hindrade således på intet sätt betydligt mer ing</w:t>
      </w:r>
      <w:r w:rsidRPr="00237A2C">
        <w:t>å</w:t>
      </w:r>
      <w:r w:rsidRPr="00237A2C">
        <w:t>ende politisk inblandning i det industripolitiska stödet än i Danmark.</w:t>
      </w:r>
    </w:p>
    <w:p w:rsidR="00AE50BA" w:rsidRPr="00237A2C" w:rsidRDefault="00AE50BA">
      <w:pPr>
        <w:pStyle w:val="Rubrik3"/>
      </w:pPr>
      <w:bookmarkStart w:id="364" w:name="_Toc509711266"/>
      <w:bookmarkStart w:id="365" w:name="_Toc509738088"/>
      <w:bookmarkStart w:id="366" w:name="_Toc516991707"/>
      <w:r w:rsidRPr="00237A2C">
        <w:t>De statliga penningpotterna (puljeordningerne)</w:t>
      </w:r>
      <w:bookmarkEnd w:id="364"/>
      <w:bookmarkEnd w:id="365"/>
      <w:bookmarkEnd w:id="366"/>
    </w:p>
    <w:p w:rsidR="00AE50BA" w:rsidRPr="00237A2C" w:rsidRDefault="00AE50BA">
      <w:r w:rsidRPr="00237A2C">
        <w:t>Det danska inrikesministeriet genomförde 1998 en undersökning av de statli</w:t>
      </w:r>
      <w:r w:rsidRPr="00237A2C">
        <w:softHyphen/>
        <w:t>ga penningpotterna. Dessa program stödjer huvudsakligen genomför</w:t>
      </w:r>
      <w:r w:rsidRPr="00237A2C">
        <w:softHyphen/>
        <w:t>an</w:t>
      </w:r>
      <w:r w:rsidRPr="00237A2C">
        <w:softHyphen/>
        <w:t>det av olika försöks- och utvecklingsverksamheter. De avses ibland också påverka den kommunala priorite</w:t>
      </w:r>
      <w:r w:rsidRPr="00237A2C">
        <w:softHyphen/>
        <w:t>ringen av vissa uppgifter. Stöden ges huvudsakligen till konkreta projekt och på årsbasis. Kartläggningen visade att dessa pr</w:t>
      </w:r>
      <w:r w:rsidRPr="00237A2C">
        <w:t>o</w:t>
      </w:r>
      <w:r w:rsidRPr="00237A2C">
        <w:t xml:space="preserve">gram </w:t>
      </w:r>
      <w:r w:rsidRPr="00237A2C">
        <w:sym w:font="Symbol" w:char="F02D"/>
      </w:r>
      <w:r w:rsidRPr="00237A2C">
        <w:t xml:space="preserve"> exklusive EU:s strukturfonder </w:t>
      </w:r>
      <w:r w:rsidRPr="00237A2C">
        <w:sym w:font="Symbol" w:char="F02D"/>
      </w:r>
      <w:r w:rsidRPr="00237A2C">
        <w:t xml:space="preserve"> distribuerade knappt 1,8 miljarder dkr. Av de 54 bidragssystemen administreras de flesta av Miljö- och Energi</w:t>
      </w:r>
      <w:r w:rsidRPr="00237A2C">
        <w:softHyphen/>
        <w:t>mini</w:t>
      </w:r>
      <w:r w:rsidRPr="00237A2C">
        <w:softHyphen/>
        <w:t>steriet, Undervisningsministeriet och Socialministeriet. De</w:t>
      </w:r>
      <w:r w:rsidRPr="00237A2C">
        <w:t>t senare a</w:t>
      </w:r>
      <w:r w:rsidRPr="00237A2C">
        <w:t>n</w:t>
      </w:r>
      <w:r w:rsidRPr="00237A2C">
        <w:t>svarar ensamt för 16 program och knappt 440 miljoner kronor.</w:t>
      </w:r>
      <w:r w:rsidRPr="00237A2C">
        <w:rPr>
          <w:rStyle w:val="Fotnotsreferens"/>
        </w:rPr>
        <w:footnoteReference w:id="185"/>
      </w:r>
    </w:p>
    <w:p w:rsidR="00AE50BA" w:rsidRPr="00237A2C" w:rsidRDefault="00AE50BA">
      <w:pPr>
        <w:pStyle w:val="Normaltindrag"/>
      </w:pPr>
      <w:r w:rsidRPr="00237A2C">
        <w:t>Till skillnad från ansökningsnämndernas verksamhet så är ministern a</w:t>
      </w:r>
      <w:r w:rsidRPr="00237A2C">
        <w:t>n</w:t>
      </w:r>
      <w:r w:rsidRPr="00237A2C">
        <w:t>svarig för fördelningen av penningpotterna. I Danmark har dock inte b</w:t>
      </w:r>
      <w:r w:rsidRPr="00237A2C">
        <w:t>i</w:t>
      </w:r>
      <w:r w:rsidRPr="00237A2C">
        <w:t>dragsbesluten kommit att ifrågasättas på det sätt som har skett på senare år i Sverige. Givet att programmen lämnar ett stort utrymme för skönsmässiga bedömningar är detta intressant. Har man i Danmark funnit former för b</w:t>
      </w:r>
      <w:r w:rsidRPr="00237A2C">
        <w:t>e</w:t>
      </w:r>
      <w:r w:rsidRPr="00237A2C">
        <w:t>slutsfa</w:t>
      </w:r>
      <w:r w:rsidRPr="00237A2C">
        <w:t>t</w:t>
      </w:r>
      <w:r w:rsidRPr="00237A2C">
        <w:t>tandet som ger bidragsbesluten legitimitet?</w:t>
      </w:r>
    </w:p>
    <w:p w:rsidR="00AE50BA" w:rsidRPr="00237A2C" w:rsidRDefault="00AE50BA">
      <w:pPr>
        <w:pStyle w:val="Normaltindrag"/>
      </w:pPr>
      <w:r w:rsidRPr="00237A2C">
        <w:t>De exakta begränsningarna för ministerns möjlighet att utöva skön avgörs av det enskilda programmets utformning och variationerna är ganska stora. Ministern måste dock</w:t>
      </w:r>
      <w:r w:rsidRPr="00237A2C">
        <w:t xml:space="preserve"> </w:t>
      </w:r>
      <w:r w:rsidRPr="00237A2C">
        <w:sym w:font="Symbol" w:char="F02D"/>
      </w:r>
      <w:r w:rsidRPr="00237A2C">
        <w:t xml:space="preserve"> som alltid </w:t>
      </w:r>
      <w:r w:rsidRPr="00237A2C">
        <w:sym w:font="Symbol" w:char="F02D"/>
      </w:r>
      <w:r w:rsidRPr="00237A2C">
        <w:t xml:space="preserve"> följa de allmänna begränsningar som följer av förvaltningsrätten, till exempel regler om saklighet och mot mak</w:t>
      </w:r>
      <w:r w:rsidRPr="00237A2C">
        <w:t>t</w:t>
      </w:r>
      <w:r w:rsidRPr="00237A2C">
        <w:t>missbruk etc. I praktiken är utrymmet för skön dock vanligen betydande. När ministern är högsta förvaltnings</w:t>
      </w:r>
      <w:r w:rsidRPr="00237A2C">
        <w:softHyphen/>
        <w:t>myn</w:t>
      </w:r>
      <w:r w:rsidRPr="00237A2C">
        <w:softHyphen/>
        <w:t>dig</w:t>
      </w:r>
      <w:r w:rsidRPr="00237A2C">
        <w:softHyphen/>
        <w:t>het finns ju inte heller någon besvä</w:t>
      </w:r>
      <w:r w:rsidRPr="00237A2C">
        <w:t>r</w:t>
      </w:r>
      <w:r w:rsidRPr="00237A2C">
        <w:t>snämnd att hänvända sig till.</w:t>
      </w:r>
      <w:r w:rsidRPr="00237A2C">
        <w:rPr>
          <w:rStyle w:val="Fotnotsreferens"/>
        </w:rPr>
        <w:footnoteReference w:id="186"/>
      </w:r>
    </w:p>
    <w:p w:rsidR="00AE50BA" w:rsidRPr="00237A2C" w:rsidRDefault="00AE50BA">
      <w:pPr>
        <w:pStyle w:val="Normaltindrag"/>
      </w:pPr>
      <w:r w:rsidRPr="00237A2C">
        <w:t>Jämfört med de svenska delegationernas medel fördelas emellertid ganska begränsade summor via puljer. Bakgrunden till detta är sanno</w:t>
      </w:r>
      <w:r w:rsidRPr="00237A2C">
        <w:softHyphen/>
        <w:t>likt motståndet från de kommunala organisationerna. Kommunernas Landsfö</w:t>
      </w:r>
      <w:r w:rsidRPr="00237A2C">
        <w:softHyphen/>
        <w:t>re</w:t>
      </w:r>
      <w:r w:rsidRPr="00237A2C">
        <w:softHyphen/>
        <w:t>ning skriver:</w:t>
      </w:r>
    </w:p>
    <w:p w:rsidR="00AE50BA" w:rsidRPr="00237A2C" w:rsidRDefault="00AE50BA">
      <w:pPr>
        <w:rPr>
          <w:i/>
        </w:rPr>
      </w:pPr>
      <w:r w:rsidRPr="00237A2C">
        <w:rPr>
          <w:i/>
        </w:rPr>
        <w:t>Det er landsforeningens opgave at udbrede forståelsen for, at indret</w:t>
      </w:r>
      <w:r w:rsidRPr="00237A2C">
        <w:rPr>
          <w:i/>
        </w:rPr>
        <w:softHyphen/>
        <w:t>ning</w:t>
      </w:r>
      <w:r w:rsidRPr="00237A2C">
        <w:rPr>
          <w:i/>
        </w:rPr>
        <w:softHyphen/>
        <w:t>en af den kommunale finansiering må ses i sammenhæng med de overord</w:t>
      </w:r>
      <w:r w:rsidRPr="00237A2C">
        <w:rPr>
          <w:i/>
        </w:rPr>
        <w:softHyphen/>
        <w:t>nede målsætninger for det kommunale selvstyre. Dermed reduce</w:t>
      </w:r>
      <w:r w:rsidRPr="00237A2C">
        <w:rPr>
          <w:i/>
        </w:rPr>
        <w:softHyphen/>
        <w:t>res risikoen for, at mere kortsigtede eller sektorpolitiske interesser præger udviklingen i en retning, som indskrænker det kommunalpolitiske råderum, som det fx sker ved en udbredt brug af særtilskud og puljeord</w:t>
      </w:r>
      <w:r w:rsidRPr="00237A2C">
        <w:rPr>
          <w:i/>
        </w:rPr>
        <w:softHyphen/>
        <w:t>ning</w:t>
      </w:r>
      <w:r w:rsidRPr="00237A2C">
        <w:rPr>
          <w:i/>
        </w:rPr>
        <w:softHyphen/>
        <w:t>er.</w:t>
      </w:r>
      <w:r w:rsidRPr="00237A2C">
        <w:rPr>
          <w:rStyle w:val="Fotnotsreferens"/>
          <w:i/>
        </w:rPr>
        <w:footnoteReference w:id="187"/>
      </w:r>
    </w:p>
    <w:p w:rsidR="00AE50BA" w:rsidRPr="00237A2C" w:rsidRDefault="00AE50BA">
      <w:pPr>
        <w:pStyle w:val="Normaltindrag"/>
      </w:pPr>
      <w:r w:rsidRPr="00237A2C">
        <w:t>Det område som i Sverige har rönt störst uppmärksamhet vad gäller del</w:t>
      </w:r>
      <w:r w:rsidRPr="00237A2C">
        <w:t>e</w:t>
      </w:r>
      <w:r w:rsidRPr="00237A2C">
        <w:t>gationers fördelning av medel är miljöområdet och därför valde jag att titta närmare på det också i Danmark. Kommuner kan liksom företag och för</w:t>
      </w:r>
      <w:r w:rsidRPr="00237A2C">
        <w:t>e</w:t>
      </w:r>
      <w:r w:rsidRPr="00237A2C">
        <w:t>ningar m.fl. söka pengar från fonder som till exempel Den Gröna Fonden. Fonden disponerar år 2000 45 miljoner kronor och beslut om medlens fö</w:t>
      </w:r>
      <w:r w:rsidRPr="00237A2C">
        <w:t>r</w:t>
      </w:r>
      <w:r w:rsidRPr="00237A2C">
        <w:t>delning fattas av fondens styrelse.</w:t>
      </w:r>
      <w:r w:rsidRPr="00237A2C">
        <w:rPr>
          <w:rStyle w:val="Fotnotsreferens"/>
        </w:rPr>
        <w:footnoteReference w:id="188"/>
      </w:r>
      <w:r w:rsidRPr="00237A2C">
        <w:t xml:space="preserve"> Miljö- och Energiministeriets nio pulje</w:t>
      </w:r>
      <w:r w:rsidRPr="00237A2C">
        <w:softHyphen/>
        <w:t>ord</w:t>
      </w:r>
      <w:r w:rsidRPr="00237A2C">
        <w:softHyphen/>
        <w:t>ningar omsatte 1998 77 miljoner dkr.</w:t>
      </w:r>
      <w:r w:rsidRPr="00237A2C">
        <w:rPr>
          <w:rStyle w:val="Fotnotsreferens"/>
        </w:rPr>
        <w:footnoteReference w:id="189"/>
      </w:r>
      <w:r w:rsidRPr="00237A2C">
        <w:t xml:space="preserve"> Men kommunerna har ett u</w:t>
      </w:r>
      <w:r w:rsidRPr="00237A2C">
        <w:t>t</w:t>
      </w:r>
      <w:r w:rsidRPr="00237A2C">
        <w:t>präglat själv</w:t>
      </w:r>
      <w:r w:rsidRPr="00237A2C">
        <w:softHyphen/>
        <w:t>sty</w:t>
      </w:r>
      <w:r w:rsidRPr="00237A2C">
        <w:softHyphen/>
        <w:t>re på miljöområdet i Danmark jämfört med Sverige. Minist</w:t>
      </w:r>
      <w:r w:rsidRPr="00237A2C">
        <w:t>e</w:t>
      </w:r>
      <w:r w:rsidRPr="00237A2C">
        <w:t>riet ”styr” huvudsakligen genom ej bindan</w:t>
      </w:r>
      <w:r w:rsidRPr="00237A2C">
        <w:softHyphen/>
        <w:t>de riktlinjer.</w:t>
      </w:r>
      <w:r w:rsidRPr="00237A2C">
        <w:rPr>
          <w:rStyle w:val="Fotnotsreferens"/>
        </w:rPr>
        <w:footnoteReference w:id="190"/>
      </w:r>
      <w:r w:rsidRPr="00237A2C">
        <w:t xml:space="preserve"> De medel som fördelas är således mycket mindre omfat</w:t>
      </w:r>
      <w:r w:rsidRPr="00237A2C">
        <w:softHyphen/>
        <w:t>tan</w:t>
      </w:r>
      <w:r w:rsidRPr="00237A2C">
        <w:softHyphen/>
        <w:t>de än i Sverige där bara det l</w:t>
      </w:r>
      <w:r w:rsidRPr="00237A2C">
        <w:t>o</w:t>
      </w:r>
      <w:r w:rsidRPr="00237A2C">
        <w:t>kala investeringsprogrammet omfattade 1 758 miljoner kronor när utgifterna var som högst år 2000.</w:t>
      </w:r>
      <w:r w:rsidRPr="00237A2C">
        <w:rPr>
          <w:rStyle w:val="Fotnotsreferens"/>
        </w:rPr>
        <w:footnoteReference w:id="191"/>
      </w:r>
    </w:p>
    <w:p w:rsidR="00AE50BA" w:rsidRPr="00237A2C" w:rsidRDefault="00AE50BA">
      <w:pPr>
        <w:pStyle w:val="Normaltindrag"/>
      </w:pPr>
      <w:r w:rsidRPr="00237A2C">
        <w:t>Det finns ytterst lite material som belyser hur puljeordningarna admini</w:t>
      </w:r>
      <w:r w:rsidRPr="00237A2C">
        <w:softHyphen/>
      </w:r>
      <w:r w:rsidRPr="00237A2C">
        <w:softHyphen/>
        <w:t xml:space="preserve">streras i praktiken. Ett undantag är Hegelands (1994) bok om de så kallade </w:t>
      </w:r>
      <w:r w:rsidRPr="00237A2C">
        <w:rPr>
          <w:i/>
        </w:rPr>
        <w:t>SUM-pengarna</w:t>
      </w:r>
      <w:r w:rsidRPr="00237A2C">
        <w:t>. Socialministern hade ett överordnat ansvar för medlen. Han hade dock assistans av två rådgivande instanser: 1) utveck</w:t>
      </w:r>
      <w:r w:rsidRPr="00237A2C">
        <w:softHyphen/>
        <w:t>lings</w:t>
      </w:r>
      <w:r w:rsidRPr="00237A2C">
        <w:softHyphen/>
        <w:t>rådet och 2) anslagsutskottet (</w:t>
      </w:r>
      <w:r w:rsidRPr="00237A2C">
        <w:rPr>
          <w:i/>
        </w:rPr>
        <w:t>bevillings</w:t>
      </w:r>
      <w:r w:rsidRPr="00237A2C">
        <w:rPr>
          <w:i/>
        </w:rPr>
        <w:softHyphen/>
        <w:t>udval</w:t>
      </w:r>
      <w:r w:rsidRPr="00237A2C">
        <w:rPr>
          <w:i/>
        </w:rPr>
        <w:softHyphen/>
        <w:t>get</w:t>
      </w:r>
      <w:r w:rsidRPr="00237A2C">
        <w:t>). Det förra innehöll representanter för en mängd organisationer och gav råd till ministern om mer principiella frågor. Bevillingsudvalget (BU) hade nio medlemmar som representerade bland annat de kommunala organi</w:t>
      </w:r>
      <w:r w:rsidRPr="00237A2C">
        <w:softHyphen/>
        <w:t>sa</w:t>
      </w:r>
      <w:r w:rsidRPr="00237A2C">
        <w:softHyphen/>
        <w:t>tionerna och sakkunnig expert</w:t>
      </w:r>
      <w:r w:rsidRPr="00237A2C">
        <w:t>is. Socialsty</w:t>
      </w:r>
      <w:r w:rsidRPr="00237A2C">
        <w:softHyphen/>
        <w:t>rel</w:t>
      </w:r>
      <w:r w:rsidRPr="00237A2C">
        <w:softHyphen/>
        <w:t>sens general</w:t>
      </w:r>
      <w:r w:rsidRPr="00237A2C">
        <w:softHyphen/>
        <w:t>direk</w:t>
      </w:r>
      <w:r w:rsidRPr="00237A2C">
        <w:softHyphen/>
        <w:t>tör var ordför</w:t>
      </w:r>
      <w:r w:rsidRPr="00237A2C">
        <w:softHyphen/>
        <w:t>ande för utskottet. Ansök</w:t>
      </w:r>
      <w:r w:rsidRPr="00237A2C">
        <w:softHyphen/>
        <w:t>ning</w:t>
      </w:r>
      <w:r w:rsidRPr="00237A2C">
        <w:softHyphen/>
        <w:t>ar</w:t>
      </w:r>
      <w:r w:rsidRPr="00237A2C">
        <w:softHyphen/>
        <w:t>na bereddes först i Socialministeriet. Därefter gick ärendet vidare till BU, som i sin tur gjorde en hemställan till ministern om avslag/godkän</w:t>
      </w:r>
      <w:r w:rsidRPr="00237A2C">
        <w:softHyphen/>
        <w:t>nan</w:t>
      </w:r>
      <w:r w:rsidRPr="00237A2C">
        <w:softHyphen/>
        <w:t>de, belopp med mera.</w:t>
      </w:r>
      <w:r w:rsidRPr="00237A2C">
        <w:rPr>
          <w:rStyle w:val="Fotnotsreferens"/>
        </w:rPr>
        <w:footnoteReference w:id="192"/>
      </w:r>
    </w:p>
    <w:p w:rsidR="00AE50BA" w:rsidRPr="00237A2C" w:rsidRDefault="00AE50BA">
      <w:pPr>
        <w:pStyle w:val="Normaltindrag"/>
      </w:pPr>
      <w:r w:rsidRPr="00237A2C">
        <w:t>Hegeland skriver inget om konflikter mellan minister och sakkunniga a</w:t>
      </w:r>
      <w:r w:rsidRPr="00237A2C">
        <w:t>n</w:t>
      </w:r>
      <w:r w:rsidRPr="00237A2C">
        <w:t>gående enskilda ärenden, men däremot rådde delade meningar angående de generella fördelningsprinciperna. Sakområdes</w:t>
      </w:r>
      <w:r w:rsidRPr="00237A2C">
        <w:softHyphen/>
        <w:t>exper</w:t>
      </w:r>
      <w:r w:rsidRPr="00237A2C">
        <w:softHyphen/>
        <w:t>ter</w:t>
      </w:r>
      <w:r w:rsidRPr="00237A2C">
        <w:softHyphen/>
      </w:r>
      <w:r w:rsidRPr="00237A2C">
        <w:softHyphen/>
        <w:t>na ville å sin sida prioritera och satsa hårdare på färre projekt. Å andra sidan fanns politiska ”ønskninger om at tilgodose mange projekter, helst spredt både jævnt og bredt geografisk på målgrupper, baglande o.s.v. /.../”.</w:t>
      </w:r>
      <w:r w:rsidRPr="00237A2C">
        <w:rPr>
          <w:rStyle w:val="Fotnotsreferens"/>
        </w:rPr>
        <w:footnoteReference w:id="193"/>
      </w:r>
      <w:r w:rsidRPr="00237A2C">
        <w:t xml:space="preserve"> Slutresultatet blev en kompromiss mellan de två principerna där några ”modellprojekt” fick större anslag, medan de flesta fick ganska begränsade summor.</w:t>
      </w:r>
    </w:p>
    <w:p w:rsidR="00AE50BA" w:rsidRPr="00237A2C" w:rsidRDefault="00AE50BA">
      <w:pPr>
        <w:pStyle w:val="Normaltindrag"/>
      </w:pPr>
      <w:r w:rsidRPr="00237A2C">
        <w:t>På den mycket begränsade tiden för denna studie har det inte funnits mö</w:t>
      </w:r>
      <w:r w:rsidRPr="00237A2C">
        <w:t>j</w:t>
      </w:r>
      <w:r w:rsidRPr="00237A2C">
        <w:t>lighet att genomföra egna primärstudier avseende hur pass hög grad en dansk minister i praktiken intresserar sig för fördelningen av puljer. Men generellt kan sägas att förvaltningsärenden slåss med andra om ministerns högst a</w:t>
      </w:r>
      <w:r w:rsidRPr="00237A2C">
        <w:t>n</w:t>
      </w:r>
      <w:r w:rsidRPr="00237A2C">
        <w:t>strängda schema och uppmärksamhet. Ministrar har som en f.d. dansk soc</w:t>
      </w:r>
      <w:r w:rsidRPr="00237A2C">
        <w:t>i</w:t>
      </w:r>
      <w:r w:rsidRPr="00237A2C">
        <w:t>alminister har formulerat det, ”et kolossalt tidspro</w:t>
      </w:r>
      <w:r w:rsidRPr="00237A2C">
        <w:softHyphen/>
        <w:t>blem”.</w:t>
      </w:r>
      <w:r w:rsidRPr="00237A2C">
        <w:rPr>
          <w:rStyle w:val="Fotnotsreferens"/>
        </w:rPr>
        <w:footnoteReference w:id="194"/>
      </w:r>
      <w:r w:rsidRPr="00237A2C">
        <w:t xml:space="preserve"> En under</w:t>
      </w:r>
      <w:r w:rsidRPr="00237A2C">
        <w:softHyphen/>
        <w:t>sök</w:t>
      </w:r>
      <w:r w:rsidRPr="00237A2C">
        <w:softHyphen/>
        <w:t>ning visade att det bara var två ministrar (av tjugo) som uttryckligen tillkän</w:t>
      </w:r>
      <w:r w:rsidRPr="00237A2C">
        <w:softHyphen/>
        <w:t>nagav att förvaltningsärenden hade en hög priori</w:t>
      </w:r>
      <w:r w:rsidRPr="00237A2C">
        <w:softHyphen/>
        <w:t>tet.</w:t>
      </w:r>
      <w:r w:rsidRPr="00237A2C">
        <w:rPr>
          <w:rStyle w:val="Fotnotsreferens"/>
        </w:rPr>
        <w:footnoteReference w:id="195"/>
      </w:r>
      <w:r w:rsidRPr="00237A2C">
        <w:t xml:space="preserve"> Således är det möjligt för men inte särskilt sannolikt att en dansk minister gör stora förändringar i det förslag som arbetats fram inom hans ministerium.</w:t>
      </w:r>
    </w:p>
    <w:p w:rsidR="00AE50BA" w:rsidRPr="00237A2C" w:rsidRDefault="00AE50BA">
      <w:pPr>
        <w:pStyle w:val="Normaltindrag"/>
      </w:pPr>
      <w:r w:rsidRPr="00237A2C">
        <w:t>Sammanfattningsvis är det intressant att notera att man i den formellt sett ministerstyrda danska förvaltningen finner exempel på hur man medvetet har skapat former för fördelning av pengar som skärmar av ministerns instruk</w:t>
      </w:r>
      <w:r w:rsidRPr="00237A2C">
        <w:softHyphen/>
        <w:t>tions</w:t>
      </w:r>
      <w:r w:rsidRPr="00237A2C">
        <w:softHyphen/>
      </w:r>
      <w:r w:rsidRPr="00237A2C">
        <w:softHyphen/>
        <w:t>möjligheter och ansvar (de så kallade ansöknings</w:t>
      </w:r>
      <w:r w:rsidRPr="00237A2C">
        <w:softHyphen/>
        <w:t>nämnd</w:t>
      </w:r>
      <w:r w:rsidRPr="00237A2C">
        <w:softHyphen/>
        <w:t>er</w:t>
      </w:r>
      <w:r w:rsidRPr="00237A2C">
        <w:softHyphen/>
        <w:t>na). I admini</w:t>
      </w:r>
      <w:r w:rsidRPr="00237A2C">
        <w:softHyphen/>
        <w:t>stra</w:t>
      </w:r>
      <w:r w:rsidRPr="00237A2C">
        <w:softHyphen/>
      </w:r>
      <w:r w:rsidRPr="00237A2C">
        <w:softHyphen/>
        <w:t>tionen av dessa medel har man också involverat intresse</w:t>
      </w:r>
      <w:r w:rsidRPr="00237A2C">
        <w:softHyphen/>
        <w:t>orga</w:t>
      </w:r>
      <w:r w:rsidRPr="00237A2C">
        <w:softHyphen/>
        <w:t>nisationer och andra som kan sägas tillföra sakkunskap till bered</w:t>
      </w:r>
      <w:r w:rsidRPr="00237A2C">
        <w:softHyphen/>
        <w:t>ning</w:t>
      </w:r>
      <w:r w:rsidRPr="00237A2C">
        <w:softHyphen/>
        <w:t>en. Därigenom har man funnit en beslutsform som förefaller skapa en ganska hög legitimitet för de fattade besluten.</w:t>
      </w:r>
    </w:p>
    <w:p w:rsidR="00AE50BA" w:rsidRPr="00237A2C" w:rsidRDefault="00AE50BA">
      <w:pPr>
        <w:pStyle w:val="Normaltindrag"/>
      </w:pPr>
      <w:r w:rsidRPr="00237A2C">
        <w:t>Ministern har däremot formellt ett betydligt större inflytande över pulj</w:t>
      </w:r>
      <w:r w:rsidRPr="00237A2C">
        <w:t>e</w:t>
      </w:r>
      <w:r w:rsidRPr="00237A2C">
        <w:t>ord</w:t>
      </w:r>
      <w:r w:rsidRPr="00237A2C">
        <w:softHyphen/>
      </w:r>
      <w:r w:rsidRPr="00237A2C">
        <w:softHyphen/>
      </w:r>
      <w:r w:rsidRPr="00237A2C">
        <w:softHyphen/>
        <w:t>ning</w:t>
      </w:r>
      <w:r w:rsidRPr="00237A2C">
        <w:softHyphen/>
      </w:r>
      <w:r w:rsidRPr="00237A2C">
        <w:softHyphen/>
      </w:r>
      <w:r w:rsidRPr="00237A2C">
        <w:softHyphen/>
        <w:t>arna. Men dels fördelar dessa en ganska begränsad summa pengar, dels är antalet program stort. Och åtminstone vad SUM-pengarna beträf</w:t>
      </w:r>
      <w:r w:rsidRPr="00237A2C">
        <w:softHyphen/>
        <w:t>far var antalet motta</w:t>
      </w:r>
      <w:r w:rsidRPr="00237A2C">
        <w:softHyphen/>
        <w:t>ga</w:t>
      </w:r>
      <w:r w:rsidRPr="00237A2C">
        <w:softHyphen/>
        <w:t>re likaledes ganska stort varför de enskilda mottag</w:t>
      </w:r>
      <w:r w:rsidRPr="00237A2C">
        <w:softHyphen/>
        <w:t>ar</w:t>
      </w:r>
      <w:r w:rsidRPr="00237A2C">
        <w:softHyphen/>
      </w:r>
      <w:r w:rsidRPr="00237A2C">
        <w:softHyphen/>
        <w:t>na vanligen fick ganska lite pengar. Allt detta minskar risken för att penningfö</w:t>
      </w:r>
      <w:r w:rsidRPr="00237A2C">
        <w:t>r</w:t>
      </w:r>
      <w:r w:rsidRPr="00237A2C">
        <w:t>de</w:t>
      </w:r>
      <w:r w:rsidRPr="00237A2C">
        <w:t>l</w:t>
      </w:r>
      <w:r w:rsidRPr="00237A2C">
        <w:t>ningen ifrågasätts.</w:t>
      </w:r>
    </w:p>
    <w:p w:rsidR="00AE50BA" w:rsidRPr="00237A2C" w:rsidRDefault="00AE50BA">
      <w:pPr>
        <w:pStyle w:val="Rubrik2"/>
      </w:pPr>
      <w:bookmarkStart w:id="367" w:name="_Toc509711267"/>
      <w:bookmarkStart w:id="368" w:name="_Toc509738089"/>
      <w:bookmarkStart w:id="369" w:name="_Toc516991708"/>
      <w:r w:rsidRPr="00237A2C">
        <w:t>Sammanfattning</w:t>
      </w:r>
      <w:bookmarkEnd w:id="367"/>
      <w:bookmarkEnd w:id="368"/>
      <w:bookmarkEnd w:id="369"/>
    </w:p>
    <w:p w:rsidR="00AE50BA" w:rsidRPr="00237A2C" w:rsidRDefault="00AE50BA">
      <w:r w:rsidRPr="00237A2C">
        <w:t>Ministerstyre är i praktiken långt mer oklart än i teorin. Allt fler undantag har gjorts ifrån huvudregeln, till exempel beträffande möjligheten att överklaga till ministern. Direktoratens ställning är långt ifrån solklar. Utkrävandet av minister</w:t>
      </w:r>
      <w:r w:rsidRPr="00237A2C">
        <w:softHyphen/>
        <w:t>ansvar förefaller de facto ta hänsyn till ministerns reellt begrän</w:t>
      </w:r>
      <w:r w:rsidRPr="00237A2C">
        <w:softHyphen/>
        <w:t>sade möjlig</w:t>
      </w:r>
      <w:r w:rsidRPr="00237A2C">
        <w:softHyphen/>
        <w:t>heter att styra sitt ansvarsområde. En jämförelse med svenska förhål</w:t>
      </w:r>
      <w:r w:rsidRPr="00237A2C">
        <w:softHyphen/>
        <w:t>lan</w:t>
      </w:r>
      <w:r w:rsidRPr="00237A2C">
        <w:softHyphen/>
        <w:t>den visar vidare att många av de ärenden som i praktiken når en dansk eller en norsk ministers bord i Sverige istället hamnar på regeringens. I</w:t>
      </w:r>
      <w:r w:rsidRPr="00237A2C">
        <w:t>n</w:t>
      </w:r>
      <w:r w:rsidRPr="00237A2C">
        <w:t>dustri</w:t>
      </w:r>
      <w:r w:rsidRPr="00237A2C">
        <w:softHyphen/>
        <w:t>poli</w:t>
      </w:r>
      <w:r w:rsidRPr="00237A2C">
        <w:softHyphen/>
        <w:t>ti</w:t>
      </w:r>
      <w:r w:rsidRPr="00237A2C">
        <w:softHyphen/>
        <w:t>ken är vidare ett exempel på hur man från politiskt håll griper in betydligt starkare i Sverige i vissa förvaltningsbeslut.</w:t>
      </w:r>
    </w:p>
    <w:p w:rsidR="00AE50BA" w:rsidRPr="00237A2C" w:rsidRDefault="00AE50BA">
      <w:pPr>
        <w:pStyle w:val="Rubrik1"/>
      </w:pPr>
      <w:bookmarkStart w:id="370" w:name="_Toc509711268"/>
      <w:bookmarkStart w:id="371" w:name="_Toc509738090"/>
      <w:bookmarkStart w:id="372" w:name="_Toc516991709"/>
      <w:r w:rsidRPr="00237A2C">
        <w:t>Del 4</w:t>
      </w:r>
      <w:bookmarkEnd w:id="370"/>
      <w:bookmarkEnd w:id="371"/>
      <w:bookmarkEnd w:id="372"/>
    </w:p>
    <w:p w:rsidR="00AE50BA" w:rsidRPr="00237A2C" w:rsidRDefault="00AE50BA">
      <w:pPr>
        <w:pStyle w:val="Rubrik1"/>
      </w:pPr>
      <w:bookmarkStart w:id="373" w:name="_Toc509711269"/>
      <w:bookmarkStart w:id="374" w:name="_Toc509738091"/>
      <w:bookmarkStart w:id="375" w:name="_Toc516991710"/>
      <w:r w:rsidRPr="00237A2C">
        <w:t xml:space="preserve">Den svenska förvaltningsmodellen </w:t>
      </w:r>
      <w:r w:rsidRPr="00237A2C">
        <w:sym w:font="Symbol" w:char="F02D"/>
      </w:r>
      <w:r w:rsidRPr="00237A2C">
        <w:t xml:space="preserve"> en sammanfattande diskussion</w:t>
      </w:r>
      <w:bookmarkEnd w:id="373"/>
      <w:bookmarkEnd w:id="374"/>
      <w:bookmarkEnd w:id="375"/>
    </w:p>
    <w:p w:rsidR="00AE50BA" w:rsidRPr="00237A2C" w:rsidRDefault="00AE50BA">
      <w:pPr>
        <w:keepNext/>
        <w:keepLines/>
      </w:pPr>
      <w:r w:rsidRPr="00237A2C">
        <w:t>Att karakterisera den svenska förvaltningsmodellen är något av en Sisofys</w:t>
      </w:r>
      <w:r w:rsidRPr="00237A2C">
        <w:softHyphen/>
        <w:t>upp</w:t>
      </w:r>
      <w:r w:rsidRPr="00237A2C">
        <w:softHyphen/>
        <w:t>gift. Det är å ena sidan alldeles tydligt och klart om att det finns en al</w:t>
      </w:r>
      <w:r w:rsidRPr="00237A2C">
        <w:t>l</w:t>
      </w:r>
      <w:r w:rsidRPr="00237A2C">
        <w:t>män föreställning om att en sådan modell existerar. Det råder vidare också enighet om att den är bra ur normativ synpunkt. Enstaka avvikare ifrågasätter den, men i allmänhet så negligeras dessa. Det råder också en stark övertyge</w:t>
      </w:r>
      <w:r w:rsidRPr="00237A2C">
        <w:t>l</w:t>
      </w:r>
      <w:r w:rsidRPr="00237A2C">
        <w:t>se om att modellen ligger fast över tid. Oavsett om vi har en relativt liten stat karakte</w:t>
      </w:r>
      <w:r w:rsidRPr="00237A2C">
        <w:softHyphen/>
      </w:r>
      <w:r w:rsidRPr="00237A2C">
        <w:softHyphen/>
        <w:t>ri</w:t>
      </w:r>
      <w:r w:rsidRPr="00237A2C">
        <w:softHyphen/>
        <w:t>se</w:t>
      </w:r>
      <w:r w:rsidRPr="00237A2C">
        <w:softHyphen/>
        <w:t>rad av regelstyrning och ämbetsmannaideal eller en kraftigt e</w:t>
      </w:r>
      <w:r w:rsidRPr="00237A2C">
        <w:t>x</w:t>
      </w:r>
      <w:r w:rsidRPr="00237A2C">
        <w:t>pande</w:t>
      </w:r>
      <w:r w:rsidRPr="00237A2C">
        <w:softHyphen/>
        <w:t>rad välfärdsstat med resultat</w:t>
      </w:r>
      <w:r w:rsidRPr="00237A2C">
        <w:softHyphen/>
        <w:t>styr</w:t>
      </w:r>
      <w:r w:rsidRPr="00237A2C">
        <w:softHyphen/>
        <w:t>nin</w:t>
      </w:r>
      <w:r w:rsidRPr="00237A2C">
        <w:t>g så är den dominerande föreställ</w:t>
      </w:r>
      <w:r w:rsidRPr="00237A2C">
        <w:softHyphen/>
        <w:t>ningen att den svenska förvaltnings</w:t>
      </w:r>
      <w:r w:rsidRPr="00237A2C">
        <w:softHyphen/>
        <w:t>model</w:t>
      </w:r>
      <w:r w:rsidRPr="00237A2C">
        <w:softHyphen/>
        <w:t>len är bra normativt sett och står stark empiriskt sett.</w:t>
      </w:r>
    </w:p>
    <w:p w:rsidR="00AE50BA" w:rsidRPr="00237A2C" w:rsidRDefault="00AE50BA">
      <w:pPr>
        <w:pStyle w:val="Normaltindrag"/>
      </w:pPr>
      <w:r w:rsidRPr="00237A2C">
        <w:t>Men det är å andra sidan lika klart att begreppets innehåll är ganska di</w:t>
      </w:r>
      <w:r w:rsidRPr="00237A2C">
        <w:t>f</w:t>
      </w:r>
      <w:r w:rsidRPr="00237A2C">
        <w:t>fust. När det gäller central</w:t>
      </w:r>
      <w:r w:rsidRPr="00237A2C">
        <w:softHyphen/>
        <w:t>förvaltningen brukar man i första hand peka på ”dualismen”, det vill säga ämbetsverkens självständighet. Ministern eller regeringen får enligt RF 11:7 inte bestämma hur en myndighet skall besluta i ett enstaka fall av myndighetsutövning mot en enskild eller en kommun eller vid tillämpning av lag. Så lyder den rättsliga regleringen av självständigh</w:t>
      </w:r>
      <w:r w:rsidRPr="00237A2C">
        <w:t>e</w:t>
      </w:r>
      <w:r w:rsidRPr="00237A2C">
        <w:t xml:space="preserve">ten, men det är uppenbart att den på många håll uppfattas vara betydligt vidare än så. För några år sedan anklagade till exempel en </w:t>
      </w:r>
      <w:r w:rsidRPr="00237A2C">
        <w:t>generaldirektör ett statsråd för ministerstyre mot bakgrund av att ministern hade beordrat henne att skriva på ett ekonomiskt avtal om att bygga Citytunneln i Malmö, trots att general</w:t>
      </w:r>
      <w:r w:rsidRPr="00237A2C">
        <w:softHyphen/>
      </w:r>
      <w:r w:rsidRPr="00237A2C">
        <w:softHyphen/>
        <w:t>direktören person</w:t>
      </w:r>
      <w:r w:rsidRPr="00237A2C">
        <w:softHyphen/>
        <w:t>ligen ogillade projektet. Eftersom ett regeringsbeslut fanns om att uppdra åt Banverket att underteckna avtalet så förefaller gen</w:t>
      </w:r>
      <w:r w:rsidRPr="00237A2C">
        <w:t>e</w:t>
      </w:r>
      <w:r w:rsidRPr="00237A2C">
        <w:t>ral</w:t>
      </w:r>
      <w:r w:rsidRPr="00237A2C">
        <w:softHyphen/>
        <w:t>direk</w:t>
      </w:r>
      <w:r w:rsidRPr="00237A2C">
        <w:softHyphen/>
        <w:t>tören inte ha känt till RF 11:6 som stadgar att de centrala ämbetsve</w:t>
      </w:r>
      <w:r w:rsidRPr="00237A2C">
        <w:t>r</w:t>
      </w:r>
      <w:r w:rsidRPr="00237A2C">
        <w:t>ken lyder under regeringen, utan ha trott att ämbetsverkens självständighet sträcker sig långt utöve</w:t>
      </w:r>
      <w:r w:rsidRPr="00237A2C">
        <w:t>r den rättsliga regleringen. Av reaktionerna från m</w:t>
      </w:r>
      <w:r w:rsidRPr="00237A2C">
        <w:t>e</w:t>
      </w:r>
      <w:r w:rsidRPr="00237A2C">
        <w:t>dia och ett antal riksdagspolitiker att döma var hon långt ifrån ensam om detta. Konsti</w:t>
      </w:r>
      <w:r w:rsidRPr="00237A2C">
        <w:softHyphen/>
        <w:t>tu</w:t>
      </w:r>
      <w:r w:rsidRPr="00237A2C">
        <w:softHyphen/>
        <w:t>tionsutskottet friade dock statsrådet och ingen ledamot rese</w:t>
      </w:r>
      <w:r w:rsidRPr="00237A2C">
        <w:t>r</w:t>
      </w:r>
      <w:r w:rsidRPr="00237A2C">
        <w:t>verade sig mot beslutet.</w:t>
      </w:r>
      <w:r w:rsidRPr="00237A2C">
        <w:rPr>
          <w:rStyle w:val="Fotnotsreferens"/>
        </w:rPr>
        <w:footnoteReference w:id="196"/>
      </w:r>
      <w:r w:rsidRPr="00237A2C">
        <w:t xml:space="preserve"> En artikel på ledarsidan i Dagens Nyheter hävdade i samband med detta att ”’Ministerstyre’ är ett av politikens mest missbruk</w:t>
      </w:r>
      <w:r w:rsidRPr="00237A2C">
        <w:t>a</w:t>
      </w:r>
      <w:r w:rsidRPr="00237A2C">
        <w:t>de ord”.</w:t>
      </w:r>
      <w:r w:rsidRPr="00237A2C">
        <w:rPr>
          <w:rStyle w:val="Fotnotsreferens"/>
        </w:rPr>
        <w:footnoteReference w:id="197"/>
      </w:r>
    </w:p>
    <w:p w:rsidR="00AE50BA" w:rsidRPr="00237A2C" w:rsidRDefault="00AE50BA">
      <w:pPr>
        <w:pStyle w:val="Normaltindrag"/>
      </w:pPr>
      <w:r w:rsidRPr="00237A2C">
        <w:t>Det är inte osannolikt att just normens oklarhet är en orsak till att den är så stark i politiken. Oklarheten ger olika betraktare möjlighet att lägga in gan</w:t>
      </w:r>
      <w:r w:rsidRPr="00237A2C">
        <w:t>s</w:t>
      </w:r>
      <w:r w:rsidRPr="00237A2C">
        <w:t>ka varierande betydelser i normen, varför många kan stå bakom den. Oklar</w:t>
      </w:r>
      <w:r w:rsidRPr="00237A2C">
        <w:softHyphen/>
        <w:t>heten ger också betydande frihets</w:t>
      </w:r>
      <w:r w:rsidRPr="00237A2C">
        <w:softHyphen/>
        <w:t>grader för förvaltningen att anpassa sig till fö</w:t>
      </w:r>
      <w:r w:rsidRPr="00237A2C">
        <w:t>r</w:t>
      </w:r>
      <w:r w:rsidRPr="00237A2C">
        <w:t>ändrade omständigheter i samhället liksom till varierande förvalt</w:t>
      </w:r>
      <w:r w:rsidRPr="00237A2C">
        <w:softHyphen/>
        <w:t>nings</w:t>
      </w:r>
      <w:r w:rsidRPr="00237A2C">
        <w:softHyphen/>
        <w:t>poli</w:t>
      </w:r>
      <w:r w:rsidRPr="00237A2C">
        <w:softHyphen/>
        <w:t>tiska modetrender. En intres</w:t>
      </w:r>
      <w:r w:rsidRPr="00237A2C">
        <w:softHyphen/>
        <w:t>sant fråga är vilka förändringar av förvalt</w:t>
      </w:r>
      <w:r w:rsidRPr="00237A2C">
        <w:softHyphen/>
        <w:t>ningens organisation och arbetssätt som debattörerna skulle anse betyda den svenska förvaltningsmodellens död, förutom det formella upphäv</w:t>
      </w:r>
      <w:r w:rsidRPr="00237A2C">
        <w:softHyphen/>
        <w:t>an</w:t>
      </w:r>
      <w:r w:rsidRPr="00237A2C">
        <w:softHyphen/>
        <w:t>det av RF 11:7.</w:t>
      </w:r>
    </w:p>
    <w:p w:rsidR="00AE50BA" w:rsidRPr="00237A2C" w:rsidRDefault="00AE50BA">
      <w:pPr>
        <w:pStyle w:val="Normaltindrag"/>
      </w:pPr>
      <w:r w:rsidRPr="00237A2C">
        <w:t>Osäkerheten återkommer också i den empiriska fo</w:t>
      </w:r>
      <w:r w:rsidRPr="00237A2C">
        <w:t>rskningen om hur fö</w:t>
      </w:r>
      <w:r w:rsidRPr="00237A2C">
        <w:t>r</w:t>
      </w:r>
      <w:r w:rsidRPr="00237A2C">
        <w:t>valtningsmodellen fungerar i praktiken. Vi har ovan sett att statsråd tvekar att ta informella kontakter med verkschefer eftersom de är osäkra på vad de får och inte får säga. Det är ibland svårt att avgöra om kontakter är att betrakta som förtydliganden eller om de också påverkar myndigheternas besluts</w:t>
      </w:r>
      <w:r w:rsidRPr="00237A2C">
        <w:softHyphen/>
        <w:t>fattan</w:t>
      </w:r>
      <w:r w:rsidRPr="00237A2C">
        <w:softHyphen/>
        <w:t>de och ytterst handläggningen av enskilda ärenden. Detta visar att det förtydligande som gjordes i propositionen om ledningen av statsförvaltnin</w:t>
      </w:r>
      <w:r w:rsidRPr="00237A2C">
        <w:t>g</w:t>
      </w:r>
      <w:r w:rsidRPr="00237A2C">
        <w:t xml:space="preserve">en </w:t>
      </w:r>
      <w:r w:rsidRPr="00237A2C">
        <w:sym w:font="Symbol" w:char="F02D"/>
      </w:r>
      <w:r w:rsidRPr="00237A2C">
        <w:t xml:space="preserve"> att påverkan inte bör vara så </w:t>
      </w:r>
      <w:r w:rsidRPr="00237A2C">
        <w:t>utformad att myndigheten känner sig bu</w:t>
      </w:r>
      <w:r w:rsidRPr="00237A2C">
        <w:t>n</w:t>
      </w:r>
      <w:r w:rsidRPr="00237A2C">
        <w:t xml:space="preserve">den att avgöra ett ärende på ett visst sätt </w:t>
      </w:r>
      <w:r w:rsidRPr="00237A2C">
        <w:sym w:font="Symbol" w:char="F02D"/>
      </w:r>
      <w:r w:rsidRPr="00237A2C">
        <w:t xml:space="preserve"> är lättare i teorin än i praktiken.</w:t>
      </w:r>
    </w:p>
    <w:p w:rsidR="00AE50BA" w:rsidRPr="00237A2C" w:rsidRDefault="00AE50BA">
      <w:pPr>
        <w:pStyle w:val="Normaltindrag"/>
      </w:pPr>
      <w:r w:rsidRPr="00237A2C">
        <w:t>Forskningen visar emellertid tydligt att informella kontakter mellan d</w:t>
      </w:r>
      <w:r w:rsidRPr="00237A2C">
        <w:t>e</w:t>
      </w:r>
      <w:r w:rsidRPr="00237A2C">
        <w:t>partement och verk är vanliga. Det råder inga vattentäta skott mellan dessa två nivåer. Det är en av få saker som den existerande forskningen om ”dualismen” inom den centrala statsförvaltningen kan säga med bestämdhet. Det finns i själva verket ganska litet forskning, framför allt när det gäller ordentliga fallstudier av hur beslutsprocesserna går till i praktiken. Vi talar också om svårstuderade processer. Förbudet mot ministerstyre gör att fors</w:t>
      </w:r>
      <w:r w:rsidRPr="00237A2C">
        <w:t>k</w:t>
      </w:r>
      <w:r w:rsidRPr="00237A2C">
        <w:t xml:space="preserve">ningen blir mycket politiskt känslig, varför det blir svårt </w:t>
      </w:r>
      <w:r w:rsidRPr="00237A2C">
        <w:t>att få tillgång till dokument och att veta om man får korrekta svar på de frågor man ställer. Men detta gäller inte bara i Sverige, också utomlands sägs förhållandet me</w:t>
      </w:r>
      <w:r w:rsidRPr="00237A2C">
        <w:t>l</w:t>
      </w:r>
      <w:r w:rsidRPr="00237A2C">
        <w:t>lan minister och ämbetsmän vara något av ett tabuämne. Ingendera parten har där något intresse av att diskutera myten om det absoluta ministerst</w:t>
      </w:r>
      <w:r w:rsidRPr="00237A2C">
        <w:t>y</w:t>
      </w:r>
      <w:r w:rsidRPr="00237A2C">
        <w:t>ret.</w:t>
      </w:r>
      <w:r w:rsidRPr="00237A2C">
        <w:rPr>
          <w:rStyle w:val="Fotnotsreferens"/>
        </w:rPr>
        <w:footnoteReference w:id="198"/>
      </w:r>
    </w:p>
    <w:p w:rsidR="00AE50BA" w:rsidRPr="00237A2C" w:rsidRDefault="00AE50BA">
      <w:pPr>
        <w:pStyle w:val="Normaltindrag"/>
      </w:pPr>
      <w:r w:rsidRPr="00237A2C">
        <w:t>Den empiriska forskningen väcker vidare frågan i vad mån ämbetsverken över huvud taget är styrda. Från myndighetshåll hävdas i enkätundersö</w:t>
      </w:r>
      <w:r w:rsidRPr="00237A2C">
        <w:t>k</w:t>
      </w:r>
      <w:r w:rsidRPr="00237A2C">
        <w:t>ningar att det politiska intresset för deras verksamhet är ganska begränsat. Ofta är de ovan nämnda informella kontakterna ett resultat av att verksch</w:t>
      </w:r>
      <w:r w:rsidRPr="00237A2C">
        <w:t>e</w:t>
      </w:r>
      <w:r w:rsidRPr="00237A2C">
        <w:t>ferna vill förankra tänkta åtgärder i departementet. De får idag i en betydande utsträckning formulera sina mål själva. Mål- och resultatstyrningen har givit myndigheterna friare tyglar och de politiska beslutsfattarnas kontroll</w:t>
      </w:r>
      <w:r w:rsidRPr="00237A2C">
        <w:softHyphen/>
        <w:t>möjlig</w:t>
      </w:r>
      <w:r w:rsidRPr="00237A2C">
        <w:softHyphen/>
        <w:t>heter är ganska begränsade. Det talas till och med om en risk att myndig</w:t>
      </w:r>
      <w:r w:rsidRPr="00237A2C">
        <w:softHyphen/>
        <w:t>het</w:t>
      </w:r>
      <w:r w:rsidRPr="00237A2C">
        <w:softHyphen/>
        <w:t>er</w:t>
      </w:r>
      <w:r w:rsidRPr="00237A2C">
        <w:softHyphen/>
        <w:t>na börjar ”leva sitt eget liv”. Vi kan emell</w:t>
      </w:r>
      <w:r w:rsidRPr="00237A2C">
        <w:t xml:space="preserve">ertid snabbt konstatera att inte heller denna problembeskrivning är ny </w:t>
      </w:r>
      <w:r w:rsidRPr="00237A2C">
        <w:sym w:font="Symbol" w:char="F02D"/>
      </w:r>
      <w:r w:rsidRPr="00237A2C">
        <w:t xml:space="preserve"> vi kan hitta likartade formuleringar i till exempel Förvaltningsutredningen (SOU 1983:39).</w:t>
      </w:r>
    </w:p>
    <w:p w:rsidR="00AE50BA" w:rsidRPr="00237A2C" w:rsidRDefault="00AE50BA">
      <w:pPr>
        <w:pStyle w:val="Normaltindrag"/>
      </w:pPr>
      <w:r w:rsidRPr="00237A2C">
        <w:t>Ett ytterligare intressant forskningsresultat är att det finns en mycket bet</w:t>
      </w:r>
      <w:r w:rsidRPr="00237A2C">
        <w:t>y</w:t>
      </w:r>
      <w:r w:rsidRPr="00237A2C">
        <w:t>dande variation inom svensk förvaltning. Tydligast framkommer detta ka</w:t>
      </w:r>
      <w:r w:rsidRPr="00237A2C">
        <w:t>n</w:t>
      </w:r>
      <w:r w:rsidRPr="00237A2C">
        <w:t>ske i Rothsteins studie av Arbetsmarknadsstyrelsen och Skolöverstyrelsen som  var två helt skilda typer av förvaltningsorganisationer och vars politiska styrning hade mycket olika karaktär. Men resultatet återkommer i ett flertal studier. Detta komplicerar innehållet i den svenska förvaltnings</w:t>
      </w:r>
      <w:r w:rsidRPr="00237A2C">
        <w:softHyphen/>
        <w:t>model</w:t>
      </w:r>
      <w:r w:rsidRPr="00237A2C">
        <w:softHyphen/>
        <w:t>len ytterligare.</w:t>
      </w:r>
    </w:p>
    <w:p w:rsidR="00AE50BA" w:rsidRPr="00237A2C" w:rsidRDefault="00AE50BA">
      <w:pPr>
        <w:pStyle w:val="Normaltindrag"/>
      </w:pPr>
      <w:r w:rsidRPr="00237A2C">
        <w:t>Frågan är i själva verket om likheten avseende hur olika förvaltningar de facto styrs av regeringen i Sverige är större än</w:t>
      </w:r>
      <w:r w:rsidRPr="00237A2C">
        <w:t xml:space="preserve"> de likheter man finner mellan de olika förvaltningssektorerna inom Skandinavien. Likheterna ter sig ju ganska stora mellan till exempel arbetsmarknadsverken i de skandinaviska länderna, vars verksamhet och styrning dock skiljer sig kraftigt från krim</w:t>
      </w:r>
      <w:r w:rsidRPr="00237A2C">
        <w:t>i</w:t>
      </w:r>
      <w:r w:rsidRPr="00237A2C">
        <w:t>nal</w:t>
      </w:r>
      <w:r w:rsidRPr="00237A2C">
        <w:softHyphen/>
        <w:t>vår</w:t>
      </w:r>
      <w:r w:rsidRPr="00237A2C">
        <w:softHyphen/>
        <w:t>den (som däremot återigen visar betydande likheter mellan länderna). Något säkert svar kan inte ges här, mätproblemen är betydande, men det är tydligt att det går att sätta ett frågetecken för hur ”svensk” den svenska fö</w:t>
      </w:r>
      <w:r w:rsidRPr="00237A2C">
        <w:t>r</w:t>
      </w:r>
      <w:r w:rsidRPr="00237A2C">
        <w:t>valtnings</w:t>
      </w:r>
      <w:r w:rsidRPr="00237A2C">
        <w:softHyphen/>
        <w:t>model</w:t>
      </w:r>
      <w:r w:rsidRPr="00237A2C">
        <w:softHyphen/>
        <w:t xml:space="preserve">len egentligen </w:t>
      </w:r>
      <w:r w:rsidRPr="00237A2C">
        <w:t>är i sin praktik. Detta illustrerar ett centralt problem med många allmänna beskriv</w:t>
      </w:r>
      <w:r w:rsidRPr="00237A2C">
        <w:softHyphen/>
        <w:t>ning</w:t>
      </w:r>
      <w:r w:rsidRPr="00237A2C">
        <w:softHyphen/>
        <w:t>ar av offentlig förvaltning. Den gamla juristdomi</w:t>
      </w:r>
      <w:r w:rsidRPr="00237A2C">
        <w:softHyphen/>
        <w:t>nerade byråkratin har föränd</w:t>
      </w:r>
      <w:r w:rsidRPr="00237A2C">
        <w:softHyphen/>
      </w:r>
      <w:r w:rsidRPr="00237A2C">
        <w:softHyphen/>
      </w:r>
      <w:r w:rsidRPr="00237A2C">
        <w:softHyphen/>
      </w:r>
      <w:r w:rsidRPr="00237A2C">
        <w:softHyphen/>
      </w:r>
      <w:r w:rsidRPr="00237A2C">
        <w:softHyphen/>
        <w:t>rats i ganska hög grad genom att många nya verksamheter tillkom</w:t>
      </w:r>
      <w:r w:rsidRPr="00237A2C">
        <w:softHyphen/>
      </w:r>
      <w:r w:rsidRPr="00237A2C">
        <w:softHyphen/>
        <w:t>mit och genom att mycket har decentra</w:t>
      </w:r>
      <w:r w:rsidRPr="00237A2C">
        <w:softHyphen/>
        <w:t>li</w:t>
      </w:r>
      <w:r w:rsidRPr="00237A2C">
        <w:softHyphen/>
        <w:t>se</w:t>
      </w:r>
      <w:r w:rsidRPr="00237A2C">
        <w:softHyphen/>
        <w:t>rats, men dess ande svävar fortfar</w:t>
      </w:r>
      <w:r w:rsidRPr="00237A2C">
        <w:softHyphen/>
        <w:t>ande över våra läroböcker i förvalt</w:t>
      </w:r>
      <w:r w:rsidRPr="00237A2C">
        <w:softHyphen/>
        <w:t>nings</w:t>
      </w:r>
      <w:r w:rsidRPr="00237A2C">
        <w:softHyphen/>
        <w:t>poli</w:t>
      </w:r>
      <w:r w:rsidRPr="00237A2C">
        <w:softHyphen/>
        <w:t>tik. Beskriv</w:t>
      </w:r>
      <w:r w:rsidRPr="00237A2C">
        <w:softHyphen/>
        <w:t>ningarna säger väldigt lite om den verksamhet som bedrivs inom till exempel de centrala arbets</w:t>
      </w:r>
      <w:r w:rsidRPr="00237A2C">
        <w:softHyphen/>
        <w:t>mark</w:t>
      </w:r>
      <w:r w:rsidRPr="00237A2C">
        <w:softHyphen/>
        <w:t>nads- och skolmyn</w:t>
      </w:r>
      <w:r w:rsidRPr="00237A2C">
        <w:softHyphen/>
        <w:t>dig</w:t>
      </w:r>
      <w:r w:rsidRPr="00237A2C">
        <w:softHyphen/>
        <w:t>heterna.</w:t>
      </w:r>
      <w:r w:rsidRPr="00237A2C">
        <w:rPr>
          <w:rStyle w:val="Fotnotsreferens"/>
        </w:rPr>
        <w:footnoteReference w:id="199"/>
      </w:r>
    </w:p>
    <w:p w:rsidR="00AE50BA" w:rsidRPr="00237A2C" w:rsidRDefault="00AE50BA">
      <w:pPr>
        <w:pStyle w:val="Normaltindrag"/>
      </w:pPr>
      <w:r w:rsidRPr="00237A2C">
        <w:t>Angående ministerstyre i praktiken frodas mången myt i Sverige. G</w:t>
      </w:r>
      <w:r w:rsidRPr="00237A2C">
        <w:t>e</w:t>
      </w:r>
      <w:r w:rsidRPr="00237A2C">
        <w:t>nom</w:t>
      </w:r>
      <w:r w:rsidRPr="00237A2C">
        <w:softHyphen/>
        <w:t>gången ovan har dock visat att ministeransvar sällan utkrävs av parlamenten i Norge och Danmark. Där, liksom här, avgår ministrar i allmänhet på grund av att de har kommit att bli en politisk belastning för den sittande regeringen. Ministerns ansvar och möjlighet att styra är inte heller obegränsat: också ministern lyder under lagen, besvärs- och ansökningsnämnder har tillkommit för att hålla ärenden borta från ministerns bord, den kommunala självstyre</w:t>
      </w:r>
      <w:r w:rsidRPr="00237A2C">
        <w:t>l</w:t>
      </w:r>
      <w:r w:rsidRPr="00237A2C">
        <w:t>sen sätter en tydlig gräns för ministerns instrukt</w:t>
      </w:r>
      <w:r w:rsidRPr="00237A2C">
        <w:t>ionsrätt, direktoraten har givits en mer självständig ställning etc. Men viktigast är kanske att ministrar varken vill eller kan (på grund av begränsad tid och energi) blanda sig i enskilda ärenden i någon betydande grad. När ärenden hamnar på ministerns bord är det i själva verket ofta på grund av yttre tryck, ofta genom media.</w:t>
      </w:r>
    </w:p>
    <w:p w:rsidR="00AE50BA" w:rsidRPr="00237A2C" w:rsidRDefault="00AE50BA">
      <w:pPr>
        <w:pStyle w:val="Normaltindrag"/>
      </w:pPr>
      <w:r w:rsidRPr="00237A2C">
        <w:t>Diskussionen ovan har främst fokuserat på styrning genom att den har tagit sin utgångspunkt i förbudet mot ministerstyre enligt RF 11:7. Men en annan dimension av förhållandet mella</w:t>
      </w:r>
      <w:r w:rsidRPr="00237A2C">
        <w:t>n regering och förvaltning gäller arbetsdel</w:t>
      </w:r>
      <w:r w:rsidRPr="00237A2C">
        <w:softHyphen/>
        <w:t>ning</w:t>
      </w:r>
      <w:r w:rsidRPr="00237A2C">
        <w:softHyphen/>
        <w:t>en dem emellan. Regeringen har alltid fattat beslut angående en betydan</w:t>
      </w:r>
      <w:r w:rsidRPr="00237A2C">
        <w:softHyphen/>
        <w:t>de mängd förvaltningsärenden. Under de första åren av 1980-talet avgjorde regeringen varje år cirka 8 000 besvärsärenden, vilket svarade för ungefär en tredjedel av det totala antalet regeringsärenden. Man har i själva verket gjort ganska betydande ansträngningar att minska antalet sådana och därmed belastningen av regeringen.</w:t>
      </w:r>
      <w:r w:rsidRPr="00237A2C">
        <w:rPr>
          <w:rStyle w:val="Fotnotsreferens"/>
        </w:rPr>
        <w:footnoteReference w:id="200"/>
      </w:r>
    </w:p>
    <w:p w:rsidR="00AE50BA" w:rsidRPr="00237A2C" w:rsidRDefault="00AE50BA">
      <w:pPr>
        <w:pStyle w:val="Normaltindrag"/>
      </w:pPr>
      <w:r w:rsidRPr="00237A2C">
        <w:t xml:space="preserve">När regeringen väljer att agera förvaltningsorgan </w:t>
      </w:r>
      <w:r w:rsidRPr="00237A2C">
        <w:sym w:font="Symbol" w:char="F02D"/>
      </w:r>
      <w:r w:rsidRPr="00237A2C">
        <w:t xml:space="preserve"> genom att själv fördela pengar </w:t>
      </w:r>
      <w:r w:rsidRPr="00237A2C">
        <w:sym w:font="Symbol" w:char="F02D"/>
      </w:r>
      <w:r w:rsidRPr="00237A2C">
        <w:t xml:space="preserve"> är detta därför inget nytt. Det är möjligen en smula förvånande mot bakgrund av tidigare försök att slippa hantera förvaltningsärenden. Det är inte heller nytt att regeringen fördelar pengar. Vi har gjort en begränsad under</w:t>
      </w:r>
      <w:r w:rsidRPr="00237A2C">
        <w:softHyphen/>
        <w:t>sök</w:t>
      </w:r>
      <w:r w:rsidRPr="00237A2C">
        <w:softHyphen/>
        <w:t>ning av huruvida regerings</w:t>
      </w:r>
      <w:r w:rsidRPr="00237A2C">
        <w:softHyphen/>
        <w:t>kansliet också tidigare har arbetat med denna typ av förvaltnings</w:t>
      </w:r>
      <w:r w:rsidRPr="00237A2C">
        <w:softHyphen/>
        <w:t>upp</w:t>
      </w:r>
      <w:r w:rsidRPr="00237A2C">
        <w:softHyphen/>
        <w:t xml:space="preserve">gift. Vår studie kan inte säga så mycket om hur vanligt förekommande detta har varit tidigare. Men vi kan konstatera att sådan hantering har förekommit </w:t>
      </w:r>
      <w:r w:rsidRPr="00237A2C">
        <w:t>också tidigare och att den har gjort det under en ganska lång tid, under varierande regeringar och inom flera olika politiska sakområden. Nedan tar vi upp några exempel. Dessa uppfyller tre krav: 1) pengar fördelas, 2) det finns ett betydande utrymme för skönsmässiga b</w:t>
      </w:r>
      <w:r w:rsidRPr="00237A2C">
        <w:t>e</w:t>
      </w:r>
      <w:r w:rsidRPr="00237A2C">
        <w:t>dömningar och 3) det finns ett politiskt inflytande över besluten, till exempel genom att regeringen fattar beslut eller att politiska företrädare finns repr</w:t>
      </w:r>
      <w:r w:rsidRPr="00237A2C">
        <w:t>e</w:t>
      </w:r>
      <w:r w:rsidRPr="00237A2C">
        <w:t>senterade i det beslutande organet.</w:t>
      </w:r>
    </w:p>
    <w:p w:rsidR="00AE50BA" w:rsidRPr="00237A2C" w:rsidRDefault="00AE50BA">
      <w:pPr>
        <w:pStyle w:val="Normaltindrag"/>
      </w:pPr>
      <w:r w:rsidRPr="00237A2C">
        <w:t>Ett exempel på ett fall då regeringen påtagit si</w:t>
      </w:r>
      <w:r w:rsidRPr="00237A2C">
        <w:t xml:space="preserve">g det operativa ansvaret för operativa uppgifter som innefattat beslut om fördelning av offentliga medel är de så kallade </w:t>
      </w:r>
      <w:r w:rsidRPr="00237A2C">
        <w:rPr>
          <w:i/>
        </w:rPr>
        <w:t>investeringsfonderna</w:t>
      </w:r>
      <w:r w:rsidRPr="00237A2C">
        <w:t>. Dessa fonder var avsedda för regional</w:t>
      </w:r>
      <w:r w:rsidRPr="00237A2C">
        <w:softHyphen/>
        <w:t>poli</w:t>
      </w:r>
      <w:r w:rsidRPr="00237A2C">
        <w:softHyphen/>
        <w:t>tiska investeringar i företag, i första hand i form av gynnsamma lån. 1971 började regeringen tillämpa reglerna för investeringsfonderna</w:t>
      </w:r>
      <w:r w:rsidRPr="00237A2C">
        <w:rPr>
          <w:b/>
        </w:rPr>
        <w:t>,</w:t>
      </w:r>
      <w:r w:rsidRPr="00237A2C">
        <w:t xml:space="preserve"> som funnits sedan mitten av 1950-talet, på ett nytt sätt. Istället för att som tidigare låta arbets</w:t>
      </w:r>
      <w:r w:rsidRPr="00237A2C">
        <w:softHyphen/>
        <w:t>mark</w:t>
      </w:r>
      <w:r w:rsidRPr="00237A2C">
        <w:softHyphen/>
        <w:t>nads</w:t>
      </w:r>
      <w:r w:rsidRPr="00237A2C">
        <w:softHyphen/>
        <w:t>styrelsen behandla företa</w:t>
      </w:r>
      <w:r w:rsidRPr="00237A2C">
        <w:softHyphen/>
        <w:t>gens ansökningar om medel ur fonderna övertog reger</w:t>
      </w:r>
      <w:r w:rsidRPr="00237A2C">
        <w:t>ingen själv besluten angående företagens individuella a</w:t>
      </w:r>
      <w:r w:rsidRPr="00237A2C">
        <w:t>n</w:t>
      </w:r>
      <w:r w:rsidRPr="00237A2C">
        <w:t>sök</w:t>
      </w:r>
      <w:r w:rsidRPr="00237A2C">
        <w:softHyphen/>
        <w:t>ning</w:t>
      </w:r>
      <w:r w:rsidRPr="00237A2C">
        <w:softHyphen/>
        <w:t>ar.</w:t>
      </w:r>
      <w:r w:rsidRPr="00237A2C">
        <w:rPr>
          <w:rStyle w:val="Fotnotsreferens"/>
        </w:rPr>
        <w:footnoteReference w:id="201"/>
      </w:r>
    </w:p>
    <w:p w:rsidR="00AE50BA" w:rsidRPr="00237A2C" w:rsidRDefault="00AE50BA">
      <w:pPr>
        <w:pStyle w:val="Normaltindrag"/>
      </w:pPr>
      <w:r w:rsidRPr="00237A2C">
        <w:t xml:space="preserve">Ett annat exempel är </w:t>
      </w:r>
      <w:r w:rsidRPr="00237A2C">
        <w:rPr>
          <w:i/>
        </w:rPr>
        <w:t>Glesbygdsdelegationen</w:t>
      </w:r>
      <w:r w:rsidRPr="00237A2C">
        <w:t xml:space="preserve"> som tillsattes 1977 i syfte att samordna statens stödinsatser i glesbygden. Delegationen var en mycket liten organisation i centrala Regerings</w:t>
      </w:r>
      <w:r w:rsidRPr="00237A2C">
        <w:softHyphen/>
        <w:t>kansliet, och enligt direktiven ankom det på den ansvarige ministern att vara ordför</w:t>
      </w:r>
      <w:r w:rsidRPr="00237A2C">
        <w:softHyphen/>
        <w:t>ande.</w:t>
      </w:r>
      <w:r w:rsidRPr="00237A2C">
        <w:rPr>
          <w:rStyle w:val="Fotnotsreferens"/>
        </w:rPr>
        <w:footnoteReference w:id="202"/>
      </w:r>
      <w:r w:rsidRPr="00237A2C">
        <w:t xml:space="preserve"> Delegationen bedrev projekt</w:t>
      </w:r>
      <w:r w:rsidRPr="00237A2C">
        <w:softHyphen/>
        <w:t>verk</w:t>
      </w:r>
      <w:r w:rsidRPr="00237A2C">
        <w:softHyphen/>
        <w:t>samhet, men hade mycket begränsade resurser.</w:t>
      </w:r>
      <w:r w:rsidRPr="00237A2C">
        <w:rPr>
          <w:rStyle w:val="Fotnotsreferens"/>
        </w:rPr>
        <w:footnoteReference w:id="203"/>
      </w:r>
      <w:r w:rsidRPr="00237A2C">
        <w:t xml:space="preserve"> Efter att från början bestått av depar</w:t>
      </w:r>
      <w:r w:rsidRPr="00237A2C">
        <w:softHyphen/>
        <w:t>te</w:t>
      </w:r>
      <w:r w:rsidRPr="00237A2C">
        <w:softHyphen/>
        <w:t>mentstjänstemän, ombilda</w:t>
      </w:r>
      <w:r w:rsidRPr="00237A2C">
        <w:softHyphen/>
        <w:t>des delegationen 1980 och fick då en parla</w:t>
      </w:r>
      <w:r w:rsidRPr="00237A2C">
        <w:softHyphen/>
        <w:t>men</w:t>
      </w:r>
      <w:r w:rsidRPr="00237A2C">
        <w:softHyphen/>
        <w:t>tariskt sammansättning. År 1991 omvandlades Glesbygds</w:t>
      </w:r>
      <w:r w:rsidRPr="00237A2C">
        <w:softHyphen/>
        <w:t>dele</w:t>
      </w:r>
      <w:r w:rsidRPr="00237A2C">
        <w:softHyphen/>
        <w:t>ga</w:t>
      </w:r>
      <w:r w:rsidRPr="00237A2C">
        <w:softHyphen/>
        <w:t>tio</w:t>
      </w:r>
      <w:r w:rsidRPr="00237A2C">
        <w:softHyphen/>
        <w:t>nen till gle</w:t>
      </w:r>
      <w:r w:rsidRPr="00237A2C">
        <w:t>s</w:t>
      </w:r>
      <w:r w:rsidRPr="00237A2C">
        <w:t>bygdsverket.</w:t>
      </w:r>
      <w:r w:rsidRPr="00237A2C">
        <w:rPr>
          <w:rStyle w:val="Fotnotsreferens"/>
        </w:rPr>
        <w:footnoteReference w:id="204"/>
      </w:r>
      <w:r w:rsidRPr="00237A2C">
        <w:t xml:space="preserve"> </w:t>
      </w:r>
    </w:p>
    <w:p w:rsidR="00AE50BA" w:rsidRPr="00237A2C" w:rsidRDefault="00AE50BA">
      <w:pPr>
        <w:pStyle w:val="Normaltindrag"/>
      </w:pPr>
      <w:r w:rsidRPr="00237A2C">
        <w:t xml:space="preserve">Regeringen inrättade vid årsskiftet 1982/83 </w:t>
      </w:r>
      <w:r w:rsidRPr="00237A2C">
        <w:rPr>
          <w:i/>
        </w:rPr>
        <w:t>Energiupphandlings</w:t>
      </w:r>
      <w:r w:rsidRPr="00237A2C">
        <w:rPr>
          <w:i/>
        </w:rPr>
        <w:softHyphen/>
        <w:t>delega</w:t>
      </w:r>
      <w:r w:rsidRPr="00237A2C">
        <w:rPr>
          <w:i/>
        </w:rPr>
        <w:softHyphen/>
        <w:t>tio</w:t>
      </w:r>
      <w:r w:rsidRPr="00237A2C">
        <w:rPr>
          <w:i/>
        </w:rPr>
        <w:softHyphen/>
        <w:t>nen</w:t>
      </w:r>
      <w:r w:rsidRPr="00237A2C">
        <w:t xml:space="preserve"> (EUD) som hade till syfte att se till att investeringsprogram som gjorde det möjligt att ersätta olja kom till stånd. Delegationen arbetade okonven</w:t>
      </w:r>
      <w:r w:rsidRPr="00237A2C">
        <w:softHyphen/>
        <w:t>tio</w:t>
      </w:r>
      <w:r w:rsidRPr="00237A2C">
        <w:softHyphen/>
        <w:t>nellt och gav ekonomiskt stöd till viss ny teknik samt utveck</w:t>
      </w:r>
      <w:r w:rsidRPr="00237A2C">
        <w:softHyphen/>
        <w:t>lade riskför</w:t>
      </w:r>
      <w:r w:rsidRPr="00237A2C">
        <w:softHyphen/>
        <w:t>del</w:t>
      </w:r>
      <w:r w:rsidRPr="00237A2C">
        <w:softHyphen/>
        <w:t>ning mellan stat och företag; bland annat beslutade EUD om stöd till fjärrvärmerör och torveldade anläggningar. EUD var formellt en fristående delegation, men fungerade reellt som en del av departementet. Statssek</w:t>
      </w:r>
      <w:r w:rsidRPr="00237A2C">
        <w:softHyphen/>
        <w:t>re</w:t>
      </w:r>
      <w:r w:rsidRPr="00237A2C">
        <w:softHyphen/>
        <w:t>te</w:t>
      </w:r>
      <w:r w:rsidRPr="00237A2C">
        <w:softHyphen/>
        <w:t>ra</w:t>
      </w:r>
      <w:r w:rsidRPr="00237A2C">
        <w:softHyphen/>
        <w:t>re Ulf Dahlsten var ordf</w:t>
      </w:r>
      <w:r w:rsidRPr="00237A2C">
        <w:t>örande i delegationen och delar av dess sekretariat bestod av departe</w:t>
      </w:r>
      <w:r w:rsidRPr="00237A2C">
        <w:softHyphen/>
        <w:t>ments</w:t>
      </w:r>
      <w:r w:rsidRPr="00237A2C">
        <w:softHyphen/>
        <w:t>tjänstemän.</w:t>
      </w:r>
      <w:r w:rsidRPr="00237A2C">
        <w:rPr>
          <w:rStyle w:val="Fotnotsreferens"/>
        </w:rPr>
        <w:footnoteReference w:id="205"/>
      </w:r>
    </w:p>
    <w:p w:rsidR="00AE50BA" w:rsidRPr="00237A2C" w:rsidRDefault="00AE50BA">
      <w:r w:rsidRPr="00237A2C">
        <w:t>AIDS-delegationen inrättades 1985 och hade som huvuduppgift att bedriva informationsarbete, men i mycket begränsad utsträckning prövade och förde</w:t>
      </w:r>
      <w:r w:rsidRPr="00237A2C">
        <w:softHyphen/>
        <w:t>la</w:t>
      </w:r>
      <w:r w:rsidRPr="00237A2C">
        <w:softHyphen/>
        <w:t>de den också anslag till arbetet med sjukdomen. Också AIDS-delegationen var parlamentariskt sammansatt. Den hade vidare en referensgrupp bestående av representanter från myndigheter och intresseorganisationer. Beslut om projekt</w:t>
      </w:r>
      <w:r w:rsidRPr="00237A2C">
        <w:softHyphen/>
        <w:t>anslag fatt</w:t>
      </w:r>
      <w:r w:rsidRPr="00237A2C">
        <w:t>a</w:t>
      </w:r>
      <w:r w:rsidRPr="00237A2C">
        <w:t>des av regeringen.</w:t>
      </w:r>
      <w:r w:rsidRPr="00237A2C">
        <w:rPr>
          <w:rStyle w:val="Fotnotsreferens"/>
        </w:rPr>
        <w:footnoteReference w:id="206"/>
      </w:r>
    </w:p>
    <w:p w:rsidR="00AE50BA" w:rsidRPr="00237A2C" w:rsidRDefault="00AE50BA">
      <w:pPr>
        <w:pStyle w:val="Normaltindrag"/>
      </w:pPr>
      <w:r w:rsidRPr="00237A2C">
        <w:t>Stöd ur Allmänna arvsfonden ges dels inom ramen för särskilt riktade sat</w:t>
      </w:r>
      <w:r w:rsidRPr="00237A2C">
        <w:t>s</w:t>
      </w:r>
      <w:r w:rsidRPr="00237A2C">
        <w:t>ning</w:t>
      </w:r>
      <w:r w:rsidRPr="00237A2C">
        <w:softHyphen/>
        <w:t>ar från regering</w:t>
      </w:r>
      <w:r w:rsidRPr="00237A2C">
        <w:softHyphen/>
        <w:t>ens sida, dels genom löpande prövning av de ansöknin</w:t>
      </w:r>
      <w:r w:rsidRPr="00237A2C">
        <w:t>g</w:t>
      </w:r>
      <w:r w:rsidRPr="00237A2C">
        <w:t xml:space="preserve">ar som kommer till fonden. Ansökningar som är att hänföra till vård av barn och ungdom, fostran av barn samt omsorg om handikappade bereds inom Socialdepartementet. </w:t>
      </w:r>
      <w:r w:rsidRPr="00237A2C">
        <w:rPr>
          <w:i/>
        </w:rPr>
        <w:t>Barn- och ungdoms</w:t>
      </w:r>
      <w:r w:rsidRPr="00237A2C">
        <w:rPr>
          <w:i/>
        </w:rPr>
        <w:softHyphen/>
        <w:t>dele</w:t>
      </w:r>
      <w:r w:rsidRPr="00237A2C">
        <w:rPr>
          <w:i/>
        </w:rPr>
        <w:softHyphen/>
        <w:t>ga</w:t>
      </w:r>
      <w:r w:rsidRPr="00237A2C">
        <w:rPr>
          <w:i/>
        </w:rPr>
        <w:softHyphen/>
        <w:t>tio</w:t>
      </w:r>
      <w:r w:rsidRPr="00237A2C">
        <w:rPr>
          <w:i/>
        </w:rPr>
        <w:softHyphen/>
        <w:t>nen</w:t>
      </w:r>
      <w:r w:rsidRPr="00237A2C">
        <w:t xml:space="preserve"> är ett rådgiv</w:t>
      </w:r>
      <w:r w:rsidRPr="00237A2C">
        <w:softHyphen/>
        <w:t>an</w:t>
      </w:r>
      <w:r w:rsidRPr="00237A2C">
        <w:softHyphen/>
        <w:t>de organ åt regeringen, samt fattar beslut om tilldel</w:t>
      </w:r>
      <w:r w:rsidRPr="00237A2C">
        <w:softHyphen/>
        <w:t>an</w:t>
      </w:r>
      <w:r w:rsidRPr="00237A2C">
        <w:softHyphen/>
        <w:t>de av stöd ur Allmänna arvsfonden. Delegationen lämnar dock ärenden av principiell betydelse eller där stödet är betydande till regeringen.</w:t>
      </w:r>
      <w:r w:rsidRPr="00237A2C">
        <w:rPr>
          <w:rStyle w:val="Fotnotsreferens"/>
        </w:rPr>
        <w:footnoteReference w:id="207"/>
      </w:r>
      <w:r w:rsidRPr="00237A2C">
        <w:t xml:space="preserve"> Både utredningen från 1992 och en tidigare utredning från 1967 finner att den övergripande besluts</w:t>
      </w:r>
      <w:r w:rsidRPr="00237A2C">
        <w:softHyphen/>
        <w:t>rätten om stöd ur fonden bör ligga kvar hos regeringen. Detta motiverades med att regering</w:t>
      </w:r>
      <w:r w:rsidRPr="00237A2C">
        <w:softHyphen/>
        <w:t>en överblickar hela det fält inom vilket stöd ur arvsfonden kan komma ifråga och har därigenom reella möjlig</w:t>
      </w:r>
      <w:r w:rsidRPr="00237A2C">
        <w:softHyphen/>
        <w:t>heter att väga olika behov mot varandra och mot tillgängliga resurser.</w:t>
      </w:r>
      <w:r w:rsidRPr="00237A2C">
        <w:rPr>
          <w:rStyle w:val="Fotnotsreferens"/>
        </w:rPr>
        <w:footnoteReference w:id="208"/>
      </w:r>
    </w:p>
    <w:p w:rsidR="00AE50BA" w:rsidRPr="00237A2C" w:rsidRDefault="00AE50BA">
      <w:pPr>
        <w:pStyle w:val="Normaltindrag"/>
      </w:pPr>
      <w:r w:rsidRPr="00237A2C">
        <w:t>Sist men inte minst kan de borgerliga regeringarnas industripolitik 1976</w:t>
      </w:r>
      <w:r w:rsidRPr="00237A2C">
        <w:sym w:font="Symbol" w:char="F02D"/>
      </w:r>
      <w:r w:rsidRPr="00237A2C">
        <w:t xml:space="preserve">82 nämnas. Här fördelades </w:t>
      </w:r>
      <w:r w:rsidRPr="00237A2C">
        <w:rPr>
          <w:i/>
        </w:rPr>
        <w:t>mycket</w:t>
      </w:r>
      <w:r w:rsidRPr="00237A2C">
        <w:t xml:space="preserve"> stora belopp direkt till företag och utrymmet för skön var mycket stort i bedömningarna av mottagare och b</w:t>
      </w:r>
      <w:r w:rsidRPr="00237A2C">
        <w:t>e</w:t>
      </w:r>
      <w:r w:rsidRPr="00237A2C">
        <w:t>lopp. Eme</w:t>
      </w:r>
      <w:r w:rsidRPr="00237A2C">
        <w:t>l</w:t>
      </w:r>
      <w:r w:rsidRPr="00237A2C">
        <w:t>ler</w:t>
      </w:r>
      <w:r w:rsidRPr="00237A2C">
        <w:softHyphen/>
        <w:t>tid fattades själva besluten av riksdagen.</w:t>
      </w:r>
      <w:r w:rsidRPr="00237A2C">
        <w:rPr>
          <w:rStyle w:val="Fotnotsreferens"/>
        </w:rPr>
        <w:footnoteReference w:id="209"/>
      </w:r>
    </w:p>
    <w:p w:rsidR="00AE50BA" w:rsidRPr="00237A2C" w:rsidRDefault="00AE50BA">
      <w:pPr>
        <w:pStyle w:val="Normaltindrag"/>
      </w:pPr>
      <w:r w:rsidRPr="00237A2C">
        <w:t>Att det inte är något okänt för den svenska förvaltningstraditionen att reg</w:t>
      </w:r>
      <w:r w:rsidRPr="00237A2C">
        <w:t>e</w:t>
      </w:r>
      <w:r w:rsidRPr="00237A2C">
        <w:t xml:space="preserve">ringen agerar förvaltningsorgan är emellertid inte detsamma som att det är klokt att regeringen agerar anslagsgivare. Visserligen kunde man tro att det är en trevlig uppgift att agera som gåvors givare och att det ökar en regerings popularitet. Men myntet har också en baksida. Om inte alla som söker får alla de medel de ansöker om kommer ju någon eller några att bli besvikna. Deras vrede </w:t>
      </w:r>
      <w:r w:rsidRPr="00237A2C">
        <w:sym w:font="Symbol" w:char="F02D"/>
      </w:r>
      <w:r w:rsidRPr="00237A2C">
        <w:t xml:space="preserve"> vare sig den är befogad eller inte </w:t>
      </w:r>
      <w:r w:rsidRPr="00237A2C">
        <w:sym w:font="Symbol" w:char="F02D"/>
      </w:r>
      <w:r w:rsidRPr="00237A2C">
        <w:t xml:space="preserve"> kommer att vända sig mot regering</w:t>
      </w:r>
      <w:r w:rsidRPr="00237A2C">
        <w:softHyphen/>
        <w:t>en. Den är i detta läge ganska oskyddad för kri</w:t>
      </w:r>
      <w:r w:rsidRPr="00237A2C">
        <w:t xml:space="preserve">tiken, eftersom den varken kan söka skydd bakom sin särskilda sakkunskap i ärendet eller i att berörda intressen involverats eller koopterats. I många fall </w:t>
      </w:r>
      <w:r w:rsidRPr="00237A2C">
        <w:sym w:font="Symbol" w:char="F02D"/>
      </w:r>
      <w:r w:rsidRPr="00237A2C">
        <w:t xml:space="preserve"> särskilt när mottagaren av anslaget är en annan politisk organisation som till exempel kommuner </w:t>
      </w:r>
      <w:r w:rsidRPr="00237A2C">
        <w:sym w:font="Symbol" w:char="F02D"/>
      </w:r>
      <w:r w:rsidRPr="00237A2C">
        <w:t xml:space="preserve"> riskerar den istället att anklagas för att gynna sina egna intre</w:t>
      </w:r>
      <w:r w:rsidRPr="00237A2C">
        <w:t>s</w:t>
      </w:r>
      <w:r w:rsidRPr="00237A2C">
        <w:t>sen. Är sedan de summor som fördelas relativt stora ökar risken. Vare sig det ligger något i sådana anklagelser eller ej är det olyckligt om centrala politi</w:t>
      </w:r>
      <w:r w:rsidRPr="00237A2C">
        <w:t>s</w:t>
      </w:r>
      <w:r w:rsidRPr="00237A2C">
        <w:t>ka i</w:t>
      </w:r>
      <w:r w:rsidRPr="00237A2C">
        <w:t>n</w:t>
      </w:r>
      <w:r w:rsidRPr="00237A2C">
        <w:t>stitutioner och deras besluts</w:t>
      </w:r>
      <w:r w:rsidRPr="00237A2C">
        <w:t xml:space="preserve"> legitimitet ifrågasätts.</w:t>
      </w:r>
    </w:p>
    <w:p w:rsidR="00AE50BA" w:rsidRPr="00237A2C" w:rsidRDefault="00AE50BA">
      <w:pPr>
        <w:pStyle w:val="Normaltindrag"/>
      </w:pPr>
      <w:r w:rsidRPr="00237A2C">
        <w:rPr>
          <w:i/>
        </w:rPr>
        <w:t>Om</w:t>
      </w:r>
      <w:r w:rsidRPr="00237A2C">
        <w:t xml:space="preserve"> det av olika skäl behövs statliga bidragssystem där beslut fattas på ganska skönsmässiga grunder så finns det dock andra sätt att organisera arbetet på än att regeringen fattar besluten. Som vi har sett har beslut tagna av de danska ansökningsnämnderna inte varit särskilt ifrågasatta. Att låta bidragsbesluten fattas av vetenskaplig expertis och/eller företrädare för de relevan</w:t>
      </w:r>
      <w:r w:rsidRPr="00237A2C">
        <w:softHyphen/>
        <w:t>ta intresse</w:t>
      </w:r>
      <w:r w:rsidRPr="00237A2C">
        <w:softHyphen/>
        <w:t>organi</w:t>
      </w:r>
      <w:r w:rsidRPr="00237A2C">
        <w:softHyphen/>
        <w:t>sationerna skulle därför kunna vara en alternativ lösning. Om politiskt inflytande av ett eller annat skäl är et</w:t>
      </w:r>
      <w:r w:rsidRPr="00237A2C">
        <w:t xml:space="preserve">t värde i sig så finns vidare möjligheten </w:t>
      </w:r>
      <w:r w:rsidRPr="00237A2C">
        <w:sym w:font="Symbol" w:char="F02D"/>
      </w:r>
      <w:r w:rsidRPr="00237A2C">
        <w:t xml:space="preserve"> som tidigare använts i Sverige </w:t>
      </w:r>
      <w:r w:rsidRPr="00237A2C">
        <w:sym w:font="Symbol" w:char="F02D"/>
      </w:r>
      <w:r w:rsidRPr="00237A2C">
        <w:t xml:space="preserve"> att skapa parl</w:t>
      </w:r>
      <w:r w:rsidRPr="00237A2C">
        <w:t>a</w:t>
      </w:r>
      <w:r w:rsidRPr="00237A2C">
        <w:t>mentariskt sammansatta delegationer som fattar besluten. Båda dessa möjli</w:t>
      </w:r>
      <w:r w:rsidRPr="00237A2C">
        <w:t>g</w:t>
      </w:r>
      <w:r w:rsidRPr="00237A2C">
        <w:t>heter minskar risken för att beslutsfattarna anklagas för att gynna sina egna partipoliti</w:t>
      </w:r>
      <w:r w:rsidRPr="00237A2C">
        <w:t>s</w:t>
      </w:r>
      <w:r w:rsidRPr="00237A2C">
        <w:t>ka intressen.</w:t>
      </w:r>
    </w:p>
    <w:p w:rsidR="00AE50BA" w:rsidRPr="00237A2C" w:rsidRDefault="00AE50BA">
      <w:pPr>
        <w:pStyle w:val="Rubrik1"/>
      </w:pPr>
      <w:r w:rsidRPr="00237A2C">
        <w:br w:type="page"/>
      </w:r>
      <w:bookmarkStart w:id="376" w:name="_Toc509711270"/>
      <w:bookmarkStart w:id="377" w:name="_Toc509738092"/>
      <w:bookmarkStart w:id="378" w:name="_Toc516991711"/>
      <w:r w:rsidRPr="00237A2C">
        <w:t>Referenser</w:t>
      </w:r>
      <w:bookmarkEnd w:id="376"/>
      <w:bookmarkEnd w:id="377"/>
      <w:bookmarkEnd w:id="378"/>
    </w:p>
    <w:p w:rsidR="00AE50BA" w:rsidRPr="00237A2C" w:rsidRDefault="00AE50BA">
      <w:r w:rsidRPr="00237A2C">
        <w:t xml:space="preserve">Bjerregaard, Ritt m.fl 1984, </w:t>
      </w:r>
      <w:r w:rsidRPr="00237A2C">
        <w:rPr>
          <w:i/>
        </w:rPr>
        <w:t>Ministeren</w:t>
      </w:r>
      <w:r w:rsidRPr="00237A2C">
        <w:t>, Købe</w:t>
      </w:r>
      <w:r w:rsidRPr="00237A2C">
        <w:t>n</w:t>
      </w:r>
      <w:r w:rsidRPr="00237A2C">
        <w:t xml:space="preserve">havn: Spektrum </w:t>
      </w:r>
    </w:p>
    <w:p w:rsidR="00AE50BA" w:rsidRPr="00237A2C" w:rsidRDefault="00AE50BA">
      <w:r w:rsidRPr="00237A2C">
        <w:t xml:space="preserve">Brofoss, Knut 1993, Statsrådens ansvar for direktoraters virksomhet. </w:t>
      </w:r>
      <w:r w:rsidRPr="00237A2C">
        <w:rPr>
          <w:i/>
        </w:rPr>
        <w:t>Nordisk Administrativ Ti</w:t>
      </w:r>
      <w:r w:rsidRPr="00237A2C">
        <w:rPr>
          <w:i/>
        </w:rPr>
        <w:t>d</w:t>
      </w:r>
      <w:r w:rsidRPr="00237A2C">
        <w:rPr>
          <w:i/>
        </w:rPr>
        <w:t>skrift</w:t>
      </w:r>
      <w:r w:rsidRPr="00237A2C">
        <w:t xml:space="preserve"> 1/1993.</w:t>
      </w:r>
    </w:p>
    <w:p w:rsidR="00AE50BA" w:rsidRPr="00237A2C" w:rsidRDefault="00AE50BA">
      <w:r w:rsidRPr="00237A2C">
        <w:t xml:space="preserve">Busck Lars, </w:t>
      </w:r>
      <w:r w:rsidRPr="00237A2C">
        <w:rPr>
          <w:i/>
        </w:rPr>
        <w:t>Folketingets kontrol med forvaltningen</w:t>
      </w:r>
      <w:r w:rsidRPr="00237A2C">
        <w:t>. 1988, København.</w:t>
      </w:r>
    </w:p>
    <w:p w:rsidR="00AE50BA" w:rsidRPr="00237A2C" w:rsidRDefault="00AE50BA">
      <w:r w:rsidRPr="00237A2C">
        <w:t>Christensen, Bent 1993, Lydighedspligt, loyalitetspligt og centralad</w:t>
      </w:r>
      <w:r w:rsidRPr="00237A2C">
        <w:softHyphen/>
        <w:t>mini</w:t>
      </w:r>
      <w:r w:rsidRPr="00237A2C">
        <w:softHyphen/>
        <w:t>stra</w:t>
      </w:r>
      <w:r w:rsidRPr="00237A2C">
        <w:softHyphen/>
        <w:t>tio</w:t>
      </w:r>
      <w:r w:rsidRPr="00237A2C">
        <w:softHyphen/>
        <w:t xml:space="preserve">nens embedsmænd, </w:t>
      </w:r>
      <w:r w:rsidRPr="00237A2C">
        <w:rPr>
          <w:i/>
        </w:rPr>
        <w:t>Ugeskrift for ret</w:t>
      </w:r>
      <w:r w:rsidRPr="00237A2C">
        <w:rPr>
          <w:i/>
        </w:rPr>
        <w:t>s</w:t>
      </w:r>
      <w:r w:rsidRPr="00237A2C">
        <w:rPr>
          <w:i/>
        </w:rPr>
        <w:t>vesen.</w:t>
      </w:r>
    </w:p>
    <w:p w:rsidR="00AE50BA" w:rsidRPr="00237A2C" w:rsidRDefault="00AE50BA">
      <w:r w:rsidRPr="00237A2C">
        <w:t xml:space="preserve">Christensen, Bent 1994, </w:t>
      </w:r>
      <w:r w:rsidRPr="00237A2C">
        <w:rPr>
          <w:i/>
        </w:rPr>
        <w:t xml:space="preserve">Forvaltningsret </w:t>
      </w:r>
      <w:r w:rsidRPr="00237A2C">
        <w:rPr>
          <w:i/>
        </w:rPr>
        <w:sym w:font="Symbol" w:char="F02D"/>
      </w:r>
      <w:r w:rsidRPr="00237A2C">
        <w:rPr>
          <w:i/>
        </w:rPr>
        <w:t xml:space="preserve"> prøvelse</w:t>
      </w:r>
      <w:r w:rsidRPr="00237A2C">
        <w:t>, København: Jurist- og Økonomforbundets forlag.</w:t>
      </w:r>
    </w:p>
    <w:p w:rsidR="00AE50BA" w:rsidRPr="00237A2C" w:rsidRDefault="00AE50BA">
      <w:r w:rsidRPr="00237A2C">
        <w:t xml:space="preserve">Christensen, Bent 1997 (andra upplagan), </w:t>
      </w:r>
      <w:r w:rsidRPr="00237A2C">
        <w:rPr>
          <w:i/>
        </w:rPr>
        <w:t>Forvaltningsret. Opgaver, Hje</w:t>
      </w:r>
      <w:r w:rsidRPr="00237A2C">
        <w:rPr>
          <w:i/>
        </w:rPr>
        <w:t>m</w:t>
      </w:r>
      <w:r w:rsidRPr="00237A2C">
        <w:rPr>
          <w:i/>
        </w:rPr>
        <w:t>mel, Organisation</w:t>
      </w:r>
      <w:r w:rsidRPr="00237A2C">
        <w:t>, J</w:t>
      </w:r>
      <w:r w:rsidRPr="00237A2C">
        <w:t>u</w:t>
      </w:r>
      <w:r w:rsidRPr="00237A2C">
        <w:t>rist- og Økonomforbundets forlag.</w:t>
      </w:r>
    </w:p>
    <w:p w:rsidR="00AE50BA" w:rsidRPr="00237A2C" w:rsidRDefault="00AE50BA">
      <w:r w:rsidRPr="00237A2C">
        <w:t xml:space="preserve">Christensen, Bent och Preben Espersen 1983, </w:t>
      </w:r>
      <w:r w:rsidRPr="00237A2C">
        <w:rPr>
          <w:i/>
        </w:rPr>
        <w:t>Retsforholdet mellem politik</w:t>
      </w:r>
      <w:r w:rsidRPr="00237A2C">
        <w:rPr>
          <w:i/>
        </w:rPr>
        <w:t>e</w:t>
      </w:r>
      <w:r w:rsidRPr="00237A2C">
        <w:rPr>
          <w:i/>
        </w:rPr>
        <w:t>re og embedsmænd</w:t>
      </w:r>
      <w:r w:rsidRPr="00237A2C">
        <w:t>. København, Jurist- og Økonomforbundets forlag.</w:t>
      </w:r>
    </w:p>
    <w:p w:rsidR="00AE50BA" w:rsidRPr="00237A2C" w:rsidRDefault="00AE50BA">
      <w:r w:rsidRPr="00237A2C">
        <w:t xml:space="preserve">Christensen, Jens Peter 1995, Ministeransvar. </w:t>
      </w:r>
      <w:r w:rsidRPr="00237A2C">
        <w:rPr>
          <w:i/>
        </w:rPr>
        <w:t>P</w:t>
      </w:r>
      <w:r w:rsidRPr="00237A2C">
        <w:rPr>
          <w:i/>
        </w:rPr>
        <w:t>o</w:t>
      </w:r>
      <w:r w:rsidRPr="00237A2C">
        <w:rPr>
          <w:i/>
        </w:rPr>
        <w:t>litica</w:t>
      </w:r>
      <w:r w:rsidRPr="00237A2C">
        <w:t xml:space="preserve"> 1995:4. </w:t>
      </w:r>
    </w:p>
    <w:p w:rsidR="00AE50BA" w:rsidRPr="00237A2C" w:rsidRDefault="00AE50BA">
      <w:r w:rsidRPr="00237A2C">
        <w:t>Christensen, Jens Peter 1996, Skandalesager og embedsmandsansvar,</w:t>
      </w:r>
      <w:r w:rsidRPr="00237A2C">
        <w:rPr>
          <w:i/>
        </w:rPr>
        <w:t xml:space="preserve"> Polit</w:t>
      </w:r>
      <w:r w:rsidRPr="00237A2C">
        <w:rPr>
          <w:i/>
        </w:rPr>
        <w:t>i</w:t>
      </w:r>
      <w:r w:rsidRPr="00237A2C">
        <w:rPr>
          <w:i/>
        </w:rPr>
        <w:t>ca 1996:3</w:t>
      </w:r>
      <w:r w:rsidRPr="00237A2C">
        <w:t>.</w:t>
      </w:r>
    </w:p>
    <w:p w:rsidR="00AE50BA" w:rsidRPr="00237A2C" w:rsidRDefault="00AE50BA">
      <w:pPr>
        <w:ind w:left="340" w:hanging="340"/>
      </w:pPr>
      <w:r w:rsidRPr="00237A2C">
        <w:t xml:space="preserve">Christoffersson, Ulf,  Molin, Björn,  Månsson, Lennart och Strömberg, Lars 1972, </w:t>
      </w:r>
      <w:r w:rsidRPr="00237A2C">
        <w:rPr>
          <w:i/>
        </w:rPr>
        <w:t xml:space="preserve">Byråkrati och politik </w:t>
      </w:r>
      <w:r w:rsidRPr="00237A2C">
        <w:rPr>
          <w:i/>
        </w:rPr>
        <w:sym w:font="Symbol" w:char="F02D"/>
      </w:r>
      <w:r w:rsidRPr="00237A2C">
        <w:rPr>
          <w:i/>
        </w:rPr>
        <w:t xml:space="preserve"> En studie av den svenska statstjän</w:t>
      </w:r>
      <w:r w:rsidRPr="00237A2C">
        <w:rPr>
          <w:i/>
        </w:rPr>
        <w:softHyphen/>
        <w:t>ste</w:t>
      </w:r>
      <w:r w:rsidRPr="00237A2C">
        <w:rPr>
          <w:i/>
        </w:rPr>
        <w:softHyphen/>
        <w:t>man</w:t>
      </w:r>
      <w:r w:rsidRPr="00237A2C">
        <w:rPr>
          <w:i/>
        </w:rPr>
        <w:softHyphen/>
        <w:t>na</w:t>
      </w:r>
      <w:r w:rsidRPr="00237A2C">
        <w:rPr>
          <w:i/>
        </w:rPr>
        <w:softHyphen/>
        <w:t xml:space="preserve">kåren, </w:t>
      </w:r>
      <w:r w:rsidRPr="00237A2C">
        <w:t>Stockholm: Bonniers.</w:t>
      </w:r>
    </w:p>
    <w:p w:rsidR="00AE50BA" w:rsidRPr="00237A2C" w:rsidRDefault="00AE50BA">
      <w:pPr>
        <w:ind w:left="340" w:hanging="340"/>
      </w:pPr>
      <w:r w:rsidRPr="00237A2C">
        <w:rPr>
          <w:i/>
        </w:rPr>
        <w:t>Departementalkommitterades betänkande, allmän del</w:t>
      </w:r>
      <w:r w:rsidRPr="00237A2C">
        <w:t>, 1913.</w:t>
      </w:r>
    </w:p>
    <w:p w:rsidR="00AE50BA" w:rsidRPr="00237A2C" w:rsidRDefault="00AE50BA">
      <w:pPr>
        <w:ind w:left="340" w:hanging="340"/>
      </w:pPr>
      <w:r w:rsidRPr="00237A2C">
        <w:t xml:space="preserve">Ds 2000:17, </w:t>
      </w:r>
      <w:r w:rsidRPr="00237A2C">
        <w:rPr>
          <w:i/>
        </w:rPr>
        <w:t xml:space="preserve">Vad kostar det att regera? </w:t>
      </w:r>
      <w:r w:rsidRPr="00237A2C">
        <w:rPr>
          <w:i/>
        </w:rPr>
        <w:sym w:font="Symbol" w:char="F02D"/>
      </w:r>
      <w:r w:rsidRPr="00237A2C">
        <w:rPr>
          <w:i/>
        </w:rPr>
        <w:t xml:space="preserve"> En studie av regeringskansliets dimensionering nu </w:t>
      </w:r>
      <w:r w:rsidRPr="00237A2C">
        <w:rPr>
          <w:i/>
        </w:rPr>
        <w:sym w:font="Symbol" w:char="F02D"/>
      </w:r>
      <w:r w:rsidRPr="00237A2C">
        <w:rPr>
          <w:i/>
        </w:rPr>
        <w:t xml:space="preserve"> och i framtiden</w:t>
      </w:r>
    </w:p>
    <w:p w:rsidR="00AE50BA" w:rsidRPr="00237A2C" w:rsidRDefault="00AE50BA">
      <w:pPr>
        <w:ind w:left="340" w:hanging="340"/>
      </w:pPr>
      <w:r w:rsidRPr="00237A2C">
        <w:t xml:space="preserve">Ehn, Peter 1998, </w:t>
      </w:r>
      <w:r w:rsidRPr="00237A2C">
        <w:rPr>
          <w:i/>
        </w:rPr>
        <w:t xml:space="preserve">Maktens administratörer </w:t>
      </w:r>
      <w:r w:rsidRPr="00237A2C">
        <w:rPr>
          <w:i/>
        </w:rPr>
        <w:sym w:font="Symbol" w:char="F02D"/>
      </w:r>
      <w:r w:rsidRPr="00237A2C">
        <w:rPr>
          <w:i/>
        </w:rPr>
        <w:t xml:space="preserve"> Ledande svenska statstjänste</w:t>
      </w:r>
      <w:r w:rsidRPr="00237A2C">
        <w:rPr>
          <w:i/>
        </w:rPr>
        <w:softHyphen/>
        <w:t>mäns syn på tjänstemannarollen i ett förändringsperspektiv,</w:t>
      </w:r>
      <w:r w:rsidRPr="00237A2C">
        <w:t xml:space="preserve"> Stockholms universitet, statsvetenskapliga institutionen.</w:t>
      </w:r>
    </w:p>
    <w:p w:rsidR="00AE50BA" w:rsidRPr="00237A2C" w:rsidRDefault="00AE50BA">
      <w:pPr>
        <w:ind w:left="340" w:hanging="340"/>
      </w:pPr>
      <w:r w:rsidRPr="00237A2C">
        <w:t xml:space="preserve">Ehn, Peter och Sundström, Göran i SOU 1997:15, </w:t>
      </w:r>
      <w:r w:rsidRPr="00237A2C">
        <w:rPr>
          <w:i/>
        </w:rPr>
        <w:t xml:space="preserve">Det svåra samspelet </w:t>
      </w:r>
      <w:r w:rsidRPr="00237A2C">
        <w:rPr>
          <w:i/>
        </w:rPr>
        <w:sym w:font="Symbol" w:char="F02D"/>
      </w:r>
      <w:r w:rsidRPr="00237A2C">
        <w:rPr>
          <w:i/>
        </w:rPr>
        <w:t xml:space="preserve"> Resultat</w:t>
      </w:r>
      <w:r w:rsidRPr="00237A2C">
        <w:rPr>
          <w:i/>
        </w:rPr>
        <w:softHyphen/>
        <w:t xml:space="preserve">styrningens framväxt och problematik, </w:t>
      </w:r>
      <w:r w:rsidRPr="00237A2C">
        <w:t>rapport till Förvaltnings</w:t>
      </w:r>
      <w:r w:rsidRPr="00237A2C">
        <w:softHyphen/>
        <w:t>poli</w:t>
      </w:r>
      <w:r w:rsidRPr="00237A2C">
        <w:softHyphen/>
        <w:t>tiska kommissionen, Stockholm: Fritzes.</w:t>
      </w:r>
    </w:p>
    <w:p w:rsidR="00AE50BA" w:rsidRPr="00237A2C" w:rsidRDefault="00AE50BA">
      <w:pPr>
        <w:ind w:left="340" w:hanging="340"/>
      </w:pPr>
      <w:r w:rsidRPr="00237A2C">
        <w:t xml:space="preserve">Ekonomirådets rapport 2000, </w:t>
      </w:r>
      <w:r w:rsidRPr="00237A2C">
        <w:rPr>
          <w:i/>
        </w:rPr>
        <w:t xml:space="preserve">Politisk makt med oklart ansvar, </w:t>
      </w:r>
      <w:r w:rsidRPr="00237A2C">
        <w:t>Stockholm: SNS Förlag.</w:t>
      </w:r>
    </w:p>
    <w:p w:rsidR="00AE50BA" w:rsidRPr="00237A2C" w:rsidRDefault="00AE50BA">
      <w:pPr>
        <w:ind w:left="340" w:hanging="340"/>
      </w:pPr>
      <w:r w:rsidRPr="00237A2C">
        <w:rPr>
          <w:i/>
        </w:rPr>
        <w:t>En förvaltning i demokratins tjänst – ett handlingsprogram</w:t>
      </w:r>
      <w:r w:rsidRPr="00237A2C">
        <w:t>, Justitiedepar</w:t>
      </w:r>
      <w:r w:rsidRPr="00237A2C">
        <w:softHyphen/>
        <w:t>te</w:t>
      </w:r>
      <w:r w:rsidRPr="00237A2C">
        <w:softHyphen/>
        <w:t>mentet, 2000.</w:t>
      </w:r>
    </w:p>
    <w:p w:rsidR="00AE50BA" w:rsidRPr="00237A2C" w:rsidRDefault="00AE50BA">
      <w:r w:rsidRPr="00237A2C">
        <w:t>Eriksen, Svein 1988, Herskap og tjenere. Om samarbeidet mellom politikere og tjenestemenn i d</w:t>
      </w:r>
      <w:r w:rsidRPr="00237A2C">
        <w:t>e</w:t>
      </w:r>
      <w:r w:rsidRPr="00237A2C">
        <w:t>partementene, Oslo: Tano.</w:t>
      </w:r>
    </w:p>
    <w:p w:rsidR="00AE50BA" w:rsidRPr="00237A2C" w:rsidRDefault="00AE50BA">
      <w:pPr>
        <w:ind w:left="340" w:hanging="340"/>
      </w:pPr>
      <w:r w:rsidRPr="00237A2C">
        <w:t xml:space="preserve">Friberg, Lennart 1973, </w:t>
      </w:r>
      <w:r w:rsidRPr="00237A2C">
        <w:rPr>
          <w:i/>
        </w:rPr>
        <w:t xml:space="preserve">Styre i kristid, </w:t>
      </w:r>
      <w:r w:rsidRPr="00237A2C">
        <w:t>Stockholm: Allmänna Förlaget.</w:t>
      </w:r>
    </w:p>
    <w:p w:rsidR="00AE50BA" w:rsidRPr="00237A2C" w:rsidRDefault="00AE50BA">
      <w:pPr>
        <w:ind w:left="340" w:hanging="340"/>
      </w:pPr>
      <w:r w:rsidRPr="00237A2C">
        <w:t xml:space="preserve">Genell, Kristina, </w:t>
      </w:r>
      <w:r w:rsidRPr="00237A2C">
        <w:rPr>
          <w:i/>
        </w:rPr>
        <w:t xml:space="preserve">Skilda världar </w:t>
      </w:r>
      <w:r w:rsidRPr="00237A2C">
        <w:rPr>
          <w:i/>
        </w:rPr>
        <w:sym w:font="Symbol" w:char="F02D"/>
      </w:r>
      <w:r w:rsidRPr="00237A2C">
        <w:rPr>
          <w:i/>
        </w:rPr>
        <w:t xml:space="preserve"> Att vara direktör i staten,</w:t>
      </w:r>
      <w:r w:rsidRPr="00237A2C">
        <w:t xml:space="preserve"> Stockholms universitet, Scores rapportserie 2000:2.</w:t>
      </w:r>
    </w:p>
    <w:p w:rsidR="00AE50BA" w:rsidRPr="00237A2C" w:rsidRDefault="00AE50BA">
      <w:r w:rsidRPr="00237A2C">
        <w:t xml:space="preserve">Grønbæk, David 1991, </w:t>
      </w:r>
      <w:r w:rsidRPr="00237A2C">
        <w:rPr>
          <w:i/>
        </w:rPr>
        <w:t>Industripolitik i Danmark och Sverige</w:t>
      </w:r>
      <w:r w:rsidRPr="00237A2C">
        <w:t>, Köpenhamn: Politiske Studier.</w:t>
      </w:r>
    </w:p>
    <w:p w:rsidR="00AE50BA" w:rsidRPr="00237A2C" w:rsidRDefault="00AE50BA">
      <w:r w:rsidRPr="00237A2C">
        <w:t xml:space="preserve">Grønnegård Christensen, Jørgen och Marius Ibsen 1994 (2:a utg.), </w:t>
      </w:r>
      <w:r w:rsidRPr="00237A2C">
        <w:rPr>
          <w:i/>
        </w:rPr>
        <w:t>Bureau-krati og bureaukrater</w:t>
      </w:r>
      <w:r w:rsidRPr="00237A2C">
        <w:t>, Herning: Systime.</w:t>
      </w:r>
    </w:p>
    <w:p w:rsidR="00AE50BA" w:rsidRPr="00237A2C" w:rsidRDefault="00AE50BA">
      <w:r w:rsidRPr="00237A2C">
        <w:t>Hegeland, Tore Jacob 1994, Fra de tusind blomster til en målrettet udvikling, Ålborg Universitet.</w:t>
      </w:r>
    </w:p>
    <w:p w:rsidR="00AE50BA" w:rsidRPr="00237A2C" w:rsidRDefault="00AE50BA">
      <w:r w:rsidRPr="00237A2C">
        <w:t xml:space="preserve">Henning, Roger 1977, </w:t>
      </w:r>
      <w:r w:rsidRPr="00237A2C">
        <w:rPr>
          <w:i/>
        </w:rPr>
        <w:t>Företagen i politiken. Om selektiv politik och indu-strins kontakter med st</w:t>
      </w:r>
      <w:r w:rsidRPr="00237A2C">
        <w:rPr>
          <w:i/>
        </w:rPr>
        <w:t>a</w:t>
      </w:r>
      <w:r w:rsidRPr="00237A2C">
        <w:rPr>
          <w:i/>
        </w:rPr>
        <w:t>ten,</w:t>
      </w:r>
      <w:r w:rsidRPr="00237A2C">
        <w:t xml:space="preserve"> Stockholm: SNS.</w:t>
      </w:r>
    </w:p>
    <w:p w:rsidR="00AE50BA" w:rsidRPr="00237A2C" w:rsidRDefault="00AE50BA">
      <w:r w:rsidRPr="00237A2C">
        <w:t xml:space="preserve">Henning, Roger 1984, Industripolitik eller sysselsättningspolitik? En studie i svensk industristödspolitik, i Hadenius, Axel et. al. </w:t>
      </w:r>
      <w:r w:rsidRPr="00237A2C">
        <w:rPr>
          <w:i/>
        </w:rPr>
        <w:t>Tre studier i politiskt besluts</w:t>
      </w:r>
      <w:r w:rsidRPr="00237A2C">
        <w:rPr>
          <w:i/>
        </w:rPr>
        <w:softHyphen/>
        <w:t>fattande.</w:t>
      </w:r>
      <w:r w:rsidRPr="00237A2C">
        <w:t xml:space="preserve"> Stockholm: Almqvist &amp; Wiksell International.</w:t>
      </w:r>
    </w:p>
    <w:p w:rsidR="00AE50BA" w:rsidRPr="00237A2C" w:rsidRDefault="00AE50BA">
      <w:r w:rsidRPr="00237A2C">
        <w:t xml:space="preserve">Herlitz, Nils 1963, </w:t>
      </w:r>
      <w:r w:rsidRPr="00237A2C">
        <w:rPr>
          <w:i/>
        </w:rPr>
        <w:t>Nordisk offentlig rätt</w:t>
      </w:r>
      <w:r w:rsidRPr="00237A2C">
        <w:t xml:space="preserve"> del 3 band 1, Stockholm: Norstedts.</w:t>
      </w:r>
    </w:p>
    <w:p w:rsidR="00AE50BA" w:rsidRPr="00237A2C" w:rsidRDefault="00AE50BA">
      <w:r w:rsidRPr="00237A2C">
        <w:t>http://www.kl.dk/kl.net?sidenr=30274</w:t>
      </w:r>
    </w:p>
    <w:p w:rsidR="00AE50BA" w:rsidRPr="00237A2C" w:rsidRDefault="00AE50BA">
      <w:r w:rsidRPr="00237A2C">
        <w:t>http://www.mst.dk/gronfond/</w:t>
      </w:r>
    </w:p>
    <w:p w:rsidR="00AE50BA" w:rsidRPr="00237A2C" w:rsidRDefault="00AE50BA">
      <w:r w:rsidRPr="00237A2C">
        <w:t xml:space="preserve">Indenrigsministeriet, 1998, </w:t>
      </w:r>
      <w:r w:rsidRPr="00237A2C">
        <w:rPr>
          <w:i/>
        </w:rPr>
        <w:t>Betänkning 1365, Forenkling af den kommunale finansiering.</w:t>
      </w:r>
      <w:r w:rsidRPr="00237A2C">
        <w:t xml:space="preserve"> Köpe</w:t>
      </w:r>
      <w:r w:rsidRPr="00237A2C">
        <w:t>n</w:t>
      </w:r>
      <w:r w:rsidRPr="00237A2C">
        <w:t>hamn: Statens information.</w:t>
      </w:r>
    </w:p>
    <w:p w:rsidR="00AE50BA" w:rsidRPr="00237A2C" w:rsidRDefault="00AE50BA">
      <w:pPr>
        <w:ind w:left="340" w:hanging="340"/>
      </w:pPr>
      <w:r w:rsidRPr="00237A2C">
        <w:t xml:space="preserve">Jacobsson, Bengt 1984, </w:t>
      </w:r>
      <w:r w:rsidRPr="00237A2C">
        <w:rPr>
          <w:i/>
        </w:rPr>
        <w:t xml:space="preserve">Hur styrs förvaltningen? </w:t>
      </w:r>
      <w:r w:rsidRPr="00237A2C">
        <w:rPr>
          <w:i/>
        </w:rPr>
        <w:sym w:font="Symbol" w:char="F02D"/>
      </w:r>
      <w:r w:rsidRPr="00237A2C">
        <w:rPr>
          <w:i/>
        </w:rPr>
        <w:t xml:space="preserve"> myt och verklighet kring departementens styrning av ämbetsverken,</w:t>
      </w:r>
      <w:r w:rsidRPr="00237A2C">
        <w:t xml:space="preserve"> Lund: Studentlitteratur.</w:t>
      </w:r>
    </w:p>
    <w:p w:rsidR="00AE50BA" w:rsidRPr="00237A2C" w:rsidRDefault="00AE50BA">
      <w:r w:rsidRPr="00237A2C">
        <w:t xml:space="preserve">Jacobsson, Bengt 2000, Världen i staten </w:t>
      </w:r>
      <w:r w:rsidRPr="00237A2C">
        <w:sym w:font="Symbol" w:char="F02D"/>
      </w:r>
      <w:r w:rsidRPr="00237A2C">
        <w:t xml:space="preserve"> Europeisering, politik och statens organisering, Stoc</w:t>
      </w:r>
      <w:r w:rsidRPr="00237A2C">
        <w:t>k</w:t>
      </w:r>
      <w:r w:rsidRPr="00237A2C">
        <w:t>holm, Scores rapportserie 2000:11.</w:t>
      </w:r>
    </w:p>
    <w:p w:rsidR="00AE50BA" w:rsidRPr="00237A2C" w:rsidRDefault="00AE50BA">
      <w:pPr>
        <w:ind w:left="340" w:hanging="340"/>
      </w:pPr>
      <w:r w:rsidRPr="00237A2C">
        <w:t xml:space="preserve">Jacobsson, Bengt i SOU 1997:30, </w:t>
      </w:r>
      <w:r w:rsidRPr="00237A2C">
        <w:rPr>
          <w:i/>
        </w:rPr>
        <w:t xml:space="preserve">Europa och staten </w:t>
      </w:r>
      <w:r w:rsidRPr="00237A2C">
        <w:rPr>
          <w:i/>
        </w:rPr>
        <w:sym w:font="Symbol" w:char="F02D"/>
      </w:r>
      <w:r w:rsidRPr="00237A2C">
        <w:rPr>
          <w:i/>
        </w:rPr>
        <w:t xml:space="preserve"> Europeiseringens betydelse för svensk statsförvaltning,</w:t>
      </w:r>
      <w:r w:rsidRPr="00237A2C">
        <w:t xml:space="preserve"> Stockholm: Fritzes.</w:t>
      </w:r>
    </w:p>
    <w:p w:rsidR="00AE50BA" w:rsidRPr="00237A2C" w:rsidRDefault="00AE50BA">
      <w:pPr>
        <w:ind w:left="340" w:hanging="340"/>
      </w:pPr>
      <w:r w:rsidRPr="00237A2C">
        <w:t xml:space="preserve">Jacobsson, Bengt och Sundström, Göran. I Score Rapportserie 1999:10, </w:t>
      </w:r>
      <w:r w:rsidRPr="00237A2C">
        <w:rPr>
          <w:i/>
        </w:rPr>
        <w:t xml:space="preserve">Invävd i Europa </w:t>
      </w:r>
      <w:r w:rsidRPr="00237A2C">
        <w:rPr>
          <w:i/>
        </w:rPr>
        <w:sym w:font="Symbol" w:char="F02D"/>
      </w:r>
      <w:r w:rsidRPr="00237A2C">
        <w:rPr>
          <w:i/>
        </w:rPr>
        <w:t xml:space="preserve"> En undersökning av den svenska statsförvaltningens EU-arbete,</w:t>
      </w:r>
      <w:r w:rsidRPr="00237A2C">
        <w:t xml:space="preserve"> Stockholms universitet.</w:t>
      </w:r>
    </w:p>
    <w:p w:rsidR="00AE50BA" w:rsidRPr="00237A2C" w:rsidRDefault="00AE50BA">
      <w:r w:rsidRPr="00237A2C">
        <w:t xml:space="preserve">Joas, Marko 1999, Building Up and Splitting Down, i Joas och Hermansson (red.), </w:t>
      </w:r>
      <w:r w:rsidRPr="00237A2C">
        <w:rPr>
          <w:i/>
        </w:rPr>
        <w:t>The No</w:t>
      </w:r>
      <w:r w:rsidRPr="00237A2C">
        <w:rPr>
          <w:i/>
        </w:rPr>
        <w:t>r</w:t>
      </w:r>
      <w:r w:rsidRPr="00237A2C">
        <w:rPr>
          <w:i/>
        </w:rPr>
        <w:t xml:space="preserve">dic Environments, </w:t>
      </w:r>
      <w:r w:rsidRPr="00237A2C">
        <w:t>Aldershot: Ashgate.</w:t>
      </w:r>
    </w:p>
    <w:p w:rsidR="00AE50BA" w:rsidRPr="00237A2C" w:rsidRDefault="00AE50BA">
      <w:r w:rsidRPr="00237A2C">
        <w:t>Kjellander, Claes-Göran 1997, Myterna om ministerstyre, Dagens Nyheter 970228.</w:t>
      </w:r>
    </w:p>
    <w:p w:rsidR="00AE50BA" w:rsidRPr="00237A2C" w:rsidRDefault="00AE50BA">
      <w:r w:rsidRPr="00237A2C">
        <w:t xml:space="preserve">Knudsen, Tim 1995, </w:t>
      </w:r>
      <w:r w:rsidRPr="00237A2C">
        <w:rPr>
          <w:i/>
        </w:rPr>
        <w:t>Dansk statsbygning</w:t>
      </w:r>
      <w:r w:rsidRPr="00237A2C">
        <w:t>, Købe</w:t>
      </w:r>
      <w:r w:rsidRPr="00237A2C">
        <w:t>n</w:t>
      </w:r>
      <w:r w:rsidRPr="00237A2C">
        <w:t>havn, Jurist- og Økonom</w:t>
      </w:r>
      <w:r w:rsidRPr="00237A2C">
        <w:softHyphen/>
        <w:t>forbun</w:t>
      </w:r>
      <w:r w:rsidRPr="00237A2C">
        <w:softHyphen/>
        <w:t>dets forlag</w:t>
      </w:r>
    </w:p>
    <w:p w:rsidR="00AE50BA" w:rsidRPr="00237A2C" w:rsidRDefault="00AE50BA">
      <w:r w:rsidRPr="00237A2C">
        <w:t xml:space="preserve">Lægreid, Per och Johan P. Olsen 1978, </w:t>
      </w:r>
      <w:r w:rsidRPr="00237A2C">
        <w:rPr>
          <w:i/>
        </w:rPr>
        <w:t>Byråkrati og beslutninger</w:t>
      </w:r>
      <w:r w:rsidRPr="00237A2C">
        <w:t>, Bergen: Universitetsforlaget.</w:t>
      </w:r>
    </w:p>
    <w:p w:rsidR="00AE50BA" w:rsidRPr="00237A2C" w:rsidRDefault="00AE50BA">
      <w:r w:rsidRPr="00237A2C">
        <w:t xml:space="preserve">Larsson, Torbjörn 1986, </w:t>
      </w:r>
      <w:r w:rsidRPr="00237A2C">
        <w:rPr>
          <w:i/>
        </w:rPr>
        <w:t>Regeringen och dess kansli: samordning och byr</w:t>
      </w:r>
      <w:r w:rsidRPr="00237A2C">
        <w:rPr>
          <w:i/>
        </w:rPr>
        <w:t>å</w:t>
      </w:r>
      <w:r w:rsidRPr="00237A2C">
        <w:rPr>
          <w:i/>
        </w:rPr>
        <w:t>kra</w:t>
      </w:r>
      <w:r w:rsidRPr="00237A2C">
        <w:rPr>
          <w:i/>
        </w:rPr>
        <w:softHyphen/>
      </w:r>
      <w:r w:rsidRPr="00237A2C">
        <w:rPr>
          <w:i/>
        </w:rPr>
        <w:softHyphen/>
        <w:t>ti i maktens centrum,</w:t>
      </w:r>
      <w:r w:rsidRPr="00237A2C">
        <w:t xml:space="preserve"> Lund: Studentlitteratur.</w:t>
      </w:r>
    </w:p>
    <w:p w:rsidR="00AE50BA" w:rsidRPr="00237A2C" w:rsidRDefault="00AE50BA">
      <w:r w:rsidRPr="00237A2C">
        <w:t xml:space="preserve">Lindbom, Anders 1995, </w:t>
      </w:r>
      <w:r w:rsidRPr="00237A2C">
        <w:rPr>
          <w:i/>
        </w:rPr>
        <w:t>Medborgarskapet i välfärdsstaten</w:t>
      </w:r>
      <w:r w:rsidRPr="00237A2C">
        <w:t>, Stockholm: Al</w:t>
      </w:r>
      <w:r w:rsidRPr="00237A2C">
        <w:t>m</w:t>
      </w:r>
      <w:r w:rsidRPr="00237A2C">
        <w:t>qvist &amp; Wiksell I</w:t>
      </w:r>
      <w:r w:rsidRPr="00237A2C">
        <w:t>n</w:t>
      </w:r>
      <w:r w:rsidRPr="00237A2C">
        <w:t>ter</w:t>
      </w:r>
      <w:r w:rsidRPr="00237A2C">
        <w:softHyphen/>
        <w:t xml:space="preserve">national. </w:t>
      </w:r>
    </w:p>
    <w:p w:rsidR="00AE50BA" w:rsidRPr="00237A2C" w:rsidRDefault="00AE50BA">
      <w:r w:rsidRPr="00237A2C">
        <w:t xml:space="preserve">Lindbom, Anders 1997, </w:t>
      </w:r>
      <w:r w:rsidRPr="00237A2C">
        <w:rPr>
          <w:i/>
        </w:rPr>
        <w:t>Ministern och makten. Hur fungerar ministerstyre i praktiken?</w:t>
      </w:r>
      <w:r w:rsidRPr="00237A2C">
        <w:t xml:space="preserve"> Rapport till Förvaltningspolitiska kommissionen, SOU 1997:54, Stockholm: Fritzes.</w:t>
      </w:r>
    </w:p>
    <w:p w:rsidR="00AE50BA" w:rsidRPr="00237A2C" w:rsidRDefault="00AE50BA">
      <w:r w:rsidRPr="00237A2C">
        <w:t>Lov om ministres ansvarlighed (Folketingstidende 1963/64, C. sp. 225).</w:t>
      </w:r>
    </w:p>
    <w:p w:rsidR="00AE50BA" w:rsidRPr="00237A2C" w:rsidRDefault="00AE50BA">
      <w:pPr>
        <w:ind w:left="340" w:hanging="340"/>
      </w:pPr>
      <w:r w:rsidRPr="00237A2C">
        <w:t xml:space="preserve">Lundgren, Nils och Ingemar Ståhl 1981, </w:t>
      </w:r>
      <w:r w:rsidRPr="00237A2C">
        <w:rPr>
          <w:i/>
        </w:rPr>
        <w:t>Industripolitikens spelregler,</w:t>
      </w:r>
      <w:r w:rsidRPr="00237A2C">
        <w:t xml:space="preserve"> Stock</w:t>
      </w:r>
      <w:r w:rsidRPr="00237A2C">
        <w:softHyphen/>
        <w:t>holm: Industriförbundets förlag.</w:t>
      </w:r>
    </w:p>
    <w:p w:rsidR="00AE50BA" w:rsidRPr="00237A2C" w:rsidRDefault="00AE50BA">
      <w:pPr>
        <w:ind w:left="340" w:hanging="340"/>
      </w:pPr>
      <w:r w:rsidRPr="00237A2C">
        <w:t xml:space="preserve">Moe, Terry 1989, The politics of structural choice, i Williamsson Oliver E (red.), </w:t>
      </w:r>
      <w:r w:rsidRPr="00237A2C">
        <w:rPr>
          <w:i/>
        </w:rPr>
        <w:t>Organization theory from Chester Barnard to the present and beyond</w:t>
      </w:r>
      <w:r w:rsidRPr="00237A2C">
        <w:t>: Oxford University Press.</w:t>
      </w:r>
    </w:p>
    <w:p w:rsidR="00AE50BA" w:rsidRPr="00237A2C" w:rsidRDefault="00AE50BA">
      <w:r w:rsidRPr="00237A2C">
        <w:t>Nilsson, Jörgen, Anslag till regeringens disposition. Preliminär version av rapport från Riksdagens revisorer.</w:t>
      </w:r>
    </w:p>
    <w:p w:rsidR="00AE50BA" w:rsidRPr="00237A2C" w:rsidRDefault="00AE50BA">
      <w:r w:rsidRPr="00237A2C">
        <w:t>Nissen, Christian S. 1984, Retsforholdet mellem politikere og embeds</w:t>
      </w:r>
      <w:r w:rsidRPr="00237A2C">
        <w:softHyphen/>
        <w:t>mænd. Nordisk Admini</w:t>
      </w:r>
      <w:r w:rsidRPr="00237A2C">
        <w:softHyphen/>
        <w:t>stra</w:t>
      </w:r>
      <w:r w:rsidRPr="00237A2C">
        <w:softHyphen/>
        <w:t>tiv Tidskrift 1984:2.</w:t>
      </w:r>
    </w:p>
    <w:p w:rsidR="00AE50BA" w:rsidRPr="00237A2C" w:rsidRDefault="00AE50BA">
      <w:pPr>
        <w:ind w:left="340" w:hanging="340"/>
      </w:pPr>
      <w:r w:rsidRPr="00237A2C">
        <w:t xml:space="preserve">Petersson, Olof 1989, </w:t>
      </w:r>
      <w:r w:rsidRPr="00237A2C">
        <w:rPr>
          <w:i/>
        </w:rPr>
        <w:t xml:space="preserve">Maktens nätverk </w:t>
      </w:r>
      <w:r w:rsidRPr="00237A2C">
        <w:rPr>
          <w:i/>
        </w:rPr>
        <w:sym w:font="Symbol" w:char="F02D"/>
      </w:r>
      <w:r w:rsidRPr="00237A2C">
        <w:rPr>
          <w:i/>
        </w:rPr>
        <w:t xml:space="preserve"> En undersökning av regerings</w:t>
      </w:r>
      <w:r w:rsidRPr="00237A2C">
        <w:rPr>
          <w:i/>
        </w:rPr>
        <w:softHyphen/>
        <w:t>kansli</w:t>
      </w:r>
      <w:r w:rsidRPr="00237A2C">
        <w:rPr>
          <w:i/>
        </w:rPr>
        <w:softHyphen/>
        <w:t xml:space="preserve">ets kontakter, </w:t>
      </w:r>
      <w:r w:rsidRPr="00237A2C">
        <w:t>Stockholm: Carlssons Bokförlag.</w:t>
      </w:r>
    </w:p>
    <w:p w:rsidR="00AE50BA" w:rsidRPr="00237A2C" w:rsidRDefault="00AE50BA">
      <w:r w:rsidRPr="00237A2C">
        <w:t xml:space="preserve">Petersson, Olof 1991, </w:t>
      </w:r>
      <w:r w:rsidRPr="00237A2C">
        <w:rPr>
          <w:i/>
        </w:rPr>
        <w:t>Nordisk Politik</w:t>
      </w:r>
      <w:r w:rsidRPr="00237A2C">
        <w:t>, Stockholm: Norstedts.</w:t>
      </w:r>
    </w:p>
    <w:p w:rsidR="00AE50BA" w:rsidRPr="00237A2C" w:rsidRDefault="00AE50BA">
      <w:pPr>
        <w:ind w:left="340" w:hanging="340"/>
      </w:pPr>
      <w:r w:rsidRPr="00237A2C">
        <w:rPr>
          <w:i/>
        </w:rPr>
        <w:t>Regeringsformen</w:t>
      </w:r>
      <w:r w:rsidRPr="00237A2C">
        <w:t xml:space="preserve"> 1974/2000.</w:t>
      </w:r>
    </w:p>
    <w:p w:rsidR="00AE50BA" w:rsidRPr="00237A2C" w:rsidRDefault="00AE50BA">
      <w:pPr>
        <w:pStyle w:val="Rubrik7"/>
        <w:ind w:left="340" w:hanging="340"/>
      </w:pPr>
      <w:r w:rsidRPr="00237A2C">
        <w:t>Riksdagstrycket</w:t>
      </w:r>
    </w:p>
    <w:p w:rsidR="00AE50BA" w:rsidRPr="00237A2C" w:rsidRDefault="00AE50BA">
      <w:pPr>
        <w:ind w:left="340" w:hanging="340"/>
      </w:pPr>
      <w:r w:rsidRPr="00237A2C">
        <w:t xml:space="preserve">Rothstein, Bo 1986, </w:t>
      </w:r>
      <w:r w:rsidRPr="00237A2C">
        <w:rPr>
          <w:i/>
        </w:rPr>
        <w:t xml:space="preserve">Den socialdemokratiska staten, </w:t>
      </w:r>
      <w:r w:rsidRPr="00237A2C">
        <w:t>Lund: Studentlitteratur.</w:t>
      </w:r>
    </w:p>
    <w:p w:rsidR="00AE50BA" w:rsidRPr="00237A2C" w:rsidRDefault="00AE50BA">
      <w:pPr>
        <w:ind w:left="340" w:hanging="340"/>
      </w:pPr>
      <w:r w:rsidRPr="00237A2C">
        <w:t xml:space="preserve">RRV 1996:50, </w:t>
      </w:r>
      <w:r w:rsidRPr="00237A2C">
        <w:rPr>
          <w:i/>
        </w:rPr>
        <w:t xml:space="preserve">Förvaltningspolitik i förändring </w:t>
      </w:r>
      <w:r w:rsidRPr="00237A2C">
        <w:rPr>
          <w:i/>
        </w:rPr>
        <w:sym w:font="Symbol" w:char="F02D"/>
      </w:r>
      <w:r w:rsidRPr="00237A2C">
        <w:rPr>
          <w:i/>
        </w:rPr>
        <w:t xml:space="preserve"> En kartläggning och an</w:t>
      </w:r>
      <w:r w:rsidRPr="00237A2C">
        <w:rPr>
          <w:i/>
        </w:rPr>
        <w:t>a</w:t>
      </w:r>
      <w:r w:rsidRPr="00237A2C">
        <w:rPr>
          <w:i/>
        </w:rPr>
        <w:t xml:space="preserve">lys av regeringens styrning av statsförvaltningen, </w:t>
      </w:r>
      <w:r w:rsidRPr="00237A2C">
        <w:t>Stockholm: Riksrev</w:t>
      </w:r>
      <w:r w:rsidRPr="00237A2C">
        <w:t>i</w:t>
      </w:r>
      <w:r w:rsidRPr="00237A2C">
        <w:t>sions</w:t>
      </w:r>
      <w:r w:rsidRPr="00237A2C">
        <w:softHyphen/>
        <w:t>verket.</w:t>
      </w:r>
    </w:p>
    <w:p w:rsidR="00AE50BA" w:rsidRPr="00237A2C" w:rsidRDefault="00AE50BA">
      <w:r w:rsidRPr="00237A2C">
        <w:t xml:space="preserve">Sidenius, Niels Christian 1985, Industripolitikkens organisation,  </w:t>
      </w:r>
      <w:r w:rsidRPr="00237A2C">
        <w:rPr>
          <w:i/>
        </w:rPr>
        <w:t>Nordisk Administratit Tidskrift</w:t>
      </w:r>
      <w:r w:rsidRPr="00237A2C">
        <w:t xml:space="preserve"> 1985:3.</w:t>
      </w:r>
    </w:p>
    <w:p w:rsidR="00AE50BA" w:rsidRPr="00237A2C" w:rsidRDefault="00AE50BA">
      <w:r w:rsidRPr="00237A2C">
        <w:t xml:space="preserve">Simonsen, Palle, Ministeren og hans administration, i </w:t>
      </w:r>
      <w:r w:rsidRPr="00237A2C">
        <w:rPr>
          <w:i/>
        </w:rPr>
        <w:t>Den offentlige sektor, Politisk og administrativ styring</w:t>
      </w:r>
      <w:r w:rsidRPr="00237A2C">
        <w:t>, Rapport från Rolighedskonferencen 14/1 1988.</w:t>
      </w:r>
    </w:p>
    <w:p w:rsidR="00AE50BA" w:rsidRPr="00237A2C" w:rsidRDefault="00AE50BA">
      <w:pPr>
        <w:ind w:left="340" w:hanging="340"/>
      </w:pPr>
      <w:r w:rsidRPr="00237A2C">
        <w:t xml:space="preserve">SOU 1967:2, </w:t>
      </w:r>
      <w:r w:rsidRPr="00237A2C">
        <w:rPr>
          <w:i/>
        </w:rPr>
        <w:t>Allmänna arvsfonden</w:t>
      </w:r>
      <w:r w:rsidRPr="00237A2C">
        <w:t>. Betänkande med förslag till ändringar i arvsfondslagstiftningen avgivet av Arvsfondsutredningen. Stockholm.</w:t>
      </w:r>
    </w:p>
    <w:p w:rsidR="00AE50BA" w:rsidRPr="00237A2C" w:rsidRDefault="00AE50BA">
      <w:pPr>
        <w:ind w:left="340" w:hanging="340"/>
      </w:pPr>
      <w:r w:rsidRPr="00237A2C">
        <w:t xml:space="preserve">SOU 1983:39, </w:t>
      </w:r>
      <w:r w:rsidRPr="00237A2C">
        <w:rPr>
          <w:i/>
        </w:rPr>
        <w:t xml:space="preserve">Politisk styrning - administrativ självständighet, </w:t>
      </w:r>
      <w:r w:rsidRPr="00237A2C">
        <w:t xml:space="preserve">betänkande av Förvaltningsutredningen, Stockholm: Liber, Allmänna Förlaget. </w:t>
      </w:r>
    </w:p>
    <w:p w:rsidR="00AE50BA" w:rsidRPr="00237A2C" w:rsidRDefault="00AE50BA">
      <w:pPr>
        <w:ind w:left="340" w:hanging="340"/>
      </w:pPr>
      <w:r w:rsidRPr="00237A2C">
        <w:t xml:space="preserve">SOU 1983:39, </w:t>
      </w:r>
      <w:r w:rsidRPr="00237A2C">
        <w:rPr>
          <w:i/>
        </w:rPr>
        <w:t>Politisk styrning </w:t>
      </w:r>
      <w:r w:rsidRPr="00237A2C">
        <w:rPr>
          <w:i/>
        </w:rPr>
        <w:sym w:font="Symbol" w:char="F02D"/>
      </w:r>
      <w:r w:rsidRPr="00237A2C">
        <w:rPr>
          <w:i/>
        </w:rPr>
        <w:t xml:space="preserve">  administrativ självständighet</w:t>
      </w:r>
      <w:r w:rsidRPr="00237A2C">
        <w:t>, betänkande av Förvaltningsutredningen, Stockholm: Liber, Allmänna Förlaget.</w:t>
      </w:r>
    </w:p>
    <w:p w:rsidR="00AE50BA" w:rsidRPr="00237A2C" w:rsidRDefault="00AE50BA">
      <w:pPr>
        <w:ind w:left="340" w:hanging="340"/>
      </w:pPr>
      <w:r w:rsidRPr="00237A2C">
        <w:t xml:space="preserve">SOU 1985:40, </w:t>
      </w:r>
      <w:r w:rsidRPr="00237A2C">
        <w:rPr>
          <w:i/>
        </w:rPr>
        <w:t>Regeringen, myndigheterna och myndigheternas ledning</w:t>
      </w:r>
      <w:r w:rsidRPr="00237A2C">
        <w:t>, huvud</w:t>
      </w:r>
      <w:r w:rsidRPr="00237A2C">
        <w:softHyphen/>
        <w:t>betänkande från Verksledningskommittén, Stockholm: Liber, Allmänna Förlaget.</w:t>
      </w:r>
    </w:p>
    <w:p w:rsidR="00AE50BA" w:rsidRPr="00237A2C" w:rsidRDefault="00AE50BA">
      <w:r w:rsidRPr="00237A2C">
        <w:t xml:space="preserve">SOU 1990:79, </w:t>
      </w:r>
      <w:r w:rsidRPr="00237A2C">
        <w:rPr>
          <w:i/>
        </w:rPr>
        <w:t xml:space="preserve">Utlänningsnämnd. </w:t>
      </w:r>
      <w:r w:rsidRPr="00237A2C">
        <w:t>Betänkande av Asylprövningskommittén</w:t>
      </w:r>
      <w:r w:rsidRPr="00237A2C">
        <w:rPr>
          <w:i/>
        </w:rPr>
        <w:t>.</w:t>
      </w:r>
    </w:p>
    <w:p w:rsidR="00AE50BA" w:rsidRPr="00237A2C" w:rsidRDefault="00AE50BA">
      <w:pPr>
        <w:ind w:left="340" w:hanging="340"/>
      </w:pPr>
      <w:r w:rsidRPr="00237A2C">
        <w:t xml:space="preserve">SOU 1992:120, </w:t>
      </w:r>
      <w:r w:rsidRPr="00237A2C">
        <w:rPr>
          <w:i/>
        </w:rPr>
        <w:t>Allmänna arvsfonden.</w:t>
      </w:r>
      <w:r w:rsidRPr="00237A2C">
        <w:t xml:space="preserve"> Betänkande av 1991 års arvsfonds</w:t>
      </w:r>
      <w:r w:rsidRPr="00237A2C">
        <w:softHyphen/>
        <w:t>utred</w:t>
      </w:r>
      <w:r w:rsidRPr="00237A2C">
        <w:softHyphen/>
        <w:t>ning. Stockholm: Liber, Allmänna Förlaget.</w:t>
      </w:r>
    </w:p>
    <w:p w:rsidR="00AE50BA" w:rsidRPr="00237A2C" w:rsidRDefault="00AE50BA">
      <w:pPr>
        <w:ind w:left="340" w:hanging="340"/>
      </w:pPr>
      <w:r w:rsidRPr="00237A2C">
        <w:t xml:space="preserve">SOU 1993:58, </w:t>
      </w:r>
      <w:r w:rsidRPr="00237A2C">
        <w:rPr>
          <w:i/>
        </w:rPr>
        <w:t>Effektivare ledning i statliga myndigheter</w:t>
      </w:r>
      <w:r w:rsidRPr="00237A2C">
        <w:t>, betänkande av Kommittén om förvaltningsmyndigheternas ledningsformer, Stockholm: Fritzes, Allmänna Förlaget.</w:t>
      </w:r>
    </w:p>
    <w:p w:rsidR="00AE50BA" w:rsidRPr="00237A2C" w:rsidRDefault="00AE50BA">
      <w:pPr>
        <w:ind w:left="340" w:hanging="340"/>
      </w:pPr>
      <w:r w:rsidRPr="00237A2C">
        <w:t xml:space="preserve">SOU 1997:57, </w:t>
      </w:r>
      <w:r w:rsidRPr="00237A2C">
        <w:rPr>
          <w:i/>
        </w:rPr>
        <w:t>I medborgarnas tjänst. En samlad förvaltningspolitik för staten</w:t>
      </w:r>
      <w:r w:rsidRPr="00237A2C">
        <w:t>, slutbetänkande av Förvaltningspolitiska kommissionen, Stoc</w:t>
      </w:r>
      <w:r w:rsidRPr="00237A2C">
        <w:t>k</w:t>
      </w:r>
      <w:r w:rsidRPr="00237A2C">
        <w:t>holm: Fritzes.</w:t>
      </w:r>
    </w:p>
    <w:p w:rsidR="00AE50BA" w:rsidRPr="00237A2C" w:rsidRDefault="00AE50BA">
      <w:pPr>
        <w:ind w:left="340" w:hanging="340"/>
      </w:pPr>
      <w:r w:rsidRPr="00237A2C">
        <w:t xml:space="preserve">Statskontoret 1996:7, </w:t>
      </w:r>
      <w:r w:rsidRPr="00237A2C">
        <w:rPr>
          <w:i/>
        </w:rPr>
        <w:t>EU-medlemskapets effekter på svensk statsförvaltning,</w:t>
      </w:r>
      <w:r w:rsidRPr="00237A2C">
        <w:t xml:space="preserve"> Stockholm: Statskontoret.</w:t>
      </w:r>
    </w:p>
    <w:p w:rsidR="00AE50BA" w:rsidRPr="00237A2C" w:rsidRDefault="00AE50BA">
      <w:pPr>
        <w:ind w:left="340" w:hanging="340"/>
      </w:pPr>
      <w:r w:rsidRPr="00237A2C">
        <w:t xml:space="preserve">Statskontoret 1998:20, </w:t>
      </w:r>
      <w:r w:rsidRPr="00237A2C">
        <w:rPr>
          <w:i/>
        </w:rPr>
        <w:t xml:space="preserve">Kunskapslyftet som modell och metod </w:t>
      </w:r>
      <w:r w:rsidRPr="00237A2C">
        <w:rPr>
          <w:i/>
        </w:rPr>
        <w:sym w:font="Symbol" w:char="F02D"/>
      </w:r>
      <w:r w:rsidRPr="00237A2C">
        <w:rPr>
          <w:i/>
        </w:rPr>
        <w:t xml:space="preserve"> adhocrati eller byråkrati?</w:t>
      </w:r>
      <w:r w:rsidRPr="00237A2C">
        <w:rPr>
          <w:sz w:val="22"/>
        </w:rPr>
        <w:t xml:space="preserve"> </w:t>
      </w:r>
      <w:r w:rsidRPr="00237A2C">
        <w:t>Stockholm: Statskontoret.</w:t>
      </w:r>
    </w:p>
    <w:p w:rsidR="00AE50BA" w:rsidRPr="00237A2C" w:rsidRDefault="00AE50BA">
      <w:pPr>
        <w:ind w:left="340" w:hanging="340"/>
      </w:pPr>
      <w:r w:rsidRPr="00237A2C">
        <w:t xml:space="preserve">Statskontoret 2000:20 bilaga 1, Den svenska förvaltningsmodellen i EU-arbetet, i </w:t>
      </w:r>
      <w:r w:rsidRPr="00237A2C">
        <w:rPr>
          <w:i/>
        </w:rPr>
        <w:t>Fem år i EU,</w:t>
      </w:r>
      <w:r w:rsidRPr="00237A2C">
        <w:t xml:space="preserve"> Stockholm: Statskontoret.</w:t>
      </w:r>
    </w:p>
    <w:p w:rsidR="00AE50BA" w:rsidRPr="00237A2C" w:rsidRDefault="00AE50BA">
      <w:r w:rsidRPr="00237A2C">
        <w:t>Svardal, Gunnar 1994, Stortinget, regjeringen og statsad</w:t>
      </w:r>
      <w:r w:rsidRPr="00237A2C">
        <w:softHyphen/>
        <w:t>mi</w:t>
      </w:r>
      <w:r w:rsidRPr="00237A2C">
        <w:softHyphen/>
        <w:t>ni</w:t>
      </w:r>
      <w:r w:rsidRPr="00237A2C">
        <w:softHyphen/>
        <w:t>stra</w:t>
      </w:r>
      <w:r w:rsidRPr="00237A2C">
        <w:softHyphen/>
        <w:t>sjo</w:t>
      </w:r>
      <w:r w:rsidRPr="00237A2C">
        <w:softHyphen/>
        <w:t xml:space="preserve">nen, i Christensen Tom och Morten Egeberg, </w:t>
      </w:r>
      <w:r w:rsidRPr="00237A2C">
        <w:rPr>
          <w:i/>
        </w:rPr>
        <w:t>Forvaltningskunnskap</w:t>
      </w:r>
      <w:r w:rsidRPr="00237A2C">
        <w:t>, 1994 (2.a utg.), Oslo, Tano.</w:t>
      </w:r>
    </w:p>
    <w:p w:rsidR="00AE50BA" w:rsidRPr="00237A2C" w:rsidRDefault="00AE50BA">
      <w:pPr>
        <w:ind w:left="340" w:hanging="340"/>
      </w:pPr>
      <w:r w:rsidRPr="00237A2C">
        <w:t xml:space="preserve">Söderlind, Donald och Petersson, Olof 1986, </w:t>
      </w:r>
      <w:r w:rsidRPr="00237A2C">
        <w:rPr>
          <w:i/>
        </w:rPr>
        <w:t xml:space="preserve">Svensk förvaltningspolitik, </w:t>
      </w:r>
      <w:r w:rsidRPr="00237A2C">
        <w:t>Uppsala: Diskurs Förlag.</w:t>
      </w:r>
    </w:p>
    <w:p w:rsidR="00AE50BA" w:rsidRPr="00237A2C" w:rsidRDefault="00AE50BA">
      <w:pPr>
        <w:ind w:left="340" w:hanging="340"/>
      </w:pPr>
      <w:r w:rsidRPr="00237A2C">
        <w:t xml:space="preserve">Söderlind, Donald och Petersson, Olof 1988, </w:t>
      </w:r>
      <w:r w:rsidRPr="00237A2C">
        <w:rPr>
          <w:i/>
        </w:rPr>
        <w:t>Svensk förvaltningspolitik</w:t>
      </w:r>
      <w:r w:rsidRPr="00237A2C">
        <w:t>, andra upplagan, Uppsala: Diskurs Förlag.</w:t>
      </w:r>
    </w:p>
    <w:p w:rsidR="00AE50BA" w:rsidRPr="00237A2C" w:rsidRDefault="00AE50BA">
      <w:r w:rsidRPr="00237A2C">
        <w:t>Vahr, Jesper 1991, Samspillet og rollefordelingen mellem ministrene og den administrative ledelse i danske departementer, Århus, Institut for Stats</w:t>
      </w:r>
      <w:r w:rsidRPr="00237A2C">
        <w:softHyphen/>
        <w:t>kund</w:t>
      </w:r>
      <w:r w:rsidRPr="00237A2C">
        <w:softHyphen/>
        <w:t>skab (otryckt speciale).</w:t>
      </w:r>
    </w:p>
    <w:p w:rsidR="00AE50BA" w:rsidRPr="00237A2C" w:rsidRDefault="00AE50BA">
      <w:r w:rsidRPr="00237A2C">
        <w:t xml:space="preserve">Wallin, Gunnar,  Ehn, Peter,  Isberg, Magnus och Linde, Claes, </w:t>
      </w:r>
      <w:r w:rsidRPr="00237A2C">
        <w:rPr>
          <w:i/>
        </w:rPr>
        <w:t xml:space="preserve">Makthavare i     fokus, </w:t>
      </w:r>
      <w:r w:rsidRPr="00237A2C">
        <w:t>Stockholm: SNS Förlag.</w:t>
      </w:r>
    </w:p>
    <w:p w:rsidR="00AE50BA" w:rsidRPr="00237A2C" w:rsidRDefault="00AE50BA">
      <w:pPr>
        <w:ind w:left="340" w:hanging="340"/>
      </w:pPr>
      <w:r w:rsidRPr="00237A2C">
        <w:t xml:space="preserve">Wockelberg, Helena 1996, </w:t>
      </w:r>
      <w:r w:rsidRPr="00237A2C">
        <w:rPr>
          <w:i/>
        </w:rPr>
        <w:t>Verksledningsdebatten. En analys av partiers och intresseorganisationers förvaltningspolitiska idéer</w:t>
      </w:r>
      <w:r w:rsidRPr="00237A2C">
        <w:t>, PISA-rapport nr. 11, Statsvetenskapliga institutionen, Uppsala universitet.</w:t>
      </w:r>
    </w:p>
    <w:p w:rsidR="00AE50BA" w:rsidRPr="00237A2C" w:rsidRDefault="00AE50BA">
      <w:pPr>
        <w:ind w:left="340" w:hanging="340"/>
      </w:pPr>
      <w:r w:rsidRPr="00237A2C">
        <w:t xml:space="preserve">Wockelberg, Helena 1999, </w:t>
      </w:r>
      <w:r w:rsidRPr="00237A2C">
        <w:rPr>
          <w:i/>
        </w:rPr>
        <w:t xml:space="preserve">Maktdelning eller parlamentarism? Idédebatten om förvaltningens roll i det svenska styrelseskicket, </w:t>
      </w:r>
      <w:r w:rsidRPr="00237A2C">
        <w:t>uppsats presenterad vid nordiska statsvetarmötet, NOPSA, i Uppsala 19–21 augusti 1999.</w:t>
      </w:r>
    </w:p>
    <w:p w:rsidR="00AE50BA" w:rsidRPr="00237A2C" w:rsidRDefault="00AE50BA">
      <w:pPr>
        <w:pStyle w:val="Normaltindrag"/>
      </w:pPr>
      <w:r w:rsidRPr="00237A2C">
        <w:t xml:space="preserve">Wockelberg, Helena 2000, </w:t>
      </w:r>
      <w:r w:rsidRPr="00237A2C">
        <w:rPr>
          <w:i/>
        </w:rPr>
        <w:t>Departementsreformer som politisk strategi. Om regeringskansliets organisatoriska indelning</w:t>
      </w:r>
      <w:r w:rsidRPr="00237A2C">
        <w:t>, PISA-rapport nr. 48, Statsvetenskapliga institutionen, Uppsala universitet.</w:t>
      </w:r>
    </w:p>
    <w:p w:rsidR="00AE50BA" w:rsidRPr="00237A2C" w:rsidRDefault="00AE50BA"/>
    <w:p w:rsidR="00AE50BA" w:rsidRPr="00237A2C" w:rsidRDefault="00AE50BA">
      <w:pPr>
        <w:sectPr w:rsidR="00000000" w:rsidRPr="00237A2C">
          <w:headerReference w:type="default" r:id="rId30"/>
          <w:footerReference w:type="default" r:id="rId31"/>
          <w:pgSz w:w="11906" w:h="16838" w:code="9"/>
          <w:pgMar w:top="567" w:right="4876" w:bottom="4508" w:left="1134" w:header="227" w:footer="227" w:gutter="0"/>
          <w:cols w:space="720"/>
        </w:sectPr>
      </w:pPr>
    </w:p>
    <w:p w:rsidR="00AE50BA" w:rsidRPr="00237A2C" w:rsidRDefault="00AE50BA">
      <w:pPr>
        <w:pStyle w:val="Innehll"/>
      </w:pPr>
      <w:bookmarkStart w:id="379" w:name="_Toc509737983"/>
      <w:r w:rsidRPr="00237A2C">
        <w:t>Innehållsförteckning</w:t>
      </w:r>
      <w:bookmarkEnd w:id="379"/>
    </w:p>
    <w:p w:rsidR="00AE50BA" w:rsidRPr="00237A2C" w:rsidRDefault="00AE50BA">
      <w:pPr>
        <w:pStyle w:val="Innehll1"/>
        <w:rPr>
          <w:i w:val="0"/>
          <w:noProof w:val="0"/>
        </w:rPr>
      </w:pPr>
      <w:r w:rsidRPr="00237A2C">
        <w:rPr>
          <w:i w:val="0"/>
          <w:noProof w:val="0"/>
        </w:rPr>
        <w:t>1 Revisorernas granskning</w:t>
      </w:r>
      <w:r w:rsidRPr="00237A2C">
        <w:rPr>
          <w:i w:val="0"/>
          <w:noProof w:val="0"/>
        </w:rPr>
        <w:tab/>
        <w:t>1</w:t>
      </w:r>
    </w:p>
    <w:p w:rsidR="00AE50BA" w:rsidRPr="00237A2C" w:rsidRDefault="00AE50BA">
      <w:pPr>
        <w:pStyle w:val="Innehll1"/>
        <w:rPr>
          <w:i w:val="0"/>
          <w:noProof w:val="0"/>
        </w:rPr>
      </w:pPr>
      <w:r w:rsidRPr="00237A2C">
        <w:rPr>
          <w:i w:val="0"/>
          <w:noProof w:val="0"/>
        </w:rPr>
        <w:t>2 Revisorernas överväganden</w:t>
      </w:r>
      <w:r w:rsidRPr="00237A2C">
        <w:rPr>
          <w:i w:val="0"/>
          <w:noProof w:val="0"/>
        </w:rPr>
        <w:tab/>
        <w:t>2</w:t>
      </w:r>
    </w:p>
    <w:p w:rsidR="00AE50BA" w:rsidRPr="00237A2C" w:rsidRDefault="00AE50BA">
      <w:pPr>
        <w:pStyle w:val="Innehll2"/>
        <w:rPr>
          <w:i w:val="0"/>
          <w:noProof w:val="0"/>
        </w:rPr>
      </w:pPr>
      <w:r w:rsidRPr="00237A2C">
        <w:rPr>
          <w:i w:val="0"/>
          <w:noProof w:val="0"/>
        </w:rPr>
        <w:t>2.1 Principiella synpunkter på regeringen som bidragsfördelare</w:t>
      </w:r>
      <w:r w:rsidRPr="00237A2C">
        <w:rPr>
          <w:i w:val="0"/>
          <w:noProof w:val="0"/>
        </w:rPr>
        <w:tab/>
        <w:t>2</w:t>
      </w:r>
    </w:p>
    <w:p w:rsidR="00AE50BA" w:rsidRPr="00237A2C" w:rsidRDefault="00AE50BA">
      <w:pPr>
        <w:pStyle w:val="Innehll3"/>
        <w:rPr>
          <w:i w:val="0"/>
          <w:noProof w:val="0"/>
        </w:rPr>
      </w:pPr>
      <w:r w:rsidRPr="00237A2C">
        <w:rPr>
          <w:i w:val="0"/>
          <w:noProof w:val="0"/>
        </w:rPr>
        <w:t>Rapporten</w:t>
      </w:r>
      <w:r w:rsidRPr="00237A2C">
        <w:rPr>
          <w:i w:val="0"/>
          <w:noProof w:val="0"/>
        </w:rPr>
        <w:tab/>
        <w:t>2</w:t>
      </w:r>
    </w:p>
    <w:p w:rsidR="00AE50BA" w:rsidRPr="00237A2C" w:rsidRDefault="00AE50BA">
      <w:pPr>
        <w:pStyle w:val="Innehll3"/>
        <w:rPr>
          <w:i w:val="0"/>
          <w:noProof w:val="0"/>
        </w:rPr>
      </w:pPr>
      <w:r w:rsidRPr="00237A2C">
        <w:rPr>
          <w:i w:val="0"/>
          <w:noProof w:val="0"/>
        </w:rPr>
        <w:t>Remissinstanserna</w:t>
      </w:r>
      <w:r w:rsidRPr="00237A2C">
        <w:rPr>
          <w:i w:val="0"/>
          <w:noProof w:val="0"/>
        </w:rPr>
        <w:tab/>
        <w:t>3</w:t>
      </w:r>
    </w:p>
    <w:p w:rsidR="00AE50BA" w:rsidRPr="00237A2C" w:rsidRDefault="00AE50BA">
      <w:pPr>
        <w:pStyle w:val="Innehll3"/>
        <w:rPr>
          <w:i w:val="0"/>
          <w:noProof w:val="0"/>
        </w:rPr>
      </w:pPr>
      <w:r w:rsidRPr="00237A2C">
        <w:rPr>
          <w:i w:val="0"/>
          <w:noProof w:val="0"/>
        </w:rPr>
        <w:t>Revisorerna</w:t>
      </w:r>
      <w:r w:rsidRPr="00237A2C">
        <w:rPr>
          <w:i w:val="0"/>
          <w:noProof w:val="0"/>
        </w:rPr>
        <w:tab/>
        <w:t>5</w:t>
      </w:r>
    </w:p>
    <w:p w:rsidR="00AE50BA" w:rsidRPr="00237A2C" w:rsidRDefault="00AE50BA">
      <w:pPr>
        <w:pStyle w:val="Innehll2"/>
        <w:rPr>
          <w:i w:val="0"/>
          <w:noProof w:val="0"/>
        </w:rPr>
      </w:pPr>
      <w:r w:rsidRPr="00237A2C">
        <w:rPr>
          <w:i w:val="0"/>
          <w:noProof w:val="0"/>
        </w:rPr>
        <w:t>2.2 Riksdagen behöver ett bättre beslutsunderlag och en utökad resultatrapportering</w:t>
      </w:r>
      <w:r w:rsidRPr="00237A2C">
        <w:rPr>
          <w:i w:val="0"/>
          <w:noProof w:val="0"/>
        </w:rPr>
        <w:tab/>
        <w:t>6</w:t>
      </w:r>
    </w:p>
    <w:p w:rsidR="00AE50BA" w:rsidRPr="00237A2C" w:rsidRDefault="00AE50BA">
      <w:pPr>
        <w:pStyle w:val="Innehll3"/>
        <w:rPr>
          <w:i w:val="0"/>
          <w:noProof w:val="0"/>
        </w:rPr>
      </w:pPr>
      <w:r w:rsidRPr="00237A2C">
        <w:rPr>
          <w:i w:val="0"/>
          <w:noProof w:val="0"/>
        </w:rPr>
        <w:t>Rapporten</w:t>
      </w:r>
      <w:r w:rsidRPr="00237A2C">
        <w:rPr>
          <w:i w:val="0"/>
          <w:noProof w:val="0"/>
        </w:rPr>
        <w:tab/>
        <w:t>6</w:t>
      </w:r>
    </w:p>
    <w:p w:rsidR="00AE50BA" w:rsidRPr="00237A2C" w:rsidRDefault="00AE50BA">
      <w:pPr>
        <w:pStyle w:val="Innehll3"/>
        <w:rPr>
          <w:i w:val="0"/>
          <w:noProof w:val="0"/>
        </w:rPr>
      </w:pPr>
      <w:r w:rsidRPr="00237A2C">
        <w:rPr>
          <w:i w:val="0"/>
          <w:noProof w:val="0"/>
        </w:rPr>
        <w:t>Remissinstanserna</w:t>
      </w:r>
      <w:r w:rsidRPr="00237A2C">
        <w:rPr>
          <w:i w:val="0"/>
          <w:noProof w:val="0"/>
        </w:rPr>
        <w:tab/>
        <w:t>6</w:t>
      </w:r>
    </w:p>
    <w:p w:rsidR="00AE50BA" w:rsidRPr="00237A2C" w:rsidRDefault="00AE50BA">
      <w:pPr>
        <w:pStyle w:val="Innehll3"/>
        <w:rPr>
          <w:i w:val="0"/>
          <w:noProof w:val="0"/>
        </w:rPr>
      </w:pPr>
      <w:r w:rsidRPr="00237A2C">
        <w:rPr>
          <w:i w:val="0"/>
          <w:noProof w:val="0"/>
        </w:rPr>
        <w:t>Revisorerna</w:t>
      </w:r>
      <w:r w:rsidRPr="00237A2C">
        <w:rPr>
          <w:i w:val="0"/>
          <w:noProof w:val="0"/>
        </w:rPr>
        <w:tab/>
        <w:t>7</w:t>
      </w:r>
    </w:p>
    <w:p w:rsidR="00AE50BA" w:rsidRPr="00237A2C" w:rsidRDefault="00AE50BA">
      <w:pPr>
        <w:pStyle w:val="Innehll2"/>
        <w:rPr>
          <w:i w:val="0"/>
          <w:noProof w:val="0"/>
        </w:rPr>
      </w:pPr>
      <w:r w:rsidRPr="00237A2C">
        <w:rPr>
          <w:i w:val="0"/>
          <w:noProof w:val="0"/>
        </w:rPr>
        <w:t>2.3 Regeringens bidragshantering</w:t>
      </w:r>
      <w:r w:rsidRPr="00237A2C">
        <w:rPr>
          <w:i w:val="0"/>
          <w:noProof w:val="0"/>
        </w:rPr>
        <w:tab/>
      </w:r>
      <w:bookmarkStart w:id="380" w:name="_Hlt516991712"/>
      <w:r w:rsidRPr="00237A2C">
        <w:rPr>
          <w:i w:val="0"/>
          <w:noProof w:val="0"/>
        </w:rPr>
        <w:t>7</w:t>
      </w:r>
      <w:bookmarkEnd w:id="380"/>
    </w:p>
    <w:p w:rsidR="00AE50BA" w:rsidRPr="00237A2C" w:rsidRDefault="00AE50BA">
      <w:pPr>
        <w:pStyle w:val="Innehll3"/>
        <w:rPr>
          <w:i w:val="0"/>
          <w:noProof w:val="0"/>
        </w:rPr>
      </w:pPr>
      <w:r w:rsidRPr="00237A2C">
        <w:rPr>
          <w:i w:val="0"/>
          <w:noProof w:val="0"/>
        </w:rPr>
        <w:t>Rapporten</w:t>
      </w:r>
      <w:r w:rsidRPr="00237A2C">
        <w:rPr>
          <w:i w:val="0"/>
          <w:noProof w:val="0"/>
        </w:rPr>
        <w:tab/>
        <w:t>7</w:t>
      </w:r>
    </w:p>
    <w:p w:rsidR="00AE50BA" w:rsidRPr="00237A2C" w:rsidRDefault="00AE50BA">
      <w:pPr>
        <w:pStyle w:val="Innehll3"/>
        <w:rPr>
          <w:i w:val="0"/>
          <w:noProof w:val="0"/>
        </w:rPr>
      </w:pPr>
      <w:r w:rsidRPr="00237A2C">
        <w:rPr>
          <w:i w:val="0"/>
          <w:noProof w:val="0"/>
        </w:rPr>
        <w:t>Remissinstanserna</w:t>
      </w:r>
      <w:r w:rsidRPr="00237A2C">
        <w:rPr>
          <w:i w:val="0"/>
          <w:noProof w:val="0"/>
        </w:rPr>
        <w:tab/>
        <w:t>8</w:t>
      </w:r>
    </w:p>
    <w:p w:rsidR="00AE50BA" w:rsidRPr="00237A2C" w:rsidRDefault="00AE50BA">
      <w:pPr>
        <w:pStyle w:val="Innehll3"/>
        <w:rPr>
          <w:i w:val="0"/>
          <w:noProof w:val="0"/>
        </w:rPr>
      </w:pPr>
      <w:r w:rsidRPr="00237A2C">
        <w:rPr>
          <w:i w:val="0"/>
          <w:noProof w:val="0"/>
        </w:rPr>
        <w:t>Revisorerna</w:t>
      </w:r>
      <w:r w:rsidRPr="00237A2C">
        <w:rPr>
          <w:i w:val="0"/>
          <w:noProof w:val="0"/>
        </w:rPr>
        <w:tab/>
        <w:t>9</w:t>
      </w:r>
    </w:p>
    <w:p w:rsidR="00AE50BA" w:rsidRPr="00237A2C" w:rsidRDefault="00AE50BA">
      <w:pPr>
        <w:pStyle w:val="Innehll2"/>
        <w:rPr>
          <w:i w:val="0"/>
          <w:noProof w:val="0"/>
        </w:rPr>
      </w:pPr>
      <w:r w:rsidRPr="00237A2C">
        <w:rPr>
          <w:i w:val="0"/>
          <w:noProof w:val="0"/>
        </w:rPr>
        <w:t>2.4 Kraven på redovisning och revision behöver skärpas</w:t>
      </w:r>
      <w:r w:rsidRPr="00237A2C">
        <w:rPr>
          <w:i w:val="0"/>
          <w:noProof w:val="0"/>
        </w:rPr>
        <w:tab/>
        <w:t>10</w:t>
      </w:r>
    </w:p>
    <w:p w:rsidR="00AE50BA" w:rsidRPr="00237A2C" w:rsidRDefault="00AE50BA">
      <w:pPr>
        <w:pStyle w:val="Innehll3"/>
        <w:rPr>
          <w:i w:val="0"/>
          <w:noProof w:val="0"/>
        </w:rPr>
      </w:pPr>
      <w:r w:rsidRPr="00237A2C">
        <w:rPr>
          <w:i w:val="0"/>
          <w:noProof w:val="0"/>
        </w:rPr>
        <w:t>Rapporten</w:t>
      </w:r>
      <w:r w:rsidRPr="00237A2C">
        <w:rPr>
          <w:i w:val="0"/>
          <w:noProof w:val="0"/>
        </w:rPr>
        <w:tab/>
        <w:t>10</w:t>
      </w:r>
    </w:p>
    <w:p w:rsidR="00AE50BA" w:rsidRPr="00237A2C" w:rsidRDefault="00AE50BA">
      <w:pPr>
        <w:pStyle w:val="Innehll3"/>
        <w:rPr>
          <w:i w:val="0"/>
          <w:noProof w:val="0"/>
        </w:rPr>
      </w:pPr>
      <w:r w:rsidRPr="00237A2C">
        <w:rPr>
          <w:i w:val="0"/>
          <w:noProof w:val="0"/>
        </w:rPr>
        <w:t>Remissinstanserna</w:t>
      </w:r>
      <w:r w:rsidRPr="00237A2C">
        <w:rPr>
          <w:i w:val="0"/>
          <w:noProof w:val="0"/>
        </w:rPr>
        <w:tab/>
        <w:t>10</w:t>
      </w:r>
    </w:p>
    <w:p w:rsidR="00AE50BA" w:rsidRPr="00237A2C" w:rsidRDefault="00AE50BA">
      <w:pPr>
        <w:pStyle w:val="Innehll3"/>
        <w:rPr>
          <w:i w:val="0"/>
          <w:noProof w:val="0"/>
        </w:rPr>
      </w:pPr>
      <w:r w:rsidRPr="00237A2C">
        <w:rPr>
          <w:i w:val="0"/>
          <w:noProof w:val="0"/>
        </w:rPr>
        <w:t>Revisorerna</w:t>
      </w:r>
      <w:r w:rsidRPr="00237A2C">
        <w:rPr>
          <w:i w:val="0"/>
          <w:noProof w:val="0"/>
        </w:rPr>
        <w:tab/>
        <w:t>11</w:t>
      </w:r>
    </w:p>
    <w:p w:rsidR="00AE50BA" w:rsidRPr="00237A2C" w:rsidRDefault="00AE50BA">
      <w:pPr>
        <w:pStyle w:val="Innehll2"/>
        <w:rPr>
          <w:i w:val="0"/>
          <w:noProof w:val="0"/>
        </w:rPr>
      </w:pPr>
      <w:r w:rsidRPr="00237A2C">
        <w:rPr>
          <w:i w:val="0"/>
          <w:noProof w:val="0"/>
        </w:rPr>
        <w:t>2.5 Regeringen behöver göra en samlad översyn av föreskrifter m.m.</w:t>
      </w:r>
      <w:r w:rsidRPr="00237A2C">
        <w:rPr>
          <w:i w:val="0"/>
          <w:noProof w:val="0"/>
        </w:rPr>
        <w:tab/>
        <w:t>12</w:t>
      </w:r>
    </w:p>
    <w:p w:rsidR="00AE50BA" w:rsidRPr="00237A2C" w:rsidRDefault="00AE50BA">
      <w:pPr>
        <w:pStyle w:val="Innehll3"/>
        <w:rPr>
          <w:i w:val="0"/>
          <w:noProof w:val="0"/>
        </w:rPr>
      </w:pPr>
      <w:r w:rsidRPr="00237A2C">
        <w:rPr>
          <w:i w:val="0"/>
          <w:noProof w:val="0"/>
        </w:rPr>
        <w:t>Rapporten</w:t>
      </w:r>
      <w:r w:rsidRPr="00237A2C">
        <w:rPr>
          <w:i w:val="0"/>
          <w:noProof w:val="0"/>
        </w:rPr>
        <w:tab/>
        <w:t>12</w:t>
      </w:r>
    </w:p>
    <w:p w:rsidR="00AE50BA" w:rsidRPr="00237A2C" w:rsidRDefault="00AE50BA">
      <w:pPr>
        <w:pStyle w:val="Innehll3"/>
        <w:rPr>
          <w:i w:val="0"/>
          <w:noProof w:val="0"/>
        </w:rPr>
      </w:pPr>
      <w:r w:rsidRPr="00237A2C">
        <w:rPr>
          <w:i w:val="0"/>
          <w:noProof w:val="0"/>
        </w:rPr>
        <w:t>Remissinstanserna</w:t>
      </w:r>
      <w:r w:rsidRPr="00237A2C">
        <w:rPr>
          <w:i w:val="0"/>
          <w:noProof w:val="0"/>
        </w:rPr>
        <w:tab/>
        <w:t>12</w:t>
      </w:r>
    </w:p>
    <w:p w:rsidR="00AE50BA" w:rsidRPr="00237A2C" w:rsidRDefault="00AE50BA">
      <w:pPr>
        <w:pStyle w:val="Innehll3"/>
        <w:rPr>
          <w:i w:val="0"/>
          <w:noProof w:val="0"/>
        </w:rPr>
      </w:pPr>
      <w:r w:rsidRPr="00237A2C">
        <w:rPr>
          <w:i w:val="0"/>
          <w:noProof w:val="0"/>
        </w:rPr>
        <w:t>Revisorerna</w:t>
      </w:r>
      <w:r w:rsidRPr="00237A2C">
        <w:rPr>
          <w:i w:val="0"/>
          <w:noProof w:val="0"/>
        </w:rPr>
        <w:tab/>
        <w:t>12</w:t>
      </w:r>
    </w:p>
    <w:p w:rsidR="00AE50BA" w:rsidRPr="00237A2C" w:rsidRDefault="00AE50BA">
      <w:pPr>
        <w:pStyle w:val="Innehll1"/>
        <w:rPr>
          <w:i w:val="0"/>
          <w:noProof w:val="0"/>
        </w:rPr>
      </w:pPr>
      <w:r w:rsidRPr="00237A2C">
        <w:rPr>
          <w:i w:val="0"/>
          <w:noProof w:val="0"/>
        </w:rPr>
        <w:t>3 Revisorernas förslag</w:t>
      </w:r>
      <w:r w:rsidRPr="00237A2C">
        <w:rPr>
          <w:i w:val="0"/>
          <w:noProof w:val="0"/>
        </w:rPr>
        <w:tab/>
        <w:t>13</w:t>
      </w:r>
    </w:p>
    <w:p w:rsidR="00AE50BA" w:rsidRPr="00237A2C" w:rsidRDefault="00AE50BA">
      <w:pPr>
        <w:pStyle w:val="Innehll3"/>
        <w:rPr>
          <w:i w:val="0"/>
          <w:noProof w:val="0"/>
        </w:rPr>
      </w:pPr>
      <w:r w:rsidRPr="00237A2C">
        <w:rPr>
          <w:i w:val="0"/>
          <w:noProof w:val="0"/>
        </w:rPr>
        <w:t>1. Principiella synpunkter på regeringen som bidragsfördelare</w:t>
      </w:r>
      <w:r w:rsidRPr="00237A2C">
        <w:rPr>
          <w:i w:val="0"/>
          <w:noProof w:val="0"/>
        </w:rPr>
        <w:tab/>
        <w:t>13</w:t>
      </w:r>
    </w:p>
    <w:p w:rsidR="00AE50BA" w:rsidRPr="00237A2C" w:rsidRDefault="00AE50BA">
      <w:pPr>
        <w:pStyle w:val="Innehll3"/>
        <w:rPr>
          <w:i w:val="0"/>
          <w:noProof w:val="0"/>
        </w:rPr>
      </w:pPr>
      <w:r w:rsidRPr="00237A2C">
        <w:rPr>
          <w:i w:val="0"/>
          <w:noProof w:val="0"/>
        </w:rPr>
        <w:t>2. Beslutsunderlag och resultatrapportering</w:t>
      </w:r>
      <w:r w:rsidRPr="00237A2C">
        <w:rPr>
          <w:i w:val="0"/>
          <w:noProof w:val="0"/>
        </w:rPr>
        <w:tab/>
        <w:t>13</w:t>
      </w:r>
    </w:p>
    <w:p w:rsidR="00AE50BA" w:rsidRPr="00237A2C" w:rsidRDefault="00AE50BA">
      <w:pPr>
        <w:pStyle w:val="Innehll3"/>
        <w:rPr>
          <w:i w:val="0"/>
          <w:noProof w:val="0"/>
        </w:rPr>
      </w:pPr>
      <w:r w:rsidRPr="00237A2C">
        <w:rPr>
          <w:i w:val="0"/>
          <w:noProof w:val="0"/>
        </w:rPr>
        <w:t>3. Regeringens bidragshantering</w:t>
      </w:r>
      <w:r w:rsidRPr="00237A2C">
        <w:rPr>
          <w:i w:val="0"/>
          <w:noProof w:val="0"/>
        </w:rPr>
        <w:tab/>
        <w:t>13</w:t>
      </w:r>
    </w:p>
    <w:p w:rsidR="00AE50BA" w:rsidRPr="00237A2C" w:rsidRDefault="00AE50BA">
      <w:pPr>
        <w:pStyle w:val="Innehll3"/>
        <w:rPr>
          <w:i w:val="0"/>
          <w:noProof w:val="0"/>
        </w:rPr>
      </w:pPr>
      <w:r w:rsidRPr="00237A2C">
        <w:rPr>
          <w:i w:val="0"/>
          <w:noProof w:val="0"/>
        </w:rPr>
        <w:t>4. Redovisning och revision</w:t>
      </w:r>
      <w:r w:rsidRPr="00237A2C">
        <w:rPr>
          <w:i w:val="0"/>
          <w:noProof w:val="0"/>
        </w:rPr>
        <w:tab/>
        <w:t>13</w:t>
      </w:r>
    </w:p>
    <w:p w:rsidR="00AE50BA" w:rsidRPr="00237A2C" w:rsidRDefault="00AE50BA">
      <w:pPr>
        <w:pStyle w:val="Innehll3"/>
        <w:rPr>
          <w:i w:val="0"/>
          <w:noProof w:val="0"/>
        </w:rPr>
      </w:pPr>
      <w:r w:rsidRPr="00237A2C">
        <w:rPr>
          <w:i w:val="0"/>
          <w:noProof w:val="0"/>
        </w:rPr>
        <w:t>5. Samlad översyn av föreskrifter m.m.</w:t>
      </w:r>
      <w:r w:rsidRPr="00237A2C">
        <w:rPr>
          <w:i w:val="0"/>
          <w:noProof w:val="0"/>
        </w:rPr>
        <w:tab/>
        <w:t>13</w:t>
      </w:r>
    </w:p>
    <w:p w:rsidR="00AE50BA" w:rsidRPr="00237A2C" w:rsidRDefault="00AE50BA">
      <w:pPr>
        <w:pStyle w:val="Innehll1"/>
        <w:rPr>
          <w:i w:val="0"/>
          <w:noProof w:val="0"/>
        </w:rPr>
      </w:pPr>
      <w:r w:rsidRPr="00237A2C">
        <w:rPr>
          <w:noProof w:val="0"/>
        </w:rPr>
        <w:t>Bilaga 1: Rapport 2000/01:7 Anslag till regeringens disposition</w:t>
      </w:r>
      <w:r w:rsidRPr="00237A2C">
        <w:rPr>
          <w:i w:val="0"/>
          <w:noProof w:val="0"/>
        </w:rPr>
        <w:tab/>
        <w:t>15</w:t>
      </w:r>
    </w:p>
    <w:p w:rsidR="00AE50BA" w:rsidRPr="00237A2C" w:rsidRDefault="00AE50BA">
      <w:pPr>
        <w:pStyle w:val="Innehll1"/>
        <w:rPr>
          <w:i w:val="0"/>
          <w:noProof w:val="0"/>
        </w:rPr>
      </w:pPr>
      <w:r w:rsidRPr="00237A2C">
        <w:rPr>
          <w:i w:val="0"/>
          <w:noProof w:val="0"/>
        </w:rPr>
        <w:t>Förord</w:t>
      </w:r>
      <w:r w:rsidRPr="00237A2C">
        <w:rPr>
          <w:i w:val="0"/>
          <w:noProof w:val="0"/>
        </w:rPr>
        <w:tab/>
        <w:t>17</w:t>
      </w:r>
    </w:p>
    <w:p w:rsidR="00AE50BA" w:rsidRPr="00237A2C" w:rsidRDefault="00AE50BA">
      <w:pPr>
        <w:pStyle w:val="Innehll1"/>
        <w:rPr>
          <w:i w:val="0"/>
          <w:noProof w:val="0"/>
        </w:rPr>
      </w:pPr>
      <w:r w:rsidRPr="00237A2C">
        <w:rPr>
          <w:i w:val="0"/>
          <w:noProof w:val="0"/>
        </w:rPr>
        <w:t>Sammanfattning</w:t>
      </w:r>
      <w:r w:rsidRPr="00237A2C">
        <w:rPr>
          <w:i w:val="0"/>
          <w:noProof w:val="0"/>
        </w:rPr>
        <w:tab/>
        <w:t>18</w:t>
      </w:r>
    </w:p>
    <w:p w:rsidR="00AE50BA" w:rsidRPr="00237A2C" w:rsidRDefault="00AE50BA">
      <w:pPr>
        <w:pStyle w:val="Innehll2"/>
        <w:rPr>
          <w:i w:val="0"/>
          <w:noProof w:val="0"/>
        </w:rPr>
      </w:pPr>
      <w:r w:rsidRPr="00237A2C">
        <w:rPr>
          <w:i w:val="0"/>
          <w:noProof w:val="0"/>
        </w:rPr>
        <w:t>Inledning</w:t>
      </w:r>
      <w:r w:rsidRPr="00237A2C">
        <w:rPr>
          <w:i w:val="0"/>
          <w:noProof w:val="0"/>
        </w:rPr>
        <w:tab/>
        <w:t>18</w:t>
      </w:r>
    </w:p>
    <w:p w:rsidR="00AE50BA" w:rsidRPr="00237A2C" w:rsidRDefault="00AE50BA">
      <w:pPr>
        <w:pStyle w:val="Innehll2"/>
        <w:rPr>
          <w:i w:val="0"/>
          <w:noProof w:val="0"/>
        </w:rPr>
      </w:pPr>
      <w:r w:rsidRPr="00237A2C">
        <w:rPr>
          <w:i w:val="0"/>
          <w:noProof w:val="0"/>
        </w:rPr>
        <w:t>Revisorernas slutsatser och förslag</w:t>
      </w:r>
      <w:r w:rsidRPr="00237A2C">
        <w:rPr>
          <w:i w:val="0"/>
          <w:noProof w:val="0"/>
        </w:rPr>
        <w:tab/>
        <w:t>19</w:t>
      </w:r>
    </w:p>
    <w:p w:rsidR="00AE50BA" w:rsidRPr="00237A2C" w:rsidRDefault="00AE50BA">
      <w:pPr>
        <w:pStyle w:val="Innehll1"/>
        <w:rPr>
          <w:i w:val="0"/>
          <w:noProof w:val="0"/>
        </w:rPr>
      </w:pPr>
      <w:r w:rsidRPr="00237A2C">
        <w:rPr>
          <w:i w:val="0"/>
          <w:noProof w:val="0"/>
        </w:rPr>
        <w:t>1 Bakgrund och uppläggning</w:t>
      </w:r>
      <w:r w:rsidRPr="00237A2C">
        <w:rPr>
          <w:i w:val="0"/>
          <w:noProof w:val="0"/>
        </w:rPr>
        <w:tab/>
        <w:t>21</w:t>
      </w:r>
    </w:p>
    <w:p w:rsidR="00AE50BA" w:rsidRPr="00237A2C" w:rsidRDefault="00AE50BA">
      <w:pPr>
        <w:pStyle w:val="Innehll1"/>
        <w:rPr>
          <w:i w:val="0"/>
          <w:noProof w:val="0"/>
        </w:rPr>
      </w:pPr>
      <w:r w:rsidRPr="00237A2C">
        <w:rPr>
          <w:i w:val="0"/>
          <w:noProof w:val="0"/>
        </w:rPr>
        <w:t>2 Ansvarsfördelningen på budgetområdet</w:t>
      </w:r>
      <w:r w:rsidRPr="00237A2C">
        <w:rPr>
          <w:i w:val="0"/>
          <w:noProof w:val="0"/>
        </w:rPr>
        <w:tab/>
        <w:t>22</w:t>
      </w:r>
    </w:p>
    <w:p w:rsidR="00AE50BA" w:rsidRPr="00237A2C" w:rsidRDefault="00AE50BA">
      <w:pPr>
        <w:pStyle w:val="Innehll3"/>
        <w:rPr>
          <w:i w:val="0"/>
          <w:noProof w:val="0"/>
        </w:rPr>
      </w:pPr>
      <w:r w:rsidRPr="00237A2C">
        <w:rPr>
          <w:i w:val="0"/>
          <w:noProof w:val="0"/>
        </w:rPr>
        <w:t>2.1 Finansmakten</w:t>
      </w:r>
      <w:r w:rsidRPr="00237A2C">
        <w:rPr>
          <w:i w:val="0"/>
          <w:noProof w:val="0"/>
        </w:rPr>
        <w:tab/>
        <w:t>22</w:t>
      </w:r>
    </w:p>
    <w:p w:rsidR="00AE50BA" w:rsidRPr="00237A2C" w:rsidRDefault="00AE50BA">
      <w:pPr>
        <w:pStyle w:val="Innehll3"/>
        <w:rPr>
          <w:i w:val="0"/>
          <w:noProof w:val="0"/>
        </w:rPr>
      </w:pPr>
      <w:r w:rsidRPr="00237A2C">
        <w:rPr>
          <w:i w:val="0"/>
          <w:noProof w:val="0"/>
        </w:rPr>
        <w:t>2.2  Budgetregleringen</w:t>
      </w:r>
      <w:r w:rsidRPr="00237A2C">
        <w:rPr>
          <w:i w:val="0"/>
          <w:noProof w:val="0"/>
        </w:rPr>
        <w:tab/>
        <w:t>22</w:t>
      </w:r>
    </w:p>
    <w:p w:rsidR="00AE50BA" w:rsidRPr="00237A2C" w:rsidRDefault="00AE50BA">
      <w:pPr>
        <w:pStyle w:val="Innehll3"/>
        <w:rPr>
          <w:i w:val="0"/>
          <w:noProof w:val="0"/>
        </w:rPr>
      </w:pPr>
      <w:r w:rsidRPr="00237A2C">
        <w:rPr>
          <w:i w:val="0"/>
          <w:noProof w:val="0"/>
        </w:rPr>
        <w:t>2.3 Ny budgetlag fr.o.m. 1997</w:t>
      </w:r>
      <w:r w:rsidRPr="00237A2C">
        <w:rPr>
          <w:i w:val="0"/>
          <w:noProof w:val="0"/>
        </w:rPr>
        <w:tab/>
        <w:t>23</w:t>
      </w:r>
    </w:p>
    <w:p w:rsidR="00AE50BA" w:rsidRPr="00237A2C" w:rsidRDefault="00AE50BA">
      <w:pPr>
        <w:pStyle w:val="Innehll3"/>
        <w:rPr>
          <w:i w:val="0"/>
          <w:noProof w:val="0"/>
        </w:rPr>
      </w:pPr>
      <w:r w:rsidRPr="00237A2C">
        <w:rPr>
          <w:i w:val="0"/>
          <w:noProof w:val="0"/>
        </w:rPr>
        <w:t>2.4 Måste regeringen genomföra riksdagens beslut om utgifter?</w:t>
      </w:r>
      <w:r w:rsidRPr="00237A2C">
        <w:rPr>
          <w:i w:val="0"/>
          <w:noProof w:val="0"/>
        </w:rPr>
        <w:tab/>
        <w:t>23</w:t>
      </w:r>
    </w:p>
    <w:p w:rsidR="00AE50BA" w:rsidRPr="00237A2C" w:rsidRDefault="00AE50BA">
      <w:pPr>
        <w:pStyle w:val="Innehll3"/>
        <w:rPr>
          <w:i w:val="0"/>
          <w:noProof w:val="0"/>
        </w:rPr>
      </w:pPr>
      <w:r w:rsidRPr="00237A2C">
        <w:rPr>
          <w:i w:val="0"/>
          <w:noProof w:val="0"/>
        </w:rPr>
        <w:t>2.5 Riksdagens beslut om anslag och anslagsvillkor</w:t>
      </w:r>
      <w:r w:rsidRPr="00237A2C">
        <w:rPr>
          <w:i w:val="0"/>
          <w:noProof w:val="0"/>
        </w:rPr>
        <w:tab/>
        <w:t>23</w:t>
      </w:r>
    </w:p>
    <w:p w:rsidR="00AE50BA" w:rsidRPr="00237A2C" w:rsidRDefault="00AE50BA">
      <w:pPr>
        <w:pStyle w:val="Innehll3"/>
        <w:rPr>
          <w:i w:val="0"/>
          <w:noProof w:val="0"/>
        </w:rPr>
      </w:pPr>
      <w:r w:rsidRPr="00237A2C">
        <w:rPr>
          <w:i w:val="0"/>
          <w:noProof w:val="0"/>
        </w:rPr>
        <w:t>2.6 Dispositionsrätt till anslag</w:t>
      </w:r>
      <w:r w:rsidRPr="00237A2C">
        <w:rPr>
          <w:i w:val="0"/>
          <w:noProof w:val="0"/>
        </w:rPr>
        <w:tab/>
        <w:t>24</w:t>
      </w:r>
    </w:p>
    <w:p w:rsidR="00AE50BA" w:rsidRPr="00237A2C" w:rsidRDefault="00AE50BA">
      <w:pPr>
        <w:pStyle w:val="Innehll3"/>
        <w:rPr>
          <w:i w:val="0"/>
          <w:noProof w:val="0"/>
        </w:rPr>
      </w:pPr>
      <w:r w:rsidRPr="00237A2C">
        <w:rPr>
          <w:i w:val="0"/>
          <w:noProof w:val="0"/>
        </w:rPr>
        <w:t>2.7 Anslag som disponeras av regeringen eller Regeringskansliet</w:t>
      </w:r>
      <w:r w:rsidRPr="00237A2C">
        <w:rPr>
          <w:i w:val="0"/>
          <w:noProof w:val="0"/>
        </w:rPr>
        <w:tab/>
        <w:t>25</w:t>
      </w:r>
    </w:p>
    <w:p w:rsidR="00AE50BA" w:rsidRPr="00237A2C" w:rsidRDefault="00AE50BA">
      <w:pPr>
        <w:pStyle w:val="Innehll1"/>
        <w:rPr>
          <w:i w:val="0"/>
          <w:noProof w:val="0"/>
        </w:rPr>
      </w:pPr>
      <w:r w:rsidRPr="00237A2C">
        <w:rPr>
          <w:i w:val="0"/>
          <w:noProof w:val="0"/>
        </w:rPr>
        <w:t>3 Allmänt om anslagen till regeringens och Regeringskansliets disposition</w:t>
      </w:r>
      <w:r w:rsidRPr="00237A2C">
        <w:rPr>
          <w:i w:val="0"/>
          <w:noProof w:val="0"/>
        </w:rPr>
        <w:tab/>
        <w:t>26</w:t>
      </w:r>
    </w:p>
    <w:p w:rsidR="00AE50BA" w:rsidRPr="00237A2C" w:rsidRDefault="00AE50BA">
      <w:pPr>
        <w:pStyle w:val="Innehll3"/>
        <w:rPr>
          <w:i w:val="0"/>
          <w:noProof w:val="0"/>
        </w:rPr>
      </w:pPr>
      <w:r w:rsidRPr="00237A2C">
        <w:rPr>
          <w:i w:val="0"/>
          <w:noProof w:val="0"/>
        </w:rPr>
        <w:t>3.1 Inledning</w:t>
      </w:r>
      <w:r w:rsidRPr="00237A2C">
        <w:rPr>
          <w:i w:val="0"/>
          <w:noProof w:val="0"/>
        </w:rPr>
        <w:tab/>
        <w:t>26</w:t>
      </w:r>
    </w:p>
    <w:p w:rsidR="00AE50BA" w:rsidRPr="00237A2C" w:rsidRDefault="00AE50BA">
      <w:pPr>
        <w:pStyle w:val="Innehll3"/>
        <w:rPr>
          <w:i w:val="0"/>
          <w:noProof w:val="0"/>
        </w:rPr>
      </w:pPr>
      <w:r w:rsidRPr="00237A2C">
        <w:rPr>
          <w:i w:val="0"/>
          <w:noProof w:val="0"/>
        </w:rPr>
        <w:t>3.2 Från riksdagsbeslut till anslagsredovisning</w:t>
      </w:r>
      <w:r w:rsidRPr="00237A2C">
        <w:rPr>
          <w:i w:val="0"/>
          <w:noProof w:val="0"/>
        </w:rPr>
        <w:tab/>
        <w:t>27</w:t>
      </w:r>
    </w:p>
    <w:p w:rsidR="00AE50BA" w:rsidRPr="00237A2C" w:rsidRDefault="00AE50BA">
      <w:pPr>
        <w:pStyle w:val="Innehll3"/>
        <w:rPr>
          <w:i w:val="0"/>
          <w:noProof w:val="0"/>
        </w:rPr>
      </w:pPr>
      <w:r w:rsidRPr="00237A2C">
        <w:rPr>
          <w:i w:val="0"/>
          <w:noProof w:val="0"/>
        </w:rPr>
        <w:t>3.3 Regeringskansliets anslagsredovisning</w:t>
      </w:r>
      <w:r w:rsidRPr="00237A2C">
        <w:rPr>
          <w:i w:val="0"/>
          <w:noProof w:val="0"/>
        </w:rPr>
        <w:tab/>
        <w:t>27</w:t>
      </w:r>
    </w:p>
    <w:p w:rsidR="00AE50BA" w:rsidRPr="00237A2C" w:rsidRDefault="00AE50BA">
      <w:pPr>
        <w:pStyle w:val="Innehll3"/>
        <w:rPr>
          <w:i w:val="0"/>
          <w:noProof w:val="0"/>
        </w:rPr>
      </w:pPr>
      <w:r w:rsidRPr="00237A2C">
        <w:rPr>
          <w:i w:val="0"/>
          <w:noProof w:val="0"/>
        </w:rPr>
        <w:t>3.4 Val av anslag och av undersökningsperiod</w:t>
      </w:r>
      <w:r w:rsidRPr="00237A2C">
        <w:rPr>
          <w:i w:val="0"/>
          <w:noProof w:val="0"/>
        </w:rPr>
        <w:tab/>
        <w:t>28</w:t>
      </w:r>
    </w:p>
    <w:p w:rsidR="00AE50BA" w:rsidRPr="00237A2C" w:rsidRDefault="00AE50BA">
      <w:pPr>
        <w:pStyle w:val="Innehll1"/>
        <w:rPr>
          <w:i w:val="0"/>
          <w:noProof w:val="0"/>
        </w:rPr>
      </w:pPr>
      <w:r w:rsidRPr="00237A2C">
        <w:rPr>
          <w:i w:val="0"/>
          <w:noProof w:val="0"/>
        </w:rPr>
        <w:t>4 De undersökta anslagens hantering i budgetprocessen</w:t>
      </w:r>
      <w:r w:rsidRPr="00237A2C">
        <w:rPr>
          <w:i w:val="0"/>
          <w:noProof w:val="0"/>
        </w:rPr>
        <w:tab/>
        <w:t>30</w:t>
      </w:r>
    </w:p>
    <w:p w:rsidR="00AE50BA" w:rsidRPr="00237A2C" w:rsidRDefault="00AE50BA">
      <w:pPr>
        <w:pStyle w:val="Innehll3"/>
        <w:rPr>
          <w:i w:val="0"/>
          <w:noProof w:val="0"/>
        </w:rPr>
      </w:pPr>
      <w:r w:rsidRPr="00237A2C">
        <w:rPr>
          <w:i w:val="0"/>
          <w:noProof w:val="0"/>
        </w:rPr>
        <w:t>4.1 Inledning</w:t>
      </w:r>
      <w:r w:rsidRPr="00237A2C">
        <w:rPr>
          <w:i w:val="0"/>
          <w:noProof w:val="0"/>
        </w:rPr>
        <w:tab/>
        <w:t>30</w:t>
      </w:r>
    </w:p>
    <w:p w:rsidR="00AE50BA" w:rsidRPr="00237A2C" w:rsidRDefault="00AE50BA">
      <w:pPr>
        <w:pStyle w:val="Innehll3"/>
        <w:rPr>
          <w:i w:val="0"/>
          <w:noProof w:val="0"/>
        </w:rPr>
      </w:pPr>
      <w:r w:rsidRPr="00237A2C">
        <w:rPr>
          <w:i w:val="0"/>
          <w:noProof w:val="0"/>
        </w:rPr>
        <w:t>4.2 Bakgrund, motiv och mål</w:t>
      </w:r>
      <w:r w:rsidRPr="00237A2C">
        <w:rPr>
          <w:i w:val="0"/>
          <w:noProof w:val="0"/>
        </w:rPr>
        <w:tab/>
        <w:t>30</w:t>
      </w:r>
    </w:p>
    <w:p w:rsidR="00AE50BA" w:rsidRPr="00237A2C" w:rsidRDefault="00AE50BA">
      <w:pPr>
        <w:pStyle w:val="Innehll3"/>
        <w:rPr>
          <w:i w:val="0"/>
          <w:noProof w:val="0"/>
        </w:rPr>
      </w:pPr>
      <w:r w:rsidRPr="00237A2C">
        <w:rPr>
          <w:i w:val="0"/>
          <w:noProof w:val="0"/>
        </w:rPr>
        <w:t>4.3 Regeringens hantering av de studerade anslagen</w:t>
      </w:r>
      <w:r w:rsidRPr="00237A2C">
        <w:rPr>
          <w:i w:val="0"/>
          <w:noProof w:val="0"/>
        </w:rPr>
        <w:tab/>
        <w:t>31</w:t>
      </w:r>
    </w:p>
    <w:p w:rsidR="00AE50BA" w:rsidRPr="00237A2C" w:rsidRDefault="00AE50BA">
      <w:pPr>
        <w:pStyle w:val="Innehll3"/>
        <w:rPr>
          <w:i w:val="0"/>
          <w:noProof w:val="0"/>
        </w:rPr>
      </w:pPr>
      <w:r w:rsidRPr="00237A2C">
        <w:rPr>
          <w:i w:val="0"/>
          <w:noProof w:val="0"/>
        </w:rPr>
        <w:t>4. 4 Hur fungerar återrapporteringen till riksdagen?</w:t>
      </w:r>
      <w:r w:rsidRPr="00237A2C">
        <w:rPr>
          <w:i w:val="0"/>
          <w:noProof w:val="0"/>
        </w:rPr>
        <w:tab/>
        <w:t>33</w:t>
      </w:r>
    </w:p>
    <w:p w:rsidR="00AE50BA" w:rsidRPr="00237A2C" w:rsidRDefault="00AE50BA">
      <w:pPr>
        <w:pStyle w:val="Innehll1"/>
        <w:rPr>
          <w:i w:val="0"/>
          <w:noProof w:val="0"/>
        </w:rPr>
      </w:pPr>
      <w:r w:rsidRPr="00237A2C">
        <w:rPr>
          <w:i w:val="0"/>
          <w:noProof w:val="0"/>
        </w:rPr>
        <w:t>5 Erfarenheter och resultat från några andra studier</w:t>
      </w:r>
      <w:r w:rsidRPr="00237A2C">
        <w:rPr>
          <w:i w:val="0"/>
          <w:noProof w:val="0"/>
        </w:rPr>
        <w:tab/>
        <w:t>34</w:t>
      </w:r>
    </w:p>
    <w:p w:rsidR="00AE50BA" w:rsidRPr="00237A2C" w:rsidRDefault="00AE50BA">
      <w:pPr>
        <w:pStyle w:val="Innehll3"/>
        <w:rPr>
          <w:i w:val="0"/>
          <w:noProof w:val="0"/>
        </w:rPr>
      </w:pPr>
      <w:r w:rsidRPr="00237A2C">
        <w:rPr>
          <w:i w:val="0"/>
          <w:noProof w:val="0"/>
        </w:rPr>
        <w:t>5.1 Konstitutionsutskottets granskningar våren 1997 och hösten 2000</w:t>
      </w:r>
      <w:r w:rsidRPr="00237A2C">
        <w:rPr>
          <w:i w:val="0"/>
          <w:noProof w:val="0"/>
        </w:rPr>
        <w:tab/>
        <w:t>35</w:t>
      </w:r>
    </w:p>
    <w:p w:rsidR="00AE50BA" w:rsidRPr="00237A2C" w:rsidRDefault="00AE50BA">
      <w:pPr>
        <w:pStyle w:val="Innehll3"/>
        <w:rPr>
          <w:i w:val="0"/>
          <w:noProof w:val="0"/>
        </w:rPr>
      </w:pPr>
      <w:r w:rsidRPr="00237A2C">
        <w:rPr>
          <w:i w:val="0"/>
          <w:noProof w:val="0"/>
        </w:rPr>
        <w:t>5.2 Riksrevisionsverkets årliga rapport till regeringen 1999 och 2000</w:t>
      </w:r>
      <w:r w:rsidRPr="00237A2C">
        <w:rPr>
          <w:i w:val="0"/>
          <w:noProof w:val="0"/>
        </w:rPr>
        <w:tab/>
        <w:t>35</w:t>
      </w:r>
    </w:p>
    <w:p w:rsidR="00AE50BA" w:rsidRPr="00237A2C" w:rsidRDefault="00AE50BA">
      <w:pPr>
        <w:pStyle w:val="Innehll3"/>
        <w:rPr>
          <w:i w:val="0"/>
          <w:noProof w:val="0"/>
        </w:rPr>
      </w:pPr>
      <w:r w:rsidRPr="00237A2C">
        <w:rPr>
          <w:i w:val="0"/>
          <w:noProof w:val="0"/>
        </w:rPr>
        <w:t>5.3 SNS ekonomiråds rapport för år 2000</w:t>
      </w:r>
      <w:r w:rsidRPr="00237A2C">
        <w:rPr>
          <w:i w:val="0"/>
          <w:noProof w:val="0"/>
        </w:rPr>
        <w:tab/>
        <w:t>36</w:t>
      </w:r>
    </w:p>
    <w:p w:rsidR="00AE50BA" w:rsidRPr="00237A2C" w:rsidRDefault="00AE50BA">
      <w:pPr>
        <w:pStyle w:val="Innehll3"/>
        <w:rPr>
          <w:i w:val="0"/>
          <w:noProof w:val="0"/>
        </w:rPr>
      </w:pPr>
      <w:r w:rsidRPr="00237A2C">
        <w:rPr>
          <w:i w:val="0"/>
          <w:noProof w:val="0"/>
        </w:rPr>
        <w:t>5.4 Statskontorets rapport om Kunskapslyftet som modell och metod</w:t>
      </w:r>
      <w:r w:rsidRPr="00237A2C">
        <w:rPr>
          <w:i w:val="0"/>
          <w:noProof w:val="0"/>
        </w:rPr>
        <w:tab/>
        <w:t>37</w:t>
      </w:r>
    </w:p>
    <w:p w:rsidR="00AE50BA" w:rsidRPr="00237A2C" w:rsidRDefault="00AE50BA">
      <w:pPr>
        <w:pStyle w:val="Innehll3"/>
        <w:rPr>
          <w:i w:val="0"/>
          <w:noProof w:val="0"/>
        </w:rPr>
      </w:pPr>
      <w:r w:rsidRPr="00237A2C">
        <w:rPr>
          <w:i w:val="0"/>
          <w:noProof w:val="0"/>
        </w:rPr>
        <w:t>5.5 De lokala investeringsprogrammen</w:t>
      </w:r>
      <w:r w:rsidRPr="00237A2C">
        <w:rPr>
          <w:i w:val="0"/>
          <w:noProof w:val="0"/>
        </w:rPr>
        <w:tab/>
        <w:t>37</w:t>
      </w:r>
    </w:p>
    <w:p w:rsidR="00AE50BA" w:rsidRPr="00237A2C" w:rsidRDefault="00AE50BA">
      <w:pPr>
        <w:pStyle w:val="Innehll3"/>
        <w:rPr>
          <w:i w:val="0"/>
          <w:noProof w:val="0"/>
        </w:rPr>
      </w:pPr>
      <w:r w:rsidRPr="00237A2C">
        <w:rPr>
          <w:i w:val="0"/>
          <w:noProof w:val="0"/>
        </w:rPr>
        <w:t>5.6 Kretsloppsmiljarden</w:t>
      </w:r>
      <w:r w:rsidRPr="00237A2C">
        <w:rPr>
          <w:i w:val="0"/>
          <w:noProof w:val="0"/>
        </w:rPr>
        <w:tab/>
        <w:t>39</w:t>
      </w:r>
    </w:p>
    <w:p w:rsidR="00AE50BA" w:rsidRPr="00237A2C" w:rsidRDefault="00AE50BA">
      <w:pPr>
        <w:pStyle w:val="Innehll3"/>
        <w:rPr>
          <w:i w:val="0"/>
          <w:noProof w:val="0"/>
        </w:rPr>
      </w:pPr>
      <w:r w:rsidRPr="00237A2C">
        <w:rPr>
          <w:i w:val="0"/>
          <w:noProof w:val="0"/>
        </w:rPr>
        <w:t>5.7 Östersjömiljarderna</w:t>
      </w:r>
      <w:r w:rsidRPr="00237A2C">
        <w:rPr>
          <w:i w:val="0"/>
          <w:noProof w:val="0"/>
        </w:rPr>
        <w:tab/>
        <w:t>40</w:t>
      </w:r>
    </w:p>
    <w:p w:rsidR="00AE50BA" w:rsidRPr="00237A2C" w:rsidRDefault="00AE50BA">
      <w:pPr>
        <w:pStyle w:val="Innehll3"/>
        <w:rPr>
          <w:i w:val="0"/>
          <w:noProof w:val="0"/>
        </w:rPr>
      </w:pPr>
      <w:r w:rsidRPr="00237A2C">
        <w:rPr>
          <w:i w:val="0"/>
          <w:noProof w:val="0"/>
        </w:rPr>
        <w:t>5.8 Kunskapslyftet</w:t>
      </w:r>
      <w:r w:rsidRPr="00237A2C">
        <w:rPr>
          <w:i w:val="0"/>
          <w:noProof w:val="0"/>
        </w:rPr>
        <w:tab/>
        <w:t>40</w:t>
      </w:r>
    </w:p>
    <w:p w:rsidR="00AE50BA" w:rsidRPr="00237A2C" w:rsidRDefault="00AE50BA">
      <w:pPr>
        <w:pStyle w:val="Innehll1"/>
        <w:rPr>
          <w:i w:val="0"/>
          <w:noProof w:val="0"/>
        </w:rPr>
      </w:pPr>
      <w:r w:rsidRPr="00237A2C">
        <w:rPr>
          <w:i w:val="0"/>
          <w:noProof w:val="0"/>
        </w:rPr>
        <w:t>6 Den svenska förvaltningsmodellen</w:t>
      </w:r>
      <w:r w:rsidRPr="00237A2C">
        <w:rPr>
          <w:i w:val="0"/>
          <w:noProof w:val="0"/>
        </w:rPr>
        <w:tab/>
        <w:t>42</w:t>
      </w:r>
    </w:p>
    <w:p w:rsidR="00AE50BA" w:rsidRPr="00237A2C" w:rsidRDefault="00AE50BA">
      <w:pPr>
        <w:pStyle w:val="Innehll3"/>
        <w:rPr>
          <w:i w:val="0"/>
          <w:noProof w:val="0"/>
        </w:rPr>
      </w:pPr>
      <w:r w:rsidRPr="00237A2C">
        <w:rPr>
          <w:i w:val="0"/>
          <w:noProof w:val="0"/>
        </w:rPr>
        <w:t>6.1 Inledning</w:t>
      </w:r>
      <w:r w:rsidRPr="00237A2C">
        <w:rPr>
          <w:i w:val="0"/>
          <w:noProof w:val="0"/>
        </w:rPr>
        <w:tab/>
      </w:r>
      <w:bookmarkStart w:id="381" w:name="_Hlt517163739"/>
      <w:r w:rsidRPr="00237A2C">
        <w:rPr>
          <w:i w:val="0"/>
          <w:noProof w:val="0"/>
        </w:rPr>
        <w:t>42</w:t>
      </w:r>
      <w:bookmarkEnd w:id="381"/>
    </w:p>
    <w:p w:rsidR="00AE50BA" w:rsidRPr="00237A2C" w:rsidRDefault="00AE50BA">
      <w:pPr>
        <w:pStyle w:val="Innehll3"/>
        <w:rPr>
          <w:i w:val="0"/>
          <w:noProof w:val="0"/>
        </w:rPr>
      </w:pPr>
      <w:r w:rsidRPr="00237A2C">
        <w:rPr>
          <w:i w:val="0"/>
          <w:noProof w:val="0"/>
        </w:rPr>
        <w:t>6.2 Debatten om den svenska förvaltningsmodellen</w:t>
      </w:r>
      <w:r w:rsidRPr="00237A2C">
        <w:rPr>
          <w:i w:val="0"/>
          <w:noProof w:val="0"/>
        </w:rPr>
        <w:tab/>
        <w:t>43</w:t>
      </w:r>
    </w:p>
    <w:p w:rsidR="00AE50BA" w:rsidRPr="00237A2C" w:rsidRDefault="00AE50BA">
      <w:pPr>
        <w:pStyle w:val="Innehll3"/>
        <w:rPr>
          <w:i w:val="0"/>
          <w:noProof w:val="0"/>
        </w:rPr>
      </w:pPr>
      <w:r w:rsidRPr="00237A2C">
        <w:rPr>
          <w:i w:val="0"/>
          <w:noProof w:val="0"/>
        </w:rPr>
        <w:t xml:space="preserve">6.3 Hur fungerar den svenska modellen - enligt forskningen </w:t>
      </w:r>
      <w:r w:rsidRPr="00237A2C">
        <w:rPr>
          <w:i w:val="0"/>
          <w:noProof w:val="0"/>
        </w:rPr>
        <w:sym w:font="Symbol" w:char="F02D"/>
      </w:r>
      <w:r w:rsidRPr="00237A2C">
        <w:rPr>
          <w:i w:val="0"/>
          <w:noProof w:val="0"/>
        </w:rPr>
        <w:t xml:space="preserve"> i praktiken?</w:t>
      </w:r>
      <w:r w:rsidRPr="00237A2C">
        <w:rPr>
          <w:i w:val="0"/>
          <w:noProof w:val="0"/>
        </w:rPr>
        <w:tab/>
        <w:t>44</w:t>
      </w:r>
    </w:p>
    <w:p w:rsidR="00AE50BA" w:rsidRPr="00237A2C" w:rsidRDefault="00AE50BA">
      <w:pPr>
        <w:pStyle w:val="Innehll3"/>
        <w:rPr>
          <w:i w:val="0"/>
          <w:noProof w:val="0"/>
        </w:rPr>
      </w:pPr>
      <w:r w:rsidRPr="00237A2C">
        <w:rPr>
          <w:i w:val="0"/>
          <w:noProof w:val="0"/>
        </w:rPr>
        <w:t>6.4 Den svenska förvaltningsmodellen i ett internationellt perspektiv</w:t>
      </w:r>
      <w:r w:rsidRPr="00237A2C">
        <w:rPr>
          <w:i w:val="0"/>
          <w:noProof w:val="0"/>
        </w:rPr>
        <w:tab/>
        <w:t>45</w:t>
      </w:r>
    </w:p>
    <w:p w:rsidR="00AE50BA" w:rsidRPr="00237A2C" w:rsidRDefault="00AE50BA">
      <w:pPr>
        <w:pStyle w:val="Innehll3"/>
        <w:rPr>
          <w:i w:val="0"/>
          <w:noProof w:val="0"/>
        </w:rPr>
      </w:pPr>
      <w:r w:rsidRPr="00237A2C">
        <w:rPr>
          <w:i w:val="0"/>
          <w:noProof w:val="0"/>
        </w:rPr>
        <w:t>6.5 Den svenska förvaltningsmodellen – en sammanfattande diskussion</w:t>
      </w:r>
      <w:r w:rsidRPr="00237A2C">
        <w:rPr>
          <w:i w:val="0"/>
          <w:noProof w:val="0"/>
        </w:rPr>
        <w:tab/>
        <w:t>47</w:t>
      </w:r>
    </w:p>
    <w:p w:rsidR="00AE50BA" w:rsidRPr="00237A2C" w:rsidRDefault="00AE50BA">
      <w:pPr>
        <w:pStyle w:val="Innehll1"/>
        <w:rPr>
          <w:i w:val="0"/>
          <w:noProof w:val="0"/>
        </w:rPr>
      </w:pPr>
      <w:r w:rsidRPr="00237A2C">
        <w:rPr>
          <w:i w:val="0"/>
          <w:noProof w:val="0"/>
        </w:rPr>
        <w:t>7 Överväganden och förslag</w:t>
      </w:r>
      <w:r w:rsidRPr="00237A2C">
        <w:rPr>
          <w:i w:val="0"/>
          <w:noProof w:val="0"/>
        </w:rPr>
        <w:tab/>
        <w:t>48</w:t>
      </w:r>
    </w:p>
    <w:p w:rsidR="00AE50BA" w:rsidRPr="00237A2C" w:rsidRDefault="00AE50BA">
      <w:pPr>
        <w:pStyle w:val="Innehll3"/>
        <w:rPr>
          <w:i w:val="0"/>
          <w:noProof w:val="0"/>
        </w:rPr>
      </w:pPr>
      <w:r w:rsidRPr="00237A2C">
        <w:rPr>
          <w:i w:val="0"/>
          <w:noProof w:val="0"/>
        </w:rPr>
        <w:t>7.1 Inledning och utgångspunkter</w:t>
      </w:r>
      <w:r w:rsidRPr="00237A2C">
        <w:rPr>
          <w:i w:val="0"/>
          <w:noProof w:val="0"/>
        </w:rPr>
        <w:tab/>
        <w:t>48</w:t>
      </w:r>
    </w:p>
    <w:p w:rsidR="00AE50BA" w:rsidRPr="00237A2C" w:rsidRDefault="00AE50BA">
      <w:pPr>
        <w:pStyle w:val="Innehll3"/>
        <w:rPr>
          <w:i w:val="0"/>
          <w:noProof w:val="0"/>
        </w:rPr>
      </w:pPr>
      <w:r w:rsidRPr="00237A2C">
        <w:rPr>
          <w:i w:val="0"/>
          <w:noProof w:val="0"/>
        </w:rPr>
        <w:t>7.2 Regeringen som bidragsfördelare och den svenska förvaltningsmodellen</w:t>
      </w:r>
      <w:r w:rsidRPr="00237A2C">
        <w:rPr>
          <w:i w:val="0"/>
          <w:noProof w:val="0"/>
        </w:rPr>
        <w:tab/>
        <w:t>49</w:t>
      </w:r>
    </w:p>
    <w:p w:rsidR="00AE50BA" w:rsidRPr="00237A2C" w:rsidRDefault="00AE50BA">
      <w:pPr>
        <w:pStyle w:val="Innehll3"/>
        <w:rPr>
          <w:i w:val="0"/>
          <w:noProof w:val="0"/>
        </w:rPr>
      </w:pPr>
      <w:r w:rsidRPr="00237A2C">
        <w:rPr>
          <w:i w:val="0"/>
          <w:noProof w:val="0"/>
        </w:rPr>
        <w:t>7.3 Principiella synpunkter  på statliga projektbidrag</w:t>
      </w:r>
      <w:r w:rsidRPr="00237A2C">
        <w:rPr>
          <w:i w:val="0"/>
          <w:noProof w:val="0"/>
        </w:rPr>
        <w:tab/>
        <w:t>50</w:t>
      </w:r>
    </w:p>
    <w:p w:rsidR="00AE50BA" w:rsidRPr="00237A2C" w:rsidRDefault="00AE50BA">
      <w:pPr>
        <w:pStyle w:val="Innehll3"/>
        <w:rPr>
          <w:i w:val="0"/>
          <w:noProof w:val="0"/>
        </w:rPr>
      </w:pPr>
      <w:r w:rsidRPr="00237A2C">
        <w:rPr>
          <w:i w:val="0"/>
          <w:noProof w:val="0"/>
        </w:rPr>
        <w:t>7.4 Principiella synpunkter på regeringen  som bidragsfördelare</w:t>
      </w:r>
      <w:r w:rsidRPr="00237A2C">
        <w:rPr>
          <w:i w:val="0"/>
          <w:noProof w:val="0"/>
        </w:rPr>
        <w:tab/>
        <w:t>51</w:t>
      </w:r>
    </w:p>
    <w:p w:rsidR="00AE50BA" w:rsidRPr="00237A2C" w:rsidRDefault="00AE50BA">
      <w:pPr>
        <w:pStyle w:val="Innehll3"/>
        <w:rPr>
          <w:i w:val="0"/>
          <w:noProof w:val="0"/>
        </w:rPr>
      </w:pPr>
      <w:r w:rsidRPr="00237A2C">
        <w:rPr>
          <w:i w:val="0"/>
          <w:noProof w:val="0"/>
        </w:rPr>
        <w:t>7.5 Riksdagen behöver ett bättre beslutsunderlag och en utökad resultatrapportering</w:t>
      </w:r>
      <w:r w:rsidRPr="00237A2C">
        <w:rPr>
          <w:i w:val="0"/>
          <w:noProof w:val="0"/>
        </w:rPr>
        <w:tab/>
        <w:t>52</w:t>
      </w:r>
    </w:p>
    <w:p w:rsidR="00AE50BA" w:rsidRPr="00237A2C" w:rsidRDefault="00AE50BA">
      <w:pPr>
        <w:pStyle w:val="Innehll3"/>
        <w:rPr>
          <w:i w:val="0"/>
          <w:noProof w:val="0"/>
        </w:rPr>
      </w:pPr>
      <w:r w:rsidRPr="00237A2C">
        <w:rPr>
          <w:i w:val="0"/>
          <w:noProof w:val="0"/>
        </w:rPr>
        <w:t>7.6 Regeringens berednings- och beslutsprocess i samband med bidragshanteringen behöver förbättras</w:t>
      </w:r>
      <w:r w:rsidRPr="00237A2C">
        <w:rPr>
          <w:i w:val="0"/>
          <w:noProof w:val="0"/>
        </w:rPr>
        <w:tab/>
        <w:t>53</w:t>
      </w:r>
    </w:p>
    <w:p w:rsidR="00AE50BA" w:rsidRPr="00237A2C" w:rsidRDefault="00AE50BA">
      <w:pPr>
        <w:pStyle w:val="Innehll3"/>
        <w:rPr>
          <w:i w:val="0"/>
          <w:noProof w:val="0"/>
        </w:rPr>
      </w:pPr>
      <w:r w:rsidRPr="00237A2C">
        <w:rPr>
          <w:i w:val="0"/>
          <w:noProof w:val="0"/>
        </w:rPr>
        <w:t>7.7 Kraven på redovisning och revision behöver skärpas</w:t>
      </w:r>
      <w:r w:rsidRPr="00237A2C">
        <w:rPr>
          <w:i w:val="0"/>
          <w:noProof w:val="0"/>
        </w:rPr>
        <w:tab/>
        <w:t>54</w:t>
      </w:r>
    </w:p>
    <w:p w:rsidR="00AE50BA" w:rsidRPr="00237A2C" w:rsidRDefault="00AE50BA">
      <w:pPr>
        <w:pStyle w:val="Innehll3"/>
        <w:rPr>
          <w:i w:val="0"/>
          <w:noProof w:val="0"/>
        </w:rPr>
      </w:pPr>
      <w:r w:rsidRPr="00237A2C">
        <w:rPr>
          <w:i w:val="0"/>
          <w:noProof w:val="0"/>
        </w:rPr>
        <w:t>7.8 Regeringen behöver göra en samlad översyn av föreskrifter m.m.</w:t>
      </w:r>
      <w:r w:rsidRPr="00237A2C">
        <w:rPr>
          <w:i w:val="0"/>
          <w:noProof w:val="0"/>
        </w:rPr>
        <w:tab/>
        <w:t>55</w:t>
      </w:r>
    </w:p>
    <w:p w:rsidR="00AE50BA" w:rsidRPr="00237A2C" w:rsidRDefault="00AE50BA">
      <w:pPr>
        <w:pStyle w:val="Innehll3"/>
        <w:rPr>
          <w:i w:val="0"/>
          <w:noProof w:val="0"/>
        </w:rPr>
      </w:pPr>
      <w:r w:rsidRPr="00237A2C">
        <w:rPr>
          <w:i w:val="0"/>
          <w:noProof w:val="0"/>
        </w:rPr>
        <w:t>7.9 Sammanfattning av revisorernas slutsatser och förslag</w:t>
      </w:r>
      <w:r w:rsidRPr="00237A2C">
        <w:rPr>
          <w:i w:val="0"/>
          <w:noProof w:val="0"/>
        </w:rPr>
        <w:tab/>
        <w:t>57</w:t>
      </w:r>
    </w:p>
    <w:p w:rsidR="00AE50BA" w:rsidRPr="00237A2C" w:rsidRDefault="00AE50BA">
      <w:pPr>
        <w:pStyle w:val="Innehll1"/>
        <w:rPr>
          <w:i w:val="0"/>
          <w:noProof w:val="0"/>
        </w:rPr>
      </w:pPr>
      <w:r w:rsidRPr="00237A2C">
        <w:rPr>
          <w:i w:val="0"/>
          <w:noProof w:val="0"/>
        </w:rPr>
        <w:t>8 Referenser</w:t>
      </w:r>
      <w:r w:rsidRPr="00237A2C">
        <w:rPr>
          <w:i w:val="0"/>
          <w:noProof w:val="0"/>
        </w:rPr>
        <w:tab/>
        <w:t>58</w:t>
      </w:r>
    </w:p>
    <w:p w:rsidR="00AE50BA" w:rsidRPr="00237A2C" w:rsidRDefault="00AE50BA">
      <w:pPr>
        <w:pStyle w:val="Innehll1"/>
        <w:rPr>
          <w:i w:val="0"/>
          <w:noProof w:val="0"/>
        </w:rPr>
      </w:pPr>
      <w:r w:rsidRPr="00237A2C">
        <w:rPr>
          <w:i w:val="0"/>
          <w:noProof w:val="0"/>
        </w:rPr>
        <w:t>Underbilaga 1</w:t>
      </w:r>
      <w:r w:rsidRPr="00237A2C">
        <w:rPr>
          <w:i w:val="0"/>
          <w:noProof w:val="0"/>
        </w:rPr>
        <w:tab/>
        <w:t>61</w:t>
      </w:r>
    </w:p>
    <w:p w:rsidR="00AE50BA" w:rsidRPr="00237A2C" w:rsidRDefault="00AE50BA">
      <w:pPr>
        <w:pStyle w:val="Innehll1"/>
        <w:rPr>
          <w:i w:val="0"/>
          <w:noProof w:val="0"/>
        </w:rPr>
      </w:pPr>
      <w:r w:rsidRPr="00237A2C">
        <w:rPr>
          <w:i w:val="0"/>
          <w:noProof w:val="0"/>
        </w:rPr>
        <w:t>De undersökta anslagens hantering i bugetprocessen</w:t>
      </w:r>
      <w:r w:rsidRPr="00237A2C">
        <w:rPr>
          <w:i w:val="0"/>
          <w:noProof w:val="0"/>
        </w:rPr>
        <w:tab/>
        <w:t>61</w:t>
      </w:r>
    </w:p>
    <w:p w:rsidR="00AE50BA" w:rsidRPr="00237A2C" w:rsidRDefault="00AE50BA">
      <w:pPr>
        <w:pStyle w:val="Innehll2"/>
        <w:rPr>
          <w:i w:val="0"/>
          <w:noProof w:val="0"/>
        </w:rPr>
      </w:pPr>
      <w:r w:rsidRPr="00237A2C">
        <w:rPr>
          <w:i w:val="0"/>
          <w:noProof w:val="0"/>
        </w:rPr>
        <w:t>1 Inledning</w:t>
      </w:r>
      <w:r w:rsidRPr="00237A2C">
        <w:rPr>
          <w:i w:val="0"/>
          <w:noProof w:val="0"/>
        </w:rPr>
        <w:tab/>
        <w:t>61</w:t>
      </w:r>
    </w:p>
    <w:p w:rsidR="00AE50BA" w:rsidRPr="00237A2C" w:rsidRDefault="00AE50BA">
      <w:pPr>
        <w:pStyle w:val="Innehll2"/>
        <w:rPr>
          <w:i w:val="0"/>
          <w:noProof w:val="0"/>
        </w:rPr>
      </w:pPr>
      <w:r w:rsidRPr="00237A2C">
        <w:rPr>
          <w:i w:val="0"/>
          <w:noProof w:val="0"/>
        </w:rPr>
        <w:t>2 Anslagen</w:t>
      </w:r>
      <w:r w:rsidRPr="00237A2C">
        <w:rPr>
          <w:i w:val="0"/>
          <w:noProof w:val="0"/>
        </w:rPr>
        <w:tab/>
        <w:t>61</w:t>
      </w:r>
    </w:p>
    <w:p w:rsidR="00AE50BA" w:rsidRPr="00237A2C" w:rsidRDefault="00AE50BA">
      <w:pPr>
        <w:pStyle w:val="Innehll3"/>
        <w:rPr>
          <w:i w:val="0"/>
          <w:noProof w:val="0"/>
        </w:rPr>
      </w:pPr>
      <w:r w:rsidRPr="00237A2C">
        <w:rPr>
          <w:i w:val="0"/>
          <w:noProof w:val="0"/>
        </w:rPr>
        <w:t>2.1 Särskilda insatser i kommuner och landsting (Kommunakut m.m.)</w:t>
      </w:r>
      <w:r w:rsidRPr="00237A2C">
        <w:rPr>
          <w:i w:val="0"/>
          <w:noProof w:val="0"/>
        </w:rPr>
        <w:tab/>
        <w:t>61</w:t>
      </w:r>
    </w:p>
    <w:p w:rsidR="00AE50BA" w:rsidRPr="00237A2C" w:rsidRDefault="00AE50BA">
      <w:pPr>
        <w:pStyle w:val="Innehll3"/>
        <w:rPr>
          <w:i w:val="0"/>
          <w:noProof w:val="0"/>
        </w:rPr>
      </w:pPr>
      <w:r w:rsidRPr="00237A2C">
        <w:rPr>
          <w:i w:val="0"/>
          <w:noProof w:val="0"/>
        </w:rPr>
        <w:t>2. 2 Särskilda insatser i utsatta bostadsområden (Blommanpengarna)</w:t>
      </w:r>
      <w:r w:rsidRPr="00237A2C">
        <w:rPr>
          <w:i w:val="0"/>
          <w:noProof w:val="0"/>
        </w:rPr>
        <w:tab/>
        <w:t>65</w:t>
      </w:r>
    </w:p>
    <w:p w:rsidR="00AE50BA" w:rsidRPr="00237A2C" w:rsidRDefault="00AE50BA">
      <w:pPr>
        <w:pStyle w:val="Innehll3"/>
        <w:rPr>
          <w:i w:val="0"/>
          <w:noProof w:val="0"/>
        </w:rPr>
      </w:pPr>
      <w:r w:rsidRPr="00237A2C">
        <w:rPr>
          <w:i w:val="0"/>
          <w:noProof w:val="0"/>
        </w:rPr>
        <w:t>2.3 Samarbete och utveckling i Östersjöregionen m.m. (Östersjömiljarderna)</w:t>
      </w:r>
      <w:r w:rsidRPr="00237A2C">
        <w:rPr>
          <w:i w:val="0"/>
          <w:noProof w:val="0"/>
        </w:rPr>
        <w:tab/>
        <w:t>69</w:t>
      </w:r>
    </w:p>
    <w:p w:rsidR="00AE50BA" w:rsidRPr="00237A2C" w:rsidRDefault="00AE50BA">
      <w:pPr>
        <w:pStyle w:val="Innehll3"/>
        <w:rPr>
          <w:i w:val="0"/>
          <w:noProof w:val="0"/>
        </w:rPr>
      </w:pPr>
      <w:r w:rsidRPr="00237A2C">
        <w:rPr>
          <w:i w:val="0"/>
          <w:noProof w:val="0"/>
        </w:rPr>
        <w:t>2.4 Investeringsbidrag för främjande av omställning i ekologiskt hållbar riktning (Kretsloppsmiljarden)</w:t>
      </w:r>
      <w:r w:rsidRPr="00237A2C">
        <w:rPr>
          <w:i w:val="0"/>
          <w:noProof w:val="0"/>
        </w:rPr>
        <w:tab/>
        <w:t>73</w:t>
      </w:r>
    </w:p>
    <w:p w:rsidR="00AE50BA" w:rsidRPr="00237A2C" w:rsidRDefault="00AE50BA">
      <w:pPr>
        <w:pStyle w:val="Innehll3"/>
        <w:rPr>
          <w:i w:val="0"/>
          <w:noProof w:val="0"/>
        </w:rPr>
      </w:pPr>
      <w:r w:rsidRPr="00237A2C">
        <w:rPr>
          <w:i w:val="0"/>
          <w:noProof w:val="0"/>
        </w:rPr>
        <w:t>2.5 Program för småföretagsutveckling (Småföretagsmiljarden)</w:t>
      </w:r>
      <w:r w:rsidRPr="00237A2C">
        <w:rPr>
          <w:i w:val="0"/>
          <w:noProof w:val="0"/>
        </w:rPr>
        <w:tab/>
        <w:t>76</w:t>
      </w:r>
    </w:p>
    <w:p w:rsidR="00AE50BA" w:rsidRPr="00237A2C" w:rsidRDefault="00AE50BA">
      <w:pPr>
        <w:pStyle w:val="Innehll3"/>
        <w:rPr>
          <w:i w:val="0"/>
          <w:noProof w:val="0"/>
        </w:rPr>
      </w:pPr>
      <w:r w:rsidRPr="00237A2C">
        <w:rPr>
          <w:i w:val="0"/>
          <w:noProof w:val="0"/>
        </w:rPr>
        <w:t>2.6 Särskilda utbildningsinsatser för vuxna (Kunskapslyftet)</w:t>
      </w:r>
      <w:r w:rsidRPr="00237A2C">
        <w:rPr>
          <w:i w:val="0"/>
          <w:noProof w:val="0"/>
        </w:rPr>
        <w:tab/>
        <w:t>78</w:t>
      </w:r>
    </w:p>
    <w:p w:rsidR="00AE50BA" w:rsidRPr="00237A2C" w:rsidRDefault="00AE50BA">
      <w:pPr>
        <w:pStyle w:val="Innehll3"/>
        <w:rPr>
          <w:i w:val="0"/>
          <w:noProof w:val="0"/>
        </w:rPr>
      </w:pPr>
      <w:r w:rsidRPr="00237A2C">
        <w:rPr>
          <w:i w:val="0"/>
          <w:noProof w:val="0"/>
        </w:rPr>
        <w:t>2.7 De lokala investeringsprogrammen</w:t>
      </w:r>
      <w:r w:rsidRPr="00237A2C">
        <w:rPr>
          <w:i w:val="0"/>
          <w:noProof w:val="0"/>
        </w:rPr>
        <w:tab/>
        <w:t>81</w:t>
      </w:r>
    </w:p>
    <w:p w:rsidR="00AE50BA" w:rsidRPr="00237A2C" w:rsidRDefault="00AE50BA">
      <w:pPr>
        <w:pStyle w:val="Innehll3"/>
        <w:rPr>
          <w:i w:val="0"/>
          <w:noProof w:val="0"/>
        </w:rPr>
      </w:pPr>
      <w:r w:rsidRPr="00237A2C">
        <w:rPr>
          <w:i w:val="0"/>
          <w:noProof w:val="0"/>
        </w:rPr>
        <w:t>2.8 Program för IT i skolan (ITiS)</w:t>
      </w:r>
      <w:r w:rsidRPr="00237A2C">
        <w:rPr>
          <w:i w:val="0"/>
          <w:noProof w:val="0"/>
        </w:rPr>
        <w:tab/>
        <w:t>85</w:t>
      </w:r>
    </w:p>
    <w:p w:rsidR="00AE50BA" w:rsidRPr="00237A2C" w:rsidRDefault="00AE50BA">
      <w:pPr>
        <w:pStyle w:val="Innehll3"/>
        <w:rPr>
          <w:i w:val="0"/>
          <w:noProof w:val="0"/>
        </w:rPr>
      </w:pPr>
      <w:r w:rsidRPr="00237A2C">
        <w:rPr>
          <w:i w:val="0"/>
          <w:noProof w:val="0"/>
        </w:rPr>
        <w:t>2.9 Utvecklingsarbete (inom Finansdepartementets ansvarsområde)</w:t>
      </w:r>
      <w:r w:rsidRPr="00237A2C">
        <w:rPr>
          <w:i w:val="0"/>
          <w:noProof w:val="0"/>
        </w:rPr>
        <w:tab/>
        <w:t>87</w:t>
      </w:r>
    </w:p>
    <w:p w:rsidR="00AE50BA" w:rsidRPr="00237A2C" w:rsidRDefault="00AE50BA">
      <w:pPr>
        <w:pStyle w:val="Innehll3"/>
        <w:rPr>
          <w:i w:val="0"/>
          <w:noProof w:val="0"/>
        </w:rPr>
      </w:pPr>
      <w:r w:rsidRPr="00237A2C">
        <w:rPr>
          <w:i w:val="0"/>
          <w:noProof w:val="0"/>
        </w:rPr>
        <w:t>2.10 Kontrollfunktionen i staten</w:t>
      </w:r>
      <w:r w:rsidRPr="00237A2C">
        <w:rPr>
          <w:i w:val="0"/>
          <w:noProof w:val="0"/>
        </w:rPr>
        <w:tab/>
        <w:t>89</w:t>
      </w:r>
    </w:p>
    <w:p w:rsidR="00AE50BA" w:rsidRPr="00237A2C" w:rsidRDefault="00AE50BA">
      <w:pPr>
        <w:pStyle w:val="Innehll1"/>
        <w:rPr>
          <w:i w:val="0"/>
          <w:noProof w:val="0"/>
        </w:rPr>
      </w:pPr>
      <w:r w:rsidRPr="00237A2C">
        <w:rPr>
          <w:i w:val="0"/>
          <w:noProof w:val="0"/>
        </w:rPr>
        <w:t>Underbilaga 2</w:t>
      </w:r>
      <w:r w:rsidRPr="00237A2C">
        <w:rPr>
          <w:i w:val="0"/>
          <w:noProof w:val="0"/>
        </w:rPr>
        <w:tab/>
        <w:t>93</w:t>
      </w:r>
    </w:p>
    <w:p w:rsidR="00AE50BA" w:rsidRPr="00237A2C" w:rsidRDefault="00AE50BA">
      <w:pPr>
        <w:pStyle w:val="Innehll1"/>
        <w:rPr>
          <w:i w:val="0"/>
          <w:noProof w:val="0"/>
        </w:rPr>
      </w:pPr>
      <w:r w:rsidRPr="00237A2C">
        <w:rPr>
          <w:i w:val="0"/>
          <w:noProof w:val="0"/>
        </w:rPr>
        <w:t>Förord</w:t>
      </w:r>
      <w:r w:rsidRPr="00237A2C">
        <w:rPr>
          <w:i w:val="0"/>
          <w:noProof w:val="0"/>
        </w:rPr>
        <w:tab/>
        <w:t>95</w:t>
      </w:r>
    </w:p>
    <w:p w:rsidR="00AE50BA" w:rsidRPr="00237A2C" w:rsidRDefault="00AE50BA">
      <w:pPr>
        <w:pStyle w:val="Innehll1"/>
        <w:rPr>
          <w:i w:val="0"/>
          <w:noProof w:val="0"/>
        </w:rPr>
      </w:pPr>
      <w:r w:rsidRPr="00237A2C">
        <w:rPr>
          <w:i w:val="0"/>
          <w:noProof w:val="0"/>
        </w:rPr>
        <w:t>Introduktion</w:t>
      </w:r>
      <w:r w:rsidRPr="00237A2C">
        <w:rPr>
          <w:i w:val="0"/>
          <w:noProof w:val="0"/>
        </w:rPr>
        <w:tab/>
        <w:t>97</w:t>
      </w:r>
    </w:p>
    <w:p w:rsidR="00AE50BA" w:rsidRPr="00237A2C" w:rsidRDefault="00AE50BA">
      <w:pPr>
        <w:pStyle w:val="Innehll1"/>
        <w:rPr>
          <w:i w:val="0"/>
          <w:noProof w:val="0"/>
        </w:rPr>
      </w:pPr>
      <w:r w:rsidRPr="00237A2C">
        <w:rPr>
          <w:i w:val="0"/>
          <w:noProof w:val="0"/>
        </w:rPr>
        <w:t>Del 1</w:t>
      </w:r>
      <w:r w:rsidRPr="00237A2C">
        <w:rPr>
          <w:i w:val="0"/>
          <w:noProof w:val="0"/>
        </w:rPr>
        <w:tab/>
        <w:t>98</w:t>
      </w:r>
    </w:p>
    <w:p w:rsidR="00AE50BA" w:rsidRPr="00237A2C" w:rsidRDefault="00AE50BA">
      <w:pPr>
        <w:pStyle w:val="Innehll1"/>
        <w:rPr>
          <w:i w:val="0"/>
          <w:noProof w:val="0"/>
        </w:rPr>
      </w:pPr>
      <w:r w:rsidRPr="00237A2C">
        <w:rPr>
          <w:i w:val="0"/>
          <w:noProof w:val="0"/>
        </w:rPr>
        <w:t>Debatten om den svenska förvaltningsmodellen</w:t>
      </w:r>
      <w:r w:rsidRPr="00237A2C">
        <w:rPr>
          <w:i w:val="0"/>
          <w:noProof w:val="0"/>
        </w:rPr>
        <w:tab/>
        <w:t>98</w:t>
      </w:r>
    </w:p>
    <w:p w:rsidR="00AE50BA" w:rsidRPr="00237A2C" w:rsidRDefault="00AE50BA">
      <w:pPr>
        <w:pStyle w:val="Innehll2"/>
        <w:rPr>
          <w:i w:val="0"/>
          <w:noProof w:val="0"/>
        </w:rPr>
      </w:pPr>
      <w:r w:rsidRPr="00237A2C">
        <w:rPr>
          <w:i w:val="0"/>
          <w:noProof w:val="0"/>
        </w:rPr>
        <w:t>Inledning</w:t>
      </w:r>
      <w:r w:rsidRPr="00237A2C">
        <w:rPr>
          <w:i w:val="0"/>
          <w:noProof w:val="0"/>
        </w:rPr>
        <w:tab/>
        <w:t>98</w:t>
      </w:r>
    </w:p>
    <w:p w:rsidR="00AE50BA" w:rsidRPr="00237A2C" w:rsidRDefault="00AE50BA">
      <w:pPr>
        <w:pStyle w:val="Innehll2"/>
        <w:rPr>
          <w:i w:val="0"/>
          <w:noProof w:val="0"/>
        </w:rPr>
      </w:pPr>
      <w:r w:rsidRPr="00237A2C">
        <w:rPr>
          <w:i w:val="0"/>
          <w:noProof w:val="0"/>
        </w:rPr>
        <w:t>Ett nytt styrelseskick – den parlamentariska demokratins genombrott</w:t>
      </w:r>
      <w:r w:rsidRPr="00237A2C">
        <w:rPr>
          <w:i w:val="0"/>
          <w:noProof w:val="0"/>
        </w:rPr>
        <w:tab/>
        <w:t>101</w:t>
      </w:r>
    </w:p>
    <w:p w:rsidR="00AE50BA" w:rsidRPr="00237A2C" w:rsidRDefault="00AE50BA">
      <w:pPr>
        <w:pStyle w:val="Innehll2"/>
        <w:rPr>
          <w:i w:val="0"/>
          <w:noProof w:val="0"/>
        </w:rPr>
      </w:pPr>
      <w:r w:rsidRPr="00237A2C">
        <w:rPr>
          <w:i w:val="0"/>
          <w:noProof w:val="0"/>
        </w:rPr>
        <w:t>Förvaltningspolitisk debatt 1987–1998</w:t>
      </w:r>
      <w:r w:rsidRPr="00237A2C">
        <w:rPr>
          <w:i w:val="0"/>
          <w:noProof w:val="0"/>
        </w:rPr>
        <w:tab/>
        <w:t>107</w:t>
      </w:r>
    </w:p>
    <w:p w:rsidR="00AE50BA" w:rsidRPr="00237A2C" w:rsidRDefault="00AE50BA">
      <w:pPr>
        <w:pStyle w:val="Innehll2"/>
        <w:rPr>
          <w:i w:val="0"/>
          <w:noProof w:val="0"/>
        </w:rPr>
      </w:pPr>
      <w:r w:rsidRPr="00237A2C">
        <w:rPr>
          <w:i w:val="0"/>
          <w:noProof w:val="0"/>
        </w:rPr>
        <w:t>De konstitutionella förutsättningarna för styrning är större än man tror. Förvaltningsutredningens försök år 1983 att ange en ny ton</w:t>
      </w:r>
      <w:r w:rsidRPr="00237A2C">
        <w:rPr>
          <w:i w:val="0"/>
          <w:noProof w:val="0"/>
        </w:rPr>
        <w:tab/>
        <w:t>108</w:t>
      </w:r>
    </w:p>
    <w:p w:rsidR="00AE50BA" w:rsidRPr="00237A2C" w:rsidRDefault="00AE50BA">
      <w:pPr>
        <w:pStyle w:val="Innehll2"/>
        <w:rPr>
          <w:i w:val="0"/>
          <w:noProof w:val="0"/>
        </w:rPr>
      </w:pPr>
      <w:r w:rsidRPr="00237A2C">
        <w:rPr>
          <w:i w:val="0"/>
          <w:noProof w:val="0"/>
        </w:rPr>
        <w:t>Debatten om den förvaltningspolitiska propositionen 1987</w:t>
      </w:r>
      <w:r w:rsidRPr="00237A2C">
        <w:rPr>
          <w:i w:val="0"/>
          <w:noProof w:val="0"/>
        </w:rPr>
        <w:tab/>
        <w:t>109</w:t>
      </w:r>
    </w:p>
    <w:p w:rsidR="00AE50BA" w:rsidRPr="00237A2C" w:rsidRDefault="00AE50BA">
      <w:pPr>
        <w:pStyle w:val="Innehll2"/>
        <w:rPr>
          <w:i w:val="0"/>
          <w:noProof w:val="0"/>
        </w:rPr>
      </w:pPr>
      <w:r w:rsidRPr="00237A2C">
        <w:rPr>
          <w:i w:val="0"/>
          <w:noProof w:val="0"/>
        </w:rPr>
        <w:t>De borgerliga regeringsåren på 1990-talet</w:t>
      </w:r>
      <w:r w:rsidRPr="00237A2C">
        <w:rPr>
          <w:i w:val="0"/>
          <w:noProof w:val="0"/>
        </w:rPr>
        <w:tab/>
        <w:t>112</w:t>
      </w:r>
    </w:p>
    <w:p w:rsidR="00AE50BA" w:rsidRPr="00237A2C" w:rsidRDefault="00AE50BA">
      <w:pPr>
        <w:pStyle w:val="Innehll2"/>
        <w:rPr>
          <w:i w:val="0"/>
          <w:noProof w:val="0"/>
        </w:rPr>
      </w:pPr>
      <w:r w:rsidRPr="00237A2C">
        <w:rPr>
          <w:i w:val="0"/>
          <w:noProof w:val="0"/>
        </w:rPr>
        <w:t>Debatten om den socialdemokratiska propositionen 1995</w:t>
      </w:r>
      <w:r w:rsidRPr="00237A2C">
        <w:rPr>
          <w:i w:val="0"/>
          <w:noProof w:val="0"/>
        </w:rPr>
        <w:tab/>
        <w:t>115</w:t>
      </w:r>
    </w:p>
    <w:p w:rsidR="00AE50BA" w:rsidRPr="00237A2C" w:rsidRDefault="00AE50BA">
      <w:pPr>
        <w:pStyle w:val="Innehll2"/>
        <w:rPr>
          <w:i w:val="0"/>
          <w:noProof w:val="0"/>
        </w:rPr>
      </w:pPr>
      <w:r w:rsidRPr="00237A2C">
        <w:rPr>
          <w:i w:val="0"/>
          <w:noProof w:val="0"/>
        </w:rPr>
        <w:t>1998 års förvaltningspolitiska proposition</w:t>
      </w:r>
      <w:r w:rsidRPr="00237A2C">
        <w:rPr>
          <w:i w:val="0"/>
          <w:noProof w:val="0"/>
        </w:rPr>
        <w:tab/>
        <w:t>116</w:t>
      </w:r>
    </w:p>
    <w:p w:rsidR="00AE50BA" w:rsidRPr="00237A2C" w:rsidRDefault="00AE50BA">
      <w:pPr>
        <w:pStyle w:val="Innehll2"/>
        <w:rPr>
          <w:i w:val="0"/>
          <w:noProof w:val="0"/>
        </w:rPr>
      </w:pPr>
      <w:r w:rsidRPr="00237A2C">
        <w:rPr>
          <w:i w:val="0"/>
          <w:noProof w:val="0"/>
        </w:rPr>
        <w:t>Idén om en svensk förvaltningsmodell – slutsatser</w:t>
      </w:r>
      <w:r w:rsidRPr="00237A2C">
        <w:rPr>
          <w:i w:val="0"/>
          <w:noProof w:val="0"/>
        </w:rPr>
        <w:tab/>
        <w:t>119</w:t>
      </w:r>
    </w:p>
    <w:p w:rsidR="00AE50BA" w:rsidRPr="00237A2C" w:rsidRDefault="00AE50BA">
      <w:pPr>
        <w:pStyle w:val="Innehll1"/>
        <w:rPr>
          <w:i w:val="0"/>
          <w:noProof w:val="0"/>
        </w:rPr>
      </w:pPr>
      <w:r w:rsidRPr="00237A2C">
        <w:rPr>
          <w:i w:val="0"/>
          <w:noProof w:val="0"/>
        </w:rPr>
        <w:t>Del 2</w:t>
      </w:r>
      <w:r w:rsidRPr="00237A2C">
        <w:rPr>
          <w:i w:val="0"/>
          <w:noProof w:val="0"/>
        </w:rPr>
        <w:tab/>
        <w:t>122</w:t>
      </w:r>
    </w:p>
    <w:p w:rsidR="00AE50BA" w:rsidRPr="00237A2C" w:rsidRDefault="00AE50BA">
      <w:pPr>
        <w:pStyle w:val="Innehll1"/>
        <w:rPr>
          <w:i w:val="0"/>
          <w:noProof w:val="0"/>
        </w:rPr>
      </w:pPr>
      <w:r w:rsidRPr="00237A2C">
        <w:rPr>
          <w:i w:val="0"/>
          <w:noProof w:val="0"/>
        </w:rPr>
        <w:t>Empiriska studier av relationen mellan departement och verk</w:t>
      </w:r>
      <w:r w:rsidRPr="00237A2C">
        <w:rPr>
          <w:i w:val="0"/>
          <w:noProof w:val="0"/>
        </w:rPr>
        <w:tab/>
        <w:t>122</w:t>
      </w:r>
    </w:p>
    <w:p w:rsidR="00AE50BA" w:rsidRPr="00237A2C" w:rsidRDefault="00AE50BA">
      <w:pPr>
        <w:pStyle w:val="Innehll2"/>
        <w:rPr>
          <w:i w:val="0"/>
          <w:noProof w:val="0"/>
        </w:rPr>
      </w:pPr>
      <w:r w:rsidRPr="00237A2C">
        <w:rPr>
          <w:i w:val="0"/>
          <w:noProof w:val="0"/>
        </w:rPr>
        <w:t>Inledning</w:t>
      </w:r>
      <w:r w:rsidRPr="00237A2C">
        <w:rPr>
          <w:i w:val="0"/>
          <w:noProof w:val="0"/>
        </w:rPr>
        <w:tab/>
        <w:t>122</w:t>
      </w:r>
    </w:p>
    <w:p w:rsidR="00AE50BA" w:rsidRPr="00237A2C" w:rsidRDefault="00AE50BA">
      <w:pPr>
        <w:pStyle w:val="Innehll2"/>
        <w:rPr>
          <w:i w:val="0"/>
          <w:noProof w:val="0"/>
        </w:rPr>
      </w:pPr>
      <w:r w:rsidRPr="00237A2C">
        <w:rPr>
          <w:i w:val="0"/>
          <w:noProof w:val="0"/>
        </w:rPr>
        <w:t>Styrningsbegreppet</w:t>
      </w:r>
      <w:r w:rsidRPr="00237A2C">
        <w:rPr>
          <w:i w:val="0"/>
          <w:noProof w:val="0"/>
        </w:rPr>
        <w:tab/>
        <w:t>123</w:t>
      </w:r>
    </w:p>
    <w:p w:rsidR="00AE50BA" w:rsidRPr="00237A2C" w:rsidRDefault="00AE50BA">
      <w:pPr>
        <w:pStyle w:val="Innehll2"/>
        <w:rPr>
          <w:i w:val="0"/>
          <w:noProof w:val="0"/>
        </w:rPr>
      </w:pPr>
      <w:r w:rsidRPr="00237A2C">
        <w:rPr>
          <w:i w:val="0"/>
          <w:noProof w:val="0"/>
        </w:rPr>
        <w:t>Politiska attityder och värderingar hos statstjänstemännen, inställningen till politisk styrning och synen på tjänstemannarollen</w:t>
      </w:r>
      <w:r w:rsidRPr="00237A2C">
        <w:rPr>
          <w:i w:val="0"/>
          <w:noProof w:val="0"/>
        </w:rPr>
        <w:tab/>
        <w:t>124</w:t>
      </w:r>
    </w:p>
    <w:p w:rsidR="00AE50BA" w:rsidRPr="00237A2C" w:rsidRDefault="00AE50BA">
      <w:pPr>
        <w:pStyle w:val="Innehll2"/>
        <w:rPr>
          <w:i w:val="0"/>
          <w:noProof w:val="0"/>
        </w:rPr>
      </w:pPr>
      <w:r w:rsidRPr="00237A2C">
        <w:rPr>
          <w:i w:val="0"/>
          <w:noProof w:val="0"/>
        </w:rPr>
        <w:t>Styrinstrument</w:t>
      </w:r>
      <w:r w:rsidRPr="00237A2C">
        <w:rPr>
          <w:i w:val="0"/>
          <w:noProof w:val="0"/>
        </w:rPr>
        <w:tab/>
        <w:t>125</w:t>
      </w:r>
    </w:p>
    <w:p w:rsidR="00AE50BA" w:rsidRPr="00237A2C" w:rsidRDefault="00AE50BA">
      <w:pPr>
        <w:pStyle w:val="Innehll3"/>
        <w:rPr>
          <w:i w:val="0"/>
          <w:noProof w:val="0"/>
        </w:rPr>
      </w:pPr>
      <w:r w:rsidRPr="00237A2C">
        <w:rPr>
          <w:i w:val="0"/>
          <w:noProof w:val="0"/>
        </w:rPr>
        <w:t>Normgivningsmakten och informella kontakter</w:t>
      </w:r>
      <w:r w:rsidRPr="00237A2C">
        <w:rPr>
          <w:i w:val="0"/>
          <w:noProof w:val="0"/>
        </w:rPr>
        <w:tab/>
        <w:t>125</w:t>
      </w:r>
    </w:p>
    <w:p w:rsidR="00AE50BA" w:rsidRPr="00237A2C" w:rsidRDefault="00AE50BA">
      <w:pPr>
        <w:pStyle w:val="Innehll3"/>
        <w:rPr>
          <w:i w:val="0"/>
          <w:noProof w:val="0"/>
        </w:rPr>
      </w:pPr>
      <w:r w:rsidRPr="00237A2C">
        <w:rPr>
          <w:i w:val="0"/>
          <w:noProof w:val="0"/>
        </w:rPr>
        <w:t>Finansmakten</w:t>
      </w:r>
      <w:r w:rsidRPr="00237A2C">
        <w:rPr>
          <w:i w:val="0"/>
          <w:noProof w:val="0"/>
        </w:rPr>
        <w:tab/>
        <w:t>128</w:t>
      </w:r>
    </w:p>
    <w:p w:rsidR="00AE50BA" w:rsidRPr="00237A2C" w:rsidRDefault="00AE50BA">
      <w:pPr>
        <w:pStyle w:val="Innehll3"/>
        <w:rPr>
          <w:i w:val="0"/>
          <w:noProof w:val="0"/>
        </w:rPr>
      </w:pPr>
      <w:r w:rsidRPr="00237A2C">
        <w:rPr>
          <w:i w:val="0"/>
          <w:noProof w:val="0"/>
        </w:rPr>
        <w:t>Utnämningsmakten</w:t>
      </w:r>
      <w:r w:rsidRPr="00237A2C">
        <w:rPr>
          <w:i w:val="0"/>
          <w:noProof w:val="0"/>
        </w:rPr>
        <w:tab/>
        <w:t>130</w:t>
      </w:r>
    </w:p>
    <w:p w:rsidR="00AE50BA" w:rsidRPr="00237A2C" w:rsidRDefault="00AE50BA">
      <w:pPr>
        <w:pStyle w:val="Innehll2"/>
        <w:rPr>
          <w:i w:val="0"/>
          <w:noProof w:val="0"/>
        </w:rPr>
      </w:pPr>
      <w:r w:rsidRPr="00237A2C">
        <w:rPr>
          <w:i w:val="0"/>
          <w:noProof w:val="0"/>
        </w:rPr>
        <w:t>Fallstudier</w:t>
      </w:r>
      <w:r w:rsidRPr="00237A2C">
        <w:rPr>
          <w:i w:val="0"/>
          <w:noProof w:val="0"/>
        </w:rPr>
        <w:tab/>
        <w:t>131</w:t>
      </w:r>
    </w:p>
    <w:p w:rsidR="00AE50BA" w:rsidRPr="00237A2C" w:rsidRDefault="00AE50BA">
      <w:pPr>
        <w:pStyle w:val="Innehll3"/>
        <w:rPr>
          <w:i w:val="0"/>
          <w:noProof w:val="0"/>
        </w:rPr>
      </w:pPr>
      <w:r w:rsidRPr="00237A2C">
        <w:rPr>
          <w:i w:val="0"/>
          <w:noProof w:val="0"/>
        </w:rPr>
        <w:t>Ämbetsverkens inflytande över politiken</w:t>
      </w:r>
      <w:r w:rsidRPr="00237A2C">
        <w:rPr>
          <w:i w:val="0"/>
          <w:noProof w:val="0"/>
        </w:rPr>
        <w:tab/>
        <w:t>132</w:t>
      </w:r>
    </w:p>
    <w:p w:rsidR="00AE50BA" w:rsidRPr="00237A2C" w:rsidRDefault="00AE50BA">
      <w:pPr>
        <w:pStyle w:val="Innehll3"/>
        <w:rPr>
          <w:i w:val="0"/>
          <w:noProof w:val="0"/>
        </w:rPr>
      </w:pPr>
      <w:r w:rsidRPr="00237A2C">
        <w:rPr>
          <w:i w:val="0"/>
          <w:noProof w:val="0"/>
        </w:rPr>
        <w:t>Departementens styrning av ämbetsverken</w:t>
      </w:r>
      <w:r w:rsidRPr="00237A2C">
        <w:rPr>
          <w:i w:val="0"/>
          <w:noProof w:val="0"/>
        </w:rPr>
        <w:tab/>
        <w:t>133</w:t>
      </w:r>
    </w:p>
    <w:p w:rsidR="00AE50BA" w:rsidRPr="00237A2C" w:rsidRDefault="00AE50BA">
      <w:pPr>
        <w:pStyle w:val="Innehll3"/>
        <w:rPr>
          <w:i w:val="0"/>
          <w:noProof w:val="0"/>
        </w:rPr>
      </w:pPr>
      <w:r w:rsidRPr="00237A2C">
        <w:rPr>
          <w:i w:val="0"/>
          <w:noProof w:val="0"/>
        </w:rPr>
        <w:t>Lärdomar</w:t>
      </w:r>
      <w:r w:rsidRPr="00237A2C">
        <w:rPr>
          <w:i w:val="0"/>
          <w:noProof w:val="0"/>
        </w:rPr>
        <w:tab/>
        <w:t>133</w:t>
      </w:r>
    </w:p>
    <w:p w:rsidR="00AE50BA" w:rsidRPr="00237A2C" w:rsidRDefault="00AE50BA">
      <w:pPr>
        <w:pStyle w:val="Innehll2"/>
        <w:rPr>
          <w:i w:val="0"/>
          <w:noProof w:val="0"/>
        </w:rPr>
      </w:pPr>
      <w:r w:rsidRPr="00237A2C">
        <w:rPr>
          <w:i w:val="0"/>
          <w:noProof w:val="0"/>
        </w:rPr>
        <w:t>Det svenska EU-medlemskapets effekter på relationerna mellan departement och verk</w:t>
      </w:r>
      <w:r w:rsidRPr="00237A2C">
        <w:rPr>
          <w:i w:val="0"/>
          <w:noProof w:val="0"/>
        </w:rPr>
        <w:tab/>
        <w:t>134</w:t>
      </w:r>
    </w:p>
    <w:p w:rsidR="00AE50BA" w:rsidRPr="00237A2C" w:rsidRDefault="00AE50BA">
      <w:pPr>
        <w:pStyle w:val="Innehll3"/>
        <w:rPr>
          <w:i w:val="0"/>
          <w:noProof w:val="0"/>
        </w:rPr>
      </w:pPr>
      <w:r w:rsidRPr="00237A2C">
        <w:rPr>
          <w:i w:val="0"/>
          <w:noProof w:val="0"/>
        </w:rPr>
        <w:t>Instruktioner och samordning</w:t>
      </w:r>
      <w:r w:rsidRPr="00237A2C">
        <w:rPr>
          <w:i w:val="0"/>
          <w:noProof w:val="0"/>
        </w:rPr>
        <w:tab/>
        <w:t>134</w:t>
      </w:r>
    </w:p>
    <w:p w:rsidR="00AE50BA" w:rsidRPr="00237A2C" w:rsidRDefault="00AE50BA">
      <w:pPr>
        <w:pStyle w:val="Innehll3"/>
        <w:rPr>
          <w:i w:val="0"/>
          <w:noProof w:val="0"/>
        </w:rPr>
      </w:pPr>
      <w:r w:rsidRPr="00237A2C">
        <w:rPr>
          <w:i w:val="0"/>
          <w:noProof w:val="0"/>
        </w:rPr>
        <w:t>Konsekvenser för den svenska förvaltningsmodellen</w:t>
      </w:r>
      <w:r w:rsidRPr="00237A2C">
        <w:rPr>
          <w:i w:val="0"/>
          <w:noProof w:val="0"/>
        </w:rPr>
        <w:tab/>
        <w:t>136</w:t>
      </w:r>
    </w:p>
    <w:p w:rsidR="00AE50BA" w:rsidRPr="00237A2C" w:rsidRDefault="00AE50BA">
      <w:pPr>
        <w:pStyle w:val="Innehll2"/>
        <w:rPr>
          <w:i w:val="0"/>
          <w:noProof w:val="0"/>
        </w:rPr>
      </w:pPr>
      <w:r w:rsidRPr="00237A2C">
        <w:rPr>
          <w:i w:val="0"/>
          <w:noProof w:val="0"/>
        </w:rPr>
        <w:t>Den empiriska forskningen och den svenska förvaltningsmodellen</w:t>
      </w:r>
      <w:r w:rsidRPr="00237A2C">
        <w:rPr>
          <w:i w:val="0"/>
          <w:noProof w:val="0"/>
        </w:rPr>
        <w:tab/>
        <w:t>137</w:t>
      </w:r>
    </w:p>
    <w:p w:rsidR="00AE50BA" w:rsidRPr="00237A2C" w:rsidRDefault="00AE50BA">
      <w:pPr>
        <w:pStyle w:val="Innehll1"/>
        <w:rPr>
          <w:i w:val="0"/>
          <w:noProof w:val="0"/>
        </w:rPr>
      </w:pPr>
      <w:r w:rsidRPr="00237A2C">
        <w:rPr>
          <w:i w:val="0"/>
          <w:noProof w:val="0"/>
        </w:rPr>
        <w:t>Del 3</w:t>
      </w:r>
      <w:r w:rsidRPr="00237A2C">
        <w:rPr>
          <w:i w:val="0"/>
          <w:noProof w:val="0"/>
        </w:rPr>
        <w:tab/>
        <w:t>138</w:t>
      </w:r>
    </w:p>
    <w:p w:rsidR="00AE50BA" w:rsidRPr="00237A2C" w:rsidRDefault="00AE50BA">
      <w:pPr>
        <w:pStyle w:val="Innehll1"/>
        <w:rPr>
          <w:i w:val="0"/>
          <w:noProof w:val="0"/>
        </w:rPr>
      </w:pPr>
      <w:r w:rsidRPr="00237A2C">
        <w:rPr>
          <w:i w:val="0"/>
          <w:noProof w:val="0"/>
        </w:rPr>
        <w:t>Ett internationellt perspektiv på den svenska förvaltningsmodellen</w:t>
      </w:r>
      <w:r w:rsidRPr="00237A2C">
        <w:rPr>
          <w:i w:val="0"/>
          <w:noProof w:val="0"/>
        </w:rPr>
        <w:tab/>
        <w:t>138</w:t>
      </w:r>
    </w:p>
    <w:p w:rsidR="00AE50BA" w:rsidRPr="00237A2C" w:rsidRDefault="00AE50BA">
      <w:pPr>
        <w:pStyle w:val="Innehll2"/>
        <w:rPr>
          <w:i w:val="0"/>
          <w:noProof w:val="0"/>
        </w:rPr>
      </w:pPr>
      <w:r w:rsidRPr="00237A2C">
        <w:rPr>
          <w:i w:val="0"/>
          <w:noProof w:val="0"/>
        </w:rPr>
        <w:t>Ministerstyre i teorin</w:t>
      </w:r>
      <w:r w:rsidRPr="00237A2C">
        <w:rPr>
          <w:i w:val="0"/>
          <w:noProof w:val="0"/>
        </w:rPr>
        <w:tab/>
        <w:t>138</w:t>
      </w:r>
    </w:p>
    <w:p w:rsidR="00AE50BA" w:rsidRPr="00237A2C" w:rsidRDefault="00AE50BA">
      <w:pPr>
        <w:pStyle w:val="Innehll3"/>
        <w:rPr>
          <w:i w:val="0"/>
          <w:noProof w:val="0"/>
        </w:rPr>
      </w:pPr>
      <w:r w:rsidRPr="00237A2C">
        <w:rPr>
          <w:i w:val="0"/>
          <w:noProof w:val="0"/>
        </w:rPr>
        <w:t>Danmark</w:t>
      </w:r>
      <w:r w:rsidRPr="00237A2C">
        <w:rPr>
          <w:i w:val="0"/>
          <w:noProof w:val="0"/>
        </w:rPr>
        <w:tab/>
        <w:t>138</w:t>
      </w:r>
    </w:p>
    <w:p w:rsidR="00AE50BA" w:rsidRPr="00237A2C" w:rsidRDefault="00AE50BA">
      <w:pPr>
        <w:pStyle w:val="Innehll3"/>
        <w:rPr>
          <w:i w:val="0"/>
          <w:noProof w:val="0"/>
        </w:rPr>
      </w:pPr>
      <w:r w:rsidRPr="00237A2C">
        <w:rPr>
          <w:i w:val="0"/>
          <w:noProof w:val="0"/>
        </w:rPr>
        <w:t>Norge</w:t>
      </w:r>
      <w:r w:rsidRPr="00237A2C">
        <w:rPr>
          <w:i w:val="0"/>
          <w:noProof w:val="0"/>
        </w:rPr>
        <w:tab/>
        <w:t>141</w:t>
      </w:r>
    </w:p>
    <w:p w:rsidR="00AE50BA" w:rsidRPr="00237A2C" w:rsidRDefault="00AE50BA">
      <w:pPr>
        <w:pStyle w:val="Innehll3"/>
        <w:rPr>
          <w:i w:val="0"/>
          <w:noProof w:val="0"/>
        </w:rPr>
      </w:pPr>
      <w:r w:rsidRPr="00237A2C">
        <w:rPr>
          <w:i w:val="0"/>
          <w:noProof w:val="0"/>
        </w:rPr>
        <w:t>Ansvarsutkrävande</w:t>
      </w:r>
      <w:r w:rsidRPr="00237A2C">
        <w:rPr>
          <w:i w:val="0"/>
          <w:noProof w:val="0"/>
        </w:rPr>
        <w:tab/>
        <w:t>141</w:t>
      </w:r>
    </w:p>
    <w:p w:rsidR="00AE50BA" w:rsidRPr="00237A2C" w:rsidRDefault="00AE50BA">
      <w:pPr>
        <w:pStyle w:val="Innehll2"/>
        <w:rPr>
          <w:i w:val="0"/>
          <w:noProof w:val="0"/>
        </w:rPr>
      </w:pPr>
      <w:r w:rsidRPr="00237A2C">
        <w:rPr>
          <w:i w:val="0"/>
          <w:noProof w:val="0"/>
        </w:rPr>
        <w:t>Ministerstyre i praktiken</w:t>
      </w:r>
      <w:r w:rsidRPr="00237A2C">
        <w:rPr>
          <w:i w:val="0"/>
          <w:noProof w:val="0"/>
        </w:rPr>
        <w:tab/>
        <w:t>143</w:t>
      </w:r>
    </w:p>
    <w:p w:rsidR="00AE50BA" w:rsidRPr="00237A2C" w:rsidRDefault="00AE50BA">
      <w:pPr>
        <w:pStyle w:val="Innehll3"/>
        <w:rPr>
          <w:i w:val="0"/>
          <w:noProof w:val="0"/>
        </w:rPr>
      </w:pPr>
      <w:r w:rsidRPr="00237A2C">
        <w:rPr>
          <w:i w:val="0"/>
          <w:noProof w:val="0"/>
        </w:rPr>
        <w:t>Normstyrning</w:t>
      </w:r>
      <w:r w:rsidRPr="00237A2C">
        <w:rPr>
          <w:i w:val="0"/>
          <w:noProof w:val="0"/>
        </w:rPr>
        <w:tab/>
        <w:t>143</w:t>
      </w:r>
    </w:p>
    <w:p w:rsidR="00AE50BA" w:rsidRPr="00237A2C" w:rsidRDefault="00AE50BA">
      <w:pPr>
        <w:pStyle w:val="Innehll3"/>
        <w:rPr>
          <w:i w:val="0"/>
          <w:noProof w:val="0"/>
        </w:rPr>
      </w:pPr>
      <w:r w:rsidRPr="00237A2C">
        <w:rPr>
          <w:i w:val="0"/>
          <w:noProof w:val="0"/>
        </w:rPr>
        <w:t>Budgetstyrning</w:t>
      </w:r>
      <w:r w:rsidRPr="00237A2C">
        <w:rPr>
          <w:i w:val="0"/>
          <w:noProof w:val="0"/>
        </w:rPr>
        <w:tab/>
        <w:t>146</w:t>
      </w:r>
    </w:p>
    <w:p w:rsidR="00AE50BA" w:rsidRPr="00237A2C" w:rsidRDefault="00AE50BA">
      <w:pPr>
        <w:pStyle w:val="Innehll3"/>
        <w:rPr>
          <w:i w:val="0"/>
          <w:noProof w:val="0"/>
        </w:rPr>
      </w:pPr>
      <w:r w:rsidRPr="00237A2C">
        <w:rPr>
          <w:i w:val="0"/>
          <w:noProof w:val="0"/>
        </w:rPr>
        <w:t>Ansökningsnämndernas verksamhet</w:t>
      </w:r>
      <w:r w:rsidRPr="00237A2C">
        <w:rPr>
          <w:i w:val="0"/>
          <w:noProof w:val="0"/>
        </w:rPr>
        <w:tab/>
        <w:t>146</w:t>
      </w:r>
    </w:p>
    <w:p w:rsidR="00AE50BA" w:rsidRPr="00237A2C" w:rsidRDefault="00AE50BA">
      <w:pPr>
        <w:pStyle w:val="Innehll3"/>
        <w:rPr>
          <w:i w:val="0"/>
          <w:noProof w:val="0"/>
        </w:rPr>
      </w:pPr>
      <w:r w:rsidRPr="00237A2C">
        <w:rPr>
          <w:i w:val="0"/>
          <w:noProof w:val="0"/>
        </w:rPr>
        <w:t>De statliga penningpotterna (puljeordningerne)</w:t>
      </w:r>
      <w:r w:rsidRPr="00237A2C">
        <w:rPr>
          <w:i w:val="0"/>
          <w:noProof w:val="0"/>
        </w:rPr>
        <w:tab/>
        <w:t>147</w:t>
      </w:r>
    </w:p>
    <w:p w:rsidR="00AE50BA" w:rsidRPr="00237A2C" w:rsidRDefault="00AE50BA">
      <w:pPr>
        <w:pStyle w:val="Innehll2"/>
        <w:rPr>
          <w:i w:val="0"/>
          <w:noProof w:val="0"/>
        </w:rPr>
      </w:pPr>
      <w:r w:rsidRPr="00237A2C">
        <w:rPr>
          <w:i w:val="0"/>
          <w:noProof w:val="0"/>
        </w:rPr>
        <w:t>Sammanfattning</w:t>
      </w:r>
      <w:r w:rsidRPr="00237A2C">
        <w:rPr>
          <w:i w:val="0"/>
          <w:noProof w:val="0"/>
        </w:rPr>
        <w:tab/>
        <w:t>149</w:t>
      </w:r>
    </w:p>
    <w:p w:rsidR="00AE50BA" w:rsidRPr="00237A2C" w:rsidRDefault="00AE50BA">
      <w:pPr>
        <w:pStyle w:val="Innehll1"/>
        <w:rPr>
          <w:i w:val="0"/>
          <w:noProof w:val="0"/>
        </w:rPr>
      </w:pPr>
      <w:r w:rsidRPr="00237A2C">
        <w:rPr>
          <w:i w:val="0"/>
          <w:noProof w:val="0"/>
        </w:rPr>
        <w:t>Del 4</w:t>
      </w:r>
      <w:r w:rsidRPr="00237A2C">
        <w:rPr>
          <w:i w:val="0"/>
          <w:noProof w:val="0"/>
        </w:rPr>
        <w:tab/>
        <w:t>150</w:t>
      </w:r>
    </w:p>
    <w:p w:rsidR="00AE50BA" w:rsidRPr="00237A2C" w:rsidRDefault="00AE50BA">
      <w:pPr>
        <w:pStyle w:val="Innehll1"/>
        <w:rPr>
          <w:i w:val="0"/>
          <w:noProof w:val="0"/>
        </w:rPr>
      </w:pPr>
      <w:r w:rsidRPr="00237A2C">
        <w:rPr>
          <w:i w:val="0"/>
          <w:noProof w:val="0"/>
        </w:rPr>
        <w:t xml:space="preserve">Den svenska förvaltningsmodellen </w:t>
      </w:r>
      <w:r w:rsidRPr="00237A2C">
        <w:rPr>
          <w:i w:val="0"/>
          <w:noProof w:val="0"/>
        </w:rPr>
        <w:sym w:font="Symbol" w:char="F02D"/>
      </w:r>
      <w:r w:rsidRPr="00237A2C">
        <w:rPr>
          <w:i w:val="0"/>
          <w:noProof w:val="0"/>
        </w:rPr>
        <w:t xml:space="preserve"> en sammanfattande diskussion</w:t>
      </w:r>
      <w:r w:rsidRPr="00237A2C">
        <w:rPr>
          <w:i w:val="0"/>
          <w:noProof w:val="0"/>
        </w:rPr>
        <w:tab/>
        <w:t>150</w:t>
      </w:r>
    </w:p>
    <w:p w:rsidR="00AE50BA" w:rsidRPr="00237A2C" w:rsidRDefault="00AE50BA">
      <w:pPr>
        <w:pStyle w:val="Innehll1"/>
        <w:rPr>
          <w:i w:val="0"/>
          <w:noProof w:val="0"/>
        </w:rPr>
      </w:pPr>
      <w:r w:rsidRPr="00237A2C">
        <w:rPr>
          <w:i w:val="0"/>
          <w:noProof w:val="0"/>
        </w:rPr>
        <w:t>Referenser</w:t>
      </w:r>
      <w:r w:rsidRPr="00237A2C">
        <w:rPr>
          <w:i w:val="0"/>
          <w:noProof w:val="0"/>
        </w:rPr>
        <w:tab/>
        <w:t>156</w:t>
      </w:r>
    </w:p>
    <w:p w:rsidR="00AE50BA" w:rsidRPr="00237A2C" w:rsidRDefault="00AE50BA">
      <w:pPr>
        <w:pStyle w:val="Normaltindrag"/>
        <w:jc w:val="left"/>
      </w:pPr>
    </w:p>
    <w:p w:rsidR="00AE50BA" w:rsidRPr="00237A2C" w:rsidRDefault="00AE50BA">
      <w:pPr>
        <w:pStyle w:val="Tryckort"/>
        <w:framePr w:wrap="around"/>
      </w:pPr>
      <w:r w:rsidRPr="00237A2C">
        <w:t>Elanders Gotab, Stockholm  2001</w:t>
      </w:r>
    </w:p>
    <w:p w:rsidR="00AE50BA" w:rsidRPr="00237A2C" w:rsidRDefault="00AE50BA">
      <w:pPr>
        <w:pStyle w:val="Normaltindrag"/>
        <w:jc w:val="left"/>
      </w:pPr>
    </w:p>
    <w:sectPr w:rsidR="00AE50BA" w:rsidRPr="00237A2C">
      <w:headerReference w:type="default" r:id="rId32"/>
      <w:footerReference w:type="default" r:id="rId33"/>
      <w:pgSz w:w="11906" w:h="16838" w:code="9"/>
      <w:pgMar w:top="567" w:right="4876" w:bottom="4508" w:left="1134" w:header="227" w:footer="227" w:gutter="0"/>
      <w:cols w:space="720"/>
    </w:sectPr>
  </w:body>
</w:document>
</file>

<file path=word/customizations.xml><?xml version="1.0" encoding="utf-8"?>
<wne:tcg xmlns:r="http://schemas.openxmlformats.org/officeDocument/2006/relationships" xmlns:wne="http://schemas.microsoft.com/office/word/2006/wordml">
  <wne:keymaps>
    <wne:keymap wne:kcmPrimary="024E">
      <wne:acd wne:acdName="acd1"/>
    </wne:keymap>
    <wne:keymap wne:kcmPrimary="0458">
      <wne:acd wne:acdName="acd0"/>
    </wne:keymap>
  </wne:keymaps>
  <wne:toolbars>
    <wne:acdManifest>
      <wne:acdEntry wne:acdName="acd0"/>
      <wne:acdEntry wne:acdName="acd1"/>
    </wne:acdManifest>
  </wne:toolbars>
  <wne:acds>
    <wne:acd wne:argValue="AQAAABwA" wne:acdName="acd0" wne:fciIndexBasedOn="0065"/>
    <wne:acd wne:argValue="AQAAAA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50BA" w:rsidRPr="00237A2C" w:rsidRDefault="00AE50BA">
      <w:pPr>
        <w:spacing w:before="0" w:line="240" w:lineRule="auto"/>
      </w:pPr>
      <w:r w:rsidRPr="00237A2C">
        <w:separator/>
      </w:r>
    </w:p>
  </w:endnote>
  <w:endnote w:type="continuationSeparator" w:id="0">
    <w:p w:rsidR="00AE50BA" w:rsidRPr="00237A2C" w:rsidRDefault="00AE50BA">
      <w:pPr>
        <w:spacing w:before="0" w:line="240" w:lineRule="auto"/>
      </w:pPr>
      <w:r w:rsidRPr="00237A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 Light">
    <w:altName w:val="Calibri"/>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0BA" w:rsidRPr="00237A2C" w:rsidRDefault="00AE50BA">
    <w:pPr>
      <w:pStyle w:val="SidfotH"/>
      <w:framePr w:wrap="around"/>
    </w:pPr>
    <w:r w:rsidRPr="00237A2C">
      <w:fldChar w:fldCharType="begin" w:fldLock="1"/>
    </w:r>
    <w:r w:rsidRPr="00237A2C">
      <w:instrText xml:space="preserve"> P</w:instrText>
    </w:r>
    <w:r w:rsidRPr="00237A2C">
      <w:instrText>A</w:instrText>
    </w:r>
    <w:r w:rsidRPr="00237A2C">
      <w:instrText xml:space="preserve">GE </w:instrText>
    </w:r>
    <w:r w:rsidRPr="00237A2C">
      <w:fldChar w:fldCharType="separate"/>
    </w:r>
    <w:r w:rsidRPr="00237A2C">
      <w:t>1</w:t>
    </w:r>
    <w:r w:rsidRPr="00237A2C">
      <w:fldChar w:fldCharType="end"/>
    </w:r>
  </w:p>
  <w:p w:rsidR="00AE50BA" w:rsidRPr="00237A2C" w:rsidRDefault="00AE50B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0BA" w:rsidRPr="00237A2C" w:rsidRDefault="00AE50BA">
    <w:pPr>
      <w:pStyle w:val="SidfotH"/>
      <w:framePr w:wrap="around"/>
    </w:pPr>
    <w:r w:rsidRPr="00237A2C">
      <w:fldChar w:fldCharType="begin" w:fldLock="1"/>
    </w:r>
    <w:r w:rsidRPr="00237A2C">
      <w:instrText xml:space="preserve"> P</w:instrText>
    </w:r>
    <w:r w:rsidRPr="00237A2C">
      <w:instrText>A</w:instrText>
    </w:r>
    <w:r w:rsidRPr="00237A2C">
      <w:instrText xml:space="preserve">GE </w:instrText>
    </w:r>
    <w:r w:rsidRPr="00237A2C">
      <w:fldChar w:fldCharType="separate"/>
    </w:r>
    <w:r w:rsidRPr="00237A2C">
      <w:t>2</w:t>
    </w:r>
    <w:r w:rsidRPr="00237A2C">
      <w:fldChar w:fldCharType="end"/>
    </w:r>
  </w:p>
  <w:p w:rsidR="00AE50BA" w:rsidRPr="00237A2C" w:rsidRDefault="00AE50B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0BA" w:rsidRDefault="00AE50BA">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1</w:t>
    </w:r>
    <w:r>
      <w:rPr>
        <w:rStyle w:val="Sidnummer"/>
      </w:rPr>
      <w:fldChar w:fldCharType="end"/>
    </w:r>
  </w:p>
  <w:p w:rsidR="00AE50BA" w:rsidRDefault="00AE50BA">
    <w:pPr>
      <w:pStyle w:val="Sidfo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0BA" w:rsidRPr="00237A2C" w:rsidRDefault="00AE50BA">
    <w:pPr>
      <w:pStyle w:val="SidfotH"/>
      <w:framePr w:w="0" w:hSpace="0" w:wrap="around" w:vAnchor="text" w:hAnchor="margin" w:y="1"/>
      <w:rPr>
        <w:color w:val="FFFFFF"/>
      </w:rPr>
    </w:pPr>
  </w:p>
  <w:p w:rsidR="00AE50BA" w:rsidRPr="00237A2C" w:rsidRDefault="00AE50BA">
    <w:pPr>
      <w:pStyle w:val="SidfotH"/>
      <w:framePr w:wrap="around"/>
    </w:pPr>
    <w:r w:rsidRPr="00237A2C">
      <w:fldChar w:fldCharType="begin" w:fldLock="1"/>
    </w:r>
    <w:r w:rsidRPr="00237A2C">
      <w:instrText xml:space="preserve"> P</w:instrText>
    </w:r>
    <w:r w:rsidRPr="00237A2C">
      <w:instrText>A</w:instrText>
    </w:r>
    <w:r w:rsidRPr="00237A2C">
      <w:instrText xml:space="preserve">GE </w:instrText>
    </w:r>
    <w:r w:rsidRPr="00237A2C">
      <w:fldChar w:fldCharType="separate"/>
    </w:r>
    <w:r w:rsidRPr="00237A2C">
      <w:t>15</w:t>
    </w:r>
    <w:r w:rsidRPr="00237A2C">
      <w:fldChar w:fldCharType="end"/>
    </w:r>
  </w:p>
  <w:p w:rsidR="00AE50BA" w:rsidRPr="00237A2C" w:rsidRDefault="00AE50BA">
    <w:pPr>
      <w:pStyle w:val="Sidfo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0BA" w:rsidRPr="00237A2C" w:rsidRDefault="00AE50BA">
    <w:pPr>
      <w:pStyle w:val="SidfotH"/>
      <w:framePr w:wrap="around"/>
    </w:pPr>
    <w:r w:rsidRPr="00237A2C">
      <w:fldChar w:fldCharType="begin" w:fldLock="1"/>
    </w:r>
    <w:r w:rsidRPr="00237A2C">
      <w:instrText xml:space="preserve"> P</w:instrText>
    </w:r>
    <w:r w:rsidRPr="00237A2C">
      <w:instrText>A</w:instrText>
    </w:r>
    <w:r w:rsidRPr="00237A2C">
      <w:instrText xml:space="preserve">GE </w:instrText>
    </w:r>
    <w:r w:rsidRPr="00237A2C">
      <w:fldChar w:fldCharType="separate"/>
    </w:r>
    <w:r w:rsidRPr="00237A2C">
      <w:t>16</w:t>
    </w:r>
    <w:r w:rsidRPr="00237A2C">
      <w:fldChar w:fldCharType="end"/>
    </w:r>
  </w:p>
  <w:p w:rsidR="00AE50BA" w:rsidRPr="00237A2C" w:rsidRDefault="00AE50BA">
    <w:pPr>
      <w:pStyle w:val="Sidfot"/>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0BA" w:rsidRPr="00237A2C" w:rsidRDefault="00AE50BA">
    <w:pPr>
      <w:pStyle w:val="SidfotH"/>
      <w:framePr w:wrap="around"/>
    </w:pPr>
    <w:r w:rsidRPr="00237A2C">
      <w:fldChar w:fldCharType="begin" w:fldLock="1"/>
    </w:r>
    <w:r w:rsidRPr="00237A2C">
      <w:instrText xml:space="preserve"> P</w:instrText>
    </w:r>
    <w:r w:rsidRPr="00237A2C">
      <w:instrText>A</w:instrText>
    </w:r>
    <w:r w:rsidRPr="00237A2C">
      <w:instrText xml:space="preserve">GE </w:instrText>
    </w:r>
    <w:r w:rsidRPr="00237A2C">
      <w:fldChar w:fldCharType="separate"/>
    </w:r>
    <w:r w:rsidRPr="00237A2C">
      <w:t>159</w:t>
    </w:r>
    <w:r w:rsidRPr="00237A2C">
      <w:fldChar w:fldCharType="end"/>
    </w:r>
  </w:p>
  <w:p w:rsidR="00AE50BA" w:rsidRPr="00237A2C" w:rsidRDefault="00AE50B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0BA" w:rsidRPr="00237A2C" w:rsidRDefault="00AE50BA">
    <w:pPr>
      <w:pStyle w:val="SidfotH"/>
      <w:framePr w:wrap="around"/>
    </w:pPr>
    <w:r w:rsidRPr="00237A2C">
      <w:fldChar w:fldCharType="begin" w:fldLock="1"/>
    </w:r>
    <w:r w:rsidRPr="00237A2C">
      <w:instrText xml:space="preserve"> P</w:instrText>
    </w:r>
    <w:r w:rsidRPr="00237A2C">
      <w:instrText>A</w:instrText>
    </w:r>
    <w:r w:rsidRPr="00237A2C">
      <w:instrText xml:space="preserve">GE </w:instrText>
    </w:r>
    <w:r w:rsidRPr="00237A2C">
      <w:fldChar w:fldCharType="separate"/>
    </w:r>
    <w:r w:rsidRPr="00237A2C">
      <w:t>163</w:t>
    </w:r>
    <w:r w:rsidRPr="00237A2C">
      <w:fldChar w:fldCharType="end"/>
    </w:r>
  </w:p>
  <w:p w:rsidR="00AE50BA" w:rsidRPr="00237A2C" w:rsidRDefault="00AE50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50BA" w:rsidRPr="00237A2C" w:rsidRDefault="00AE50BA">
      <w:pPr>
        <w:pStyle w:val="Sidfot"/>
      </w:pPr>
      <w:r w:rsidRPr="00237A2C">
        <w:t xml:space="preserve">––––––––––––––––––––––––––––––– </w:t>
      </w:r>
    </w:p>
  </w:footnote>
  <w:footnote w:type="continuationSeparator" w:id="0">
    <w:p w:rsidR="00AE50BA" w:rsidRPr="00237A2C" w:rsidRDefault="00AE50BA">
      <w:pPr>
        <w:spacing w:before="0" w:line="240" w:lineRule="auto"/>
      </w:pPr>
      <w:r w:rsidRPr="00237A2C">
        <w:continuationSeparator/>
      </w:r>
    </w:p>
  </w:footnote>
  <w:footnote w:id="1">
    <w:p w:rsidR="00AE50BA" w:rsidRPr="00237A2C" w:rsidRDefault="00AE50BA">
      <w:pPr>
        <w:pStyle w:val="Fotnotstext"/>
      </w:pPr>
      <w:r w:rsidRPr="00237A2C">
        <w:rPr>
          <w:rStyle w:val="Fotnotsreferens"/>
        </w:rPr>
        <w:footnoteRef/>
      </w:r>
      <w:r w:rsidRPr="00237A2C">
        <w:t xml:space="preserve"> Den här rapporten är en gemensam produkt. I praktiken har dock Helena Wocke</w:t>
      </w:r>
      <w:r w:rsidRPr="00237A2C">
        <w:t>l</w:t>
      </w:r>
      <w:r w:rsidRPr="00237A2C">
        <w:t>berg genom</w:t>
      </w:r>
      <w:r w:rsidRPr="00237A2C">
        <w:softHyphen/>
        <w:t>fört det huvudsakliga arbetet med del 1, Liv Hammargren del 2 och A</w:t>
      </w:r>
      <w:r w:rsidRPr="00237A2C">
        <w:t>n</w:t>
      </w:r>
      <w:r w:rsidRPr="00237A2C">
        <w:t>ders Lindbom del 3.</w:t>
      </w:r>
    </w:p>
  </w:footnote>
  <w:footnote w:id="2">
    <w:p w:rsidR="00AE50BA" w:rsidRPr="00237A2C" w:rsidRDefault="00AE50BA">
      <w:pPr>
        <w:pStyle w:val="Fotnotstext"/>
      </w:pPr>
      <w:r w:rsidRPr="00237A2C">
        <w:rPr>
          <w:rStyle w:val="Fotnotsreferens"/>
        </w:rPr>
        <w:footnoteRef/>
      </w:r>
      <w:r w:rsidRPr="00237A2C">
        <w:t xml:space="preserve"> För nyare genomgångar av de juridiska aspekterna se Statskontoret 2000:20, appe</w:t>
      </w:r>
      <w:r w:rsidRPr="00237A2C">
        <w:t>n</w:t>
      </w:r>
      <w:r w:rsidRPr="00237A2C">
        <w:t>dix 1, kapitel 1 och Konstitutionsutskottets granskningsbetänkande 1997/98:KU25.</w:t>
      </w:r>
    </w:p>
  </w:footnote>
  <w:footnote w:id="3">
    <w:p w:rsidR="00AE50BA" w:rsidRPr="00237A2C" w:rsidRDefault="00AE50BA">
      <w:pPr>
        <w:pStyle w:val="Fotnotstext"/>
      </w:pPr>
      <w:r w:rsidRPr="00237A2C">
        <w:rPr>
          <w:rStyle w:val="Fotnotsreferens"/>
        </w:rPr>
        <w:footnoteRef/>
      </w:r>
      <w:r w:rsidRPr="00237A2C">
        <w:t xml:space="preserve"> Detta synsätt har diskuterats av bland andra Moe 1989. En alternativ hypotes är att debattörerna </w:t>
      </w:r>
      <w:r w:rsidRPr="00237A2C">
        <w:rPr>
          <w:i/>
        </w:rPr>
        <w:t>inte</w:t>
      </w:r>
      <w:r w:rsidRPr="00237A2C">
        <w:t xml:space="preserve"> betraktar förvaltningspolitiken i detta perspektiv, och att detta är anledningen till att problemet inte diskuteras särskilt utförligt. Här bör dock noteras, att en ickediskussion kan vara ett mycket lockande alternativ för den som är nöjd med rådande (makt)förhållanden. Problemet med kausal inferensdragning mellan vad som sägs och vad som tänks är i princip oundvikligt: vad som sägs är i dessa sammanhang </w:t>
      </w:r>
      <w:r w:rsidRPr="00237A2C">
        <w:t>vår bästa ledtråd till vad som tänks, men bör för all del inte oreflekterat framföras om belägg för det senare.</w:t>
      </w:r>
    </w:p>
  </w:footnote>
  <w:footnote w:id="4">
    <w:p w:rsidR="00AE50BA" w:rsidRPr="00237A2C" w:rsidRDefault="00AE50BA">
      <w:pPr>
        <w:pStyle w:val="Fotnotstext"/>
      </w:pPr>
      <w:r w:rsidRPr="00237A2C">
        <w:rPr>
          <w:rStyle w:val="Fotnotsreferens"/>
        </w:rPr>
        <w:footnoteRef/>
      </w:r>
      <w:r w:rsidRPr="00237A2C">
        <w:t> Wockelberg 1996, 1999.</w:t>
      </w:r>
    </w:p>
  </w:footnote>
  <w:footnote w:id="5">
    <w:p w:rsidR="00AE50BA" w:rsidRPr="00237A2C" w:rsidRDefault="00AE50BA">
      <w:pPr>
        <w:pStyle w:val="Fotnotstext"/>
      </w:pPr>
      <w:r w:rsidRPr="00237A2C">
        <w:rPr>
          <w:rStyle w:val="Fotnotsreferens"/>
        </w:rPr>
        <w:footnoteRef/>
      </w:r>
      <w:r w:rsidRPr="00237A2C">
        <w:t> Den tidsmässiga avgränsningen 1900–1930 möjliggör analys av material strax före och efter den parlamentariska demokratins genomslag. Av utrymmesskäl presenteras endast de huvudsakliga slutsatser som kan dras om debattens innehåll och karaktär.</w:t>
      </w:r>
    </w:p>
  </w:footnote>
  <w:footnote w:id="6">
    <w:p w:rsidR="00AE50BA" w:rsidRPr="00237A2C" w:rsidRDefault="00AE50BA">
      <w:pPr>
        <w:pStyle w:val="Fotnotstext"/>
      </w:pPr>
      <w:r w:rsidRPr="00237A2C">
        <w:rPr>
          <w:rStyle w:val="Fotnotsreferens"/>
        </w:rPr>
        <w:footnoteRef/>
      </w:r>
      <w:r w:rsidRPr="00237A2C">
        <w:t xml:space="preserve"> Vi bör dock här notera att det parallellt med den konstitutionella utvecklingen också genomfördes reformer på det förvaltningspolitiska området. Flera av dessa reformer rörde </w:t>
      </w:r>
      <w:r w:rsidRPr="00237A2C">
        <w:rPr>
          <w:i/>
        </w:rPr>
        <w:t>styrningsformer</w:t>
      </w:r>
      <w:r w:rsidRPr="00237A2C">
        <w:t>. Förvaltningspolitiken kom i större utsträckning att regleras i lag istället för i grundlag eller i verksinstruktioner och dylikt. Statstjänstemannalagen 1965 och Förvaltningslagen 1971 är exempel på en ny typ av normgivning. Stat</w:t>
      </w:r>
      <w:r w:rsidRPr="00237A2C">
        <w:t>s</w:t>
      </w:r>
      <w:r w:rsidRPr="00237A2C">
        <w:t>tjänstemannalagen innebar att statsmakterna avstod den faktiska regleringen av tjän</w:t>
      </w:r>
      <w:r w:rsidRPr="00237A2C">
        <w:t>s</w:t>
      </w:r>
      <w:r w:rsidRPr="00237A2C">
        <w:t>temän</w:t>
      </w:r>
      <w:r w:rsidRPr="00237A2C">
        <w:t>nens löner och andra villkor genom att göra dessa frågor till föremål för kolle</w:t>
      </w:r>
      <w:r w:rsidRPr="00237A2C">
        <w:t>k</w:t>
      </w:r>
      <w:r w:rsidRPr="00237A2C">
        <w:t>tivavtal och därmed för förhandlingar mellan arbetsgivare och arbetstagare inom den offentliga sektorn. Ambitionen att minska detaljstyrningen av förvaltningen framtr</w:t>
      </w:r>
      <w:r w:rsidRPr="00237A2C">
        <w:t>ä</w:t>
      </w:r>
      <w:r w:rsidRPr="00237A2C">
        <w:t>der också, till exempel i diskussioner om programbudgetering.</w:t>
      </w:r>
    </w:p>
  </w:footnote>
  <w:footnote w:id="7">
    <w:p w:rsidR="00AE50BA" w:rsidRPr="00237A2C" w:rsidRDefault="00AE50BA">
      <w:pPr>
        <w:pStyle w:val="Fotnotstext"/>
      </w:pPr>
      <w:r w:rsidRPr="00237A2C">
        <w:rPr>
          <w:rStyle w:val="Fotnotsreferens"/>
        </w:rPr>
        <w:footnoteRef/>
      </w:r>
      <w:r w:rsidRPr="00237A2C">
        <w:t> Poängen med en sådan avgränsning utvecklas närmare i Wockelberg 1999, s. 9 ff. Möjligheten att dra några generella slutsatser om debatten utöver detta avgränsade område faller förstås bort. Genom att inte analysera debatten om affärsverken (för att nämna ett exempel) kan vi inte vara säkra på om den skiljer sig från den debatt som här studeras på fler punkter än den ovan nämnda (den ”innehållsliga” motiveringen till styrningsgraden).</w:t>
      </w:r>
    </w:p>
  </w:footnote>
  <w:footnote w:id="8">
    <w:p w:rsidR="00AE50BA" w:rsidRPr="00237A2C" w:rsidRDefault="00AE50BA">
      <w:pPr>
        <w:pStyle w:val="Fotnotstext"/>
      </w:pPr>
      <w:r w:rsidRPr="00237A2C">
        <w:rPr>
          <w:rStyle w:val="Fotnotsreferens"/>
        </w:rPr>
        <w:footnoteRef/>
      </w:r>
      <w:r w:rsidRPr="00237A2C">
        <w:t> I Wockelbergs kommande avhandling om 1900-talets idédebatt på området har debatter identifierats utifrån ett omfattande och brett formulerat sökförfarande. Den empiriska kännedomen om den parlamentariska debatten är därmed relativt god. Resultaten är att betrakta som preliminära.</w:t>
      </w:r>
    </w:p>
  </w:footnote>
  <w:footnote w:id="9">
    <w:p w:rsidR="00AE50BA" w:rsidRPr="00237A2C" w:rsidRDefault="00AE50BA">
      <w:pPr>
        <w:pStyle w:val="Fotnotstext"/>
      </w:pPr>
      <w:r w:rsidRPr="00237A2C">
        <w:rPr>
          <w:rStyle w:val="Fotnotsreferens"/>
        </w:rPr>
        <w:footnoteRef/>
      </w:r>
      <w:r w:rsidRPr="00237A2C">
        <w:t> Observera dock att ”partierna” i början av 1900-talet var mer lösliga sammanslu</w:t>
      </w:r>
      <w:r w:rsidRPr="00237A2C">
        <w:t>t</w:t>
      </w:r>
      <w:r w:rsidRPr="00237A2C">
        <w:t xml:space="preserve">ningar än vad de är idag. </w:t>
      </w:r>
    </w:p>
  </w:footnote>
  <w:footnote w:id="10">
    <w:p w:rsidR="00AE50BA" w:rsidRPr="00237A2C" w:rsidRDefault="00AE50BA">
      <w:pPr>
        <w:pStyle w:val="Fotnotstext"/>
      </w:pPr>
      <w:r w:rsidRPr="00237A2C">
        <w:rPr>
          <w:rStyle w:val="Fotnotsreferens"/>
        </w:rPr>
        <w:footnoteRef/>
      </w:r>
      <w:r w:rsidRPr="00237A2C">
        <w:t> För en utförligare beskrivning av förvaltningens roll i 1809 års regeringsform, se Wockelberg 1999, s. 21 ff och där anförda referenser.</w:t>
      </w:r>
    </w:p>
  </w:footnote>
  <w:footnote w:id="11">
    <w:p w:rsidR="00AE50BA" w:rsidRPr="00237A2C" w:rsidRDefault="00AE50BA">
      <w:pPr>
        <w:pStyle w:val="Fotnotstext"/>
      </w:pPr>
      <w:r w:rsidRPr="00237A2C">
        <w:rPr>
          <w:rStyle w:val="Fotnotsreferens"/>
        </w:rPr>
        <w:footnoteRef/>
      </w:r>
      <w:r w:rsidRPr="00237A2C">
        <w:t> Ett liknande förslag återkommer i debatten 1998, se nedan.</w:t>
      </w:r>
    </w:p>
  </w:footnote>
  <w:footnote w:id="12">
    <w:p w:rsidR="00AE50BA" w:rsidRPr="00237A2C" w:rsidRDefault="00AE50BA">
      <w:pPr>
        <w:pStyle w:val="Fotnotstext"/>
      </w:pPr>
      <w:r w:rsidRPr="00237A2C">
        <w:rPr>
          <w:rStyle w:val="Fotnotsreferens"/>
        </w:rPr>
        <w:footnoteRef/>
      </w:r>
      <w:r w:rsidRPr="00237A2C">
        <w:t> Departementalkommitterades betänkande, allmän del, s. 56.</w:t>
      </w:r>
    </w:p>
  </w:footnote>
  <w:footnote w:id="13">
    <w:p w:rsidR="00AE50BA" w:rsidRPr="00237A2C" w:rsidRDefault="00AE50BA">
      <w:pPr>
        <w:pStyle w:val="Fotnotstext"/>
      </w:pPr>
      <w:r w:rsidRPr="00237A2C">
        <w:rPr>
          <w:rStyle w:val="Fotnotsreferens"/>
        </w:rPr>
        <w:footnoteRef/>
      </w:r>
      <w:r w:rsidRPr="00237A2C">
        <w:t> Departementalkommitterades betänkande, allmän del, s. 56f, citat s. 57.</w:t>
      </w:r>
    </w:p>
  </w:footnote>
  <w:footnote w:id="14">
    <w:p w:rsidR="00AE50BA" w:rsidRPr="00237A2C" w:rsidRDefault="00AE50BA">
      <w:pPr>
        <w:pStyle w:val="Fotnotstext"/>
      </w:pPr>
      <w:r w:rsidRPr="00237A2C">
        <w:rPr>
          <w:rStyle w:val="Fotnotsreferens"/>
        </w:rPr>
        <w:footnoteRef/>
      </w:r>
      <w:r w:rsidRPr="00237A2C">
        <w:t> Departementalkommitterades betänkande, allmän del, s. 161 ff.</w:t>
      </w:r>
    </w:p>
  </w:footnote>
  <w:footnote w:id="15">
    <w:p w:rsidR="00AE50BA" w:rsidRPr="00237A2C" w:rsidRDefault="00AE50BA">
      <w:pPr>
        <w:pStyle w:val="Fotnotstext"/>
      </w:pPr>
      <w:r w:rsidRPr="00237A2C">
        <w:rPr>
          <w:rStyle w:val="Fotnotsreferens"/>
        </w:rPr>
        <w:footnoteRef/>
      </w:r>
      <w:r w:rsidRPr="00237A2C">
        <w:t> Departementalkommitterades betänkande, allmän del, s. 152 ff.</w:t>
      </w:r>
    </w:p>
  </w:footnote>
  <w:footnote w:id="16">
    <w:p w:rsidR="00AE50BA" w:rsidRPr="00237A2C" w:rsidRDefault="00AE50BA">
      <w:pPr>
        <w:pStyle w:val="Fotnotstext"/>
      </w:pPr>
      <w:r w:rsidRPr="00237A2C">
        <w:rPr>
          <w:rStyle w:val="Fotnotsreferens"/>
        </w:rPr>
        <w:footnoteRef/>
      </w:r>
      <w:r w:rsidRPr="00237A2C">
        <w:t> Departementalkommitterades betänkande, allmän del, s. 161 ff.</w:t>
      </w:r>
    </w:p>
  </w:footnote>
  <w:footnote w:id="17">
    <w:p w:rsidR="00AE50BA" w:rsidRPr="00237A2C" w:rsidRDefault="00AE50BA">
      <w:pPr>
        <w:pStyle w:val="Fotnotstext"/>
      </w:pPr>
      <w:r w:rsidRPr="00237A2C">
        <w:rPr>
          <w:rStyle w:val="Fotnotsreferens"/>
        </w:rPr>
        <w:footnoteRef/>
      </w:r>
      <w:r w:rsidRPr="00237A2C">
        <w:t> Departementalkommitterades betänkande, allmän del, s. 169.</w:t>
      </w:r>
    </w:p>
  </w:footnote>
  <w:footnote w:id="18">
    <w:p w:rsidR="00AE50BA" w:rsidRPr="00237A2C" w:rsidRDefault="00AE50BA">
      <w:pPr>
        <w:pStyle w:val="Fotnotstext"/>
      </w:pPr>
      <w:r w:rsidRPr="00237A2C">
        <w:rPr>
          <w:rStyle w:val="Fotnotsreferens"/>
        </w:rPr>
        <w:footnoteRef/>
      </w:r>
      <w:r w:rsidRPr="00237A2C">
        <w:t> Departementalkommitterades betänkande, allmän del, s</w:t>
      </w:r>
      <w:r w:rsidRPr="00237A2C">
        <w:rPr>
          <w:i/>
        </w:rPr>
        <w:t>.</w:t>
      </w:r>
      <w:r w:rsidRPr="00237A2C">
        <w:t xml:space="preserve"> 172 ff.</w:t>
      </w:r>
    </w:p>
  </w:footnote>
  <w:footnote w:id="19">
    <w:p w:rsidR="00AE50BA" w:rsidRPr="00237A2C" w:rsidRDefault="00AE50BA">
      <w:pPr>
        <w:pStyle w:val="Fotnotstext"/>
      </w:pPr>
      <w:r w:rsidRPr="00237A2C">
        <w:rPr>
          <w:rStyle w:val="Fotnotsreferens"/>
        </w:rPr>
        <w:footnoteRef/>
      </w:r>
      <w:r w:rsidRPr="00237A2C">
        <w:t> Det heter att verkens beslutanderätt inte får hindra departementscheferna från att ha ”ett tillräckligt inflytande å ärendenas handläggning inom verken”. Vad som avses med ”tillräckligt inflytande” preciseras inte. Se Departementalkommitterades betä</w:t>
      </w:r>
      <w:r w:rsidRPr="00237A2C">
        <w:t>n</w:t>
      </w:r>
      <w:r w:rsidRPr="00237A2C">
        <w:t>kande, allmän del, s</w:t>
      </w:r>
      <w:r w:rsidRPr="00237A2C">
        <w:rPr>
          <w:i/>
        </w:rPr>
        <w:t>.</w:t>
      </w:r>
      <w:r w:rsidRPr="00237A2C">
        <w:t xml:space="preserve"> 173.</w:t>
      </w:r>
    </w:p>
  </w:footnote>
  <w:footnote w:id="20">
    <w:p w:rsidR="00AE50BA" w:rsidRPr="00237A2C" w:rsidRDefault="00AE50BA">
      <w:pPr>
        <w:pStyle w:val="Fotnotstext"/>
      </w:pPr>
      <w:r w:rsidRPr="00237A2C">
        <w:rPr>
          <w:rStyle w:val="Fotnotsreferens"/>
        </w:rPr>
        <w:footnoteRef/>
      </w:r>
      <w:r w:rsidRPr="00237A2C">
        <w:t> Detta har tidigare konstaterats av bland andra Söderlind och Petersson 1988, s. 66 f.</w:t>
      </w:r>
    </w:p>
  </w:footnote>
  <w:footnote w:id="21">
    <w:p w:rsidR="00AE50BA" w:rsidRPr="00237A2C" w:rsidRDefault="00AE50BA">
      <w:pPr>
        <w:pStyle w:val="Fotnotstext"/>
      </w:pPr>
      <w:r w:rsidRPr="00237A2C">
        <w:rPr>
          <w:rStyle w:val="Fotnotsreferens"/>
        </w:rPr>
        <w:footnoteRef/>
      </w:r>
      <w:r w:rsidRPr="00237A2C">
        <w:t> Prop:79 1914, KU:15 1914. Se också FK:50(d) 1914 s. 12 ff och AK:57(d), s. 5 ff.</w:t>
      </w:r>
    </w:p>
  </w:footnote>
  <w:footnote w:id="22">
    <w:p w:rsidR="00AE50BA" w:rsidRPr="00237A2C" w:rsidRDefault="00AE50BA">
      <w:pPr>
        <w:pStyle w:val="Fotnotstext"/>
      </w:pPr>
      <w:r w:rsidRPr="00237A2C">
        <w:rPr>
          <w:rStyle w:val="Fotnotsreferens"/>
        </w:rPr>
        <w:footnoteRef/>
      </w:r>
      <w:r w:rsidRPr="00237A2C">
        <w:t> Mot. FK:66 1923, FK andra TfU:5 1923 samt FK:20(d) 1923: s. 38 ff.</w:t>
      </w:r>
    </w:p>
  </w:footnote>
  <w:footnote w:id="23">
    <w:p w:rsidR="00AE50BA" w:rsidRPr="00237A2C" w:rsidRDefault="00AE50BA">
      <w:pPr>
        <w:pStyle w:val="Fotnotstext"/>
      </w:pPr>
      <w:r w:rsidRPr="00237A2C">
        <w:rPr>
          <w:rStyle w:val="Fotnotsreferens"/>
        </w:rPr>
        <w:footnoteRef/>
      </w:r>
      <w:r w:rsidRPr="00237A2C">
        <w:t xml:space="preserve"> Mot. AK:208 1905, AK fjärde TfU:29 1905 samt AK:56(d) 1905, s. 51 ff. </w:t>
      </w:r>
    </w:p>
  </w:footnote>
  <w:footnote w:id="24">
    <w:p w:rsidR="00AE50BA" w:rsidRPr="00237A2C" w:rsidRDefault="00AE50BA">
      <w:pPr>
        <w:pStyle w:val="Fotnotstext"/>
      </w:pPr>
      <w:r w:rsidRPr="00237A2C">
        <w:rPr>
          <w:rStyle w:val="Fotnotsreferens"/>
        </w:rPr>
        <w:footnoteRef/>
      </w:r>
      <w:r w:rsidRPr="00237A2C">
        <w:t> Den drivande debattören är i denna fråga den i dessa sammanhang så flitige Carl Lindhagen som gjorde flera inlägg åren 1911, 1920 och 1923. Lindhagen är kritisk till vad han formulerar som ett slags kollapsad maktdelningstanke, där ämbetsverken misslyckas med att balansera den politiska makten och istället går dess ärenden. År 1920 utgör dock ett undantag. Då är Lindhagen optimistisk över parlamentarismens införande och menar att motsättningen mellan regeringsmakten och ämbetsverken är överspelad. Se AK:5(</w:t>
      </w:r>
      <w:r w:rsidRPr="00237A2C">
        <w:t>i) 1911, s. 40 ff och AK:10(d) 1911, s. 5 ff; mot. FK:223 1920, KU:31 1920, FK:36(d) 1920, s. 72 ff samt AK:41, s. 39 ff; mot. FK:162 1923, KU:12 1923, FK:18(d) 1923, s. 3ff samt AK:18(d) 1923, s. 29 ff.</w:t>
      </w:r>
    </w:p>
  </w:footnote>
  <w:footnote w:id="25">
    <w:p w:rsidR="00AE50BA" w:rsidRPr="00237A2C" w:rsidRDefault="00AE50BA">
      <w:pPr>
        <w:pStyle w:val="Fotnotstext"/>
      </w:pPr>
      <w:r w:rsidRPr="00237A2C">
        <w:rPr>
          <w:rStyle w:val="Fotnotsreferens"/>
        </w:rPr>
        <w:footnoteRef/>
      </w:r>
      <w:r w:rsidRPr="00237A2C">
        <w:t> KU:31, memorial, 1914, FK:67(d) 1914, s. 8 ff samt AK:75(d) 1914, s. 34 ff.</w:t>
      </w:r>
    </w:p>
  </w:footnote>
  <w:footnote w:id="26">
    <w:p w:rsidR="00AE50BA" w:rsidRPr="00237A2C" w:rsidRDefault="00AE50BA">
      <w:pPr>
        <w:pStyle w:val="Fotnotstext"/>
      </w:pPr>
      <w:r w:rsidRPr="00237A2C">
        <w:rPr>
          <w:rStyle w:val="Fotnotsreferens"/>
        </w:rPr>
        <w:footnoteRef/>
      </w:r>
      <w:r w:rsidRPr="00237A2C">
        <w:t> Lagspråkets kvalitet och behovet av förenkling förespråkades i en motion 1920. Förslagen vann föga gehör. Den juridiska terminologin ansågs nödvändig och oun</w:t>
      </w:r>
      <w:r w:rsidRPr="00237A2C">
        <w:t>d</w:t>
      </w:r>
      <w:r w:rsidRPr="00237A2C">
        <w:t>viklig, eller som en av debattörerna uttryckte det ”man kan icke skriva lagar på samma sätt som man skriver romaner”. AK:43(d) 1920, s. 51. Se vidare mot. AK:213 1920, AK första TfU:8 1920 samt AK:43(d) 1920, s. 42 ff.</w:t>
      </w:r>
    </w:p>
  </w:footnote>
  <w:footnote w:id="27">
    <w:p w:rsidR="00AE50BA" w:rsidRPr="00237A2C" w:rsidRDefault="00AE50BA">
      <w:pPr>
        <w:pStyle w:val="Fotnotstext"/>
      </w:pPr>
      <w:r w:rsidRPr="00237A2C">
        <w:rPr>
          <w:rStyle w:val="Fotnotsreferens"/>
        </w:rPr>
        <w:footnoteRef/>
      </w:r>
      <w:r w:rsidRPr="00237A2C">
        <w:t> En mer ingående analys av denna debatt finns i Wockelberg 1999. Stycket om styrning genom rekrytering bygger på denna undersökning. Här redovisas främst slutsatserna.</w:t>
      </w:r>
    </w:p>
  </w:footnote>
  <w:footnote w:id="28">
    <w:p w:rsidR="00AE50BA" w:rsidRPr="00237A2C" w:rsidRDefault="00AE50BA">
      <w:pPr>
        <w:pStyle w:val="Fotnotstext"/>
      </w:pPr>
      <w:r w:rsidRPr="00237A2C">
        <w:rPr>
          <w:rStyle w:val="Fotnotsreferens"/>
        </w:rPr>
        <w:footnoteRef/>
      </w:r>
      <w:r w:rsidRPr="00237A2C">
        <w:t> Se Wockelberg 1999, s. 48 ff och där anförda referenser.</w:t>
      </w:r>
    </w:p>
  </w:footnote>
  <w:footnote w:id="29">
    <w:p w:rsidR="00AE50BA" w:rsidRPr="00237A2C" w:rsidRDefault="00AE50BA">
      <w:pPr>
        <w:pStyle w:val="Fotnotstext"/>
      </w:pPr>
      <w:r w:rsidRPr="00237A2C">
        <w:rPr>
          <w:rStyle w:val="Fotnotsreferens"/>
        </w:rPr>
        <w:footnoteRef/>
      </w:r>
      <w:r w:rsidRPr="00237A2C">
        <w:t> Wockelberg 1999.</w:t>
      </w:r>
    </w:p>
  </w:footnote>
  <w:footnote w:id="30">
    <w:p w:rsidR="00AE50BA" w:rsidRPr="00237A2C" w:rsidRDefault="00AE50BA">
      <w:pPr>
        <w:pStyle w:val="Fotnotstext"/>
      </w:pPr>
      <w:r w:rsidRPr="00237A2C">
        <w:rPr>
          <w:rStyle w:val="Fotnotsreferens"/>
        </w:rPr>
        <w:footnoteRef/>
      </w:r>
      <w:r w:rsidRPr="00237A2C">
        <w:t> Se KU:4, memorial, 1904, FK:34(d) 1904. s. 2ff och AK:39(d) 1904. s. 3 ff; prop:37 1908, KU:10 1908, FK:10(d) 1908, s. 18ff, FK:42(d) 1908, s. 16 ff samt AK:51(d) 1908, s. 59  ff; prop:11 1909, LU:15 1909, FK:8 1909, s. 12 samt AK:21 1909, s. 6; mot. AK:90 1910, FK andra TfU:31 1910, AK andra TfU:42 1910, FK:34, s. 66 samt AK:42, s. 55; AK:18(i) 1910, s. 2 ff och AK:32(d) 1910, s. 1 ff; prop:287 1913, LU:39 1913, FK:40, s. 32 samt AK:57, s. 79; prop:8 1925, mot. FK:127, 128 1926, mot. AK:218, 281 1926, sam</w:t>
      </w:r>
      <w:r w:rsidRPr="00237A2C">
        <w:t xml:space="preserve">mansatta stats- och lagutskottet:4 1926, FK:10(d) 1926, s. 3 ff samt AK:10(d) 1926, s. 43 ff. För debatten om </w:t>
      </w:r>
      <w:r w:rsidRPr="00237A2C">
        <w:rPr>
          <w:i/>
        </w:rPr>
        <w:t>instansordningen</w:t>
      </w:r>
      <w:r w:rsidRPr="00237A2C">
        <w:t xml:space="preserve"> se: mot. FK:35 1922, FK första TfU:12 1922, AK femte TfU:9 1922, FK:30(d) 1922, s. 28 ff samt AK:48, s. 114; prop:121 1924, mot. FK:279, 280 1924, statsutskottet:128 1924, FK:44(d) 1924, s. 30 ff samt AK:43, s. 64; prop:96 1925, första lagutskottet:23 1925, FK:24 1925, s. 8 samt AK:27 1925, s. 6.</w:t>
      </w:r>
    </w:p>
  </w:footnote>
  <w:footnote w:id="31">
    <w:p w:rsidR="00AE50BA" w:rsidRPr="00237A2C" w:rsidRDefault="00AE50BA">
      <w:pPr>
        <w:pStyle w:val="Fotnotstext"/>
      </w:pPr>
      <w:r w:rsidRPr="00237A2C">
        <w:rPr>
          <w:rStyle w:val="Fotnotsreferens"/>
        </w:rPr>
        <w:footnoteRef/>
      </w:r>
      <w:r w:rsidRPr="00237A2C">
        <w:t> Se Wockelberg 2000, s.15 ff och där anförda referenser.</w:t>
      </w:r>
    </w:p>
  </w:footnote>
  <w:footnote w:id="32">
    <w:p w:rsidR="00AE50BA" w:rsidRPr="00237A2C" w:rsidRDefault="00AE50BA">
      <w:pPr>
        <w:pStyle w:val="Fotnotstext"/>
      </w:pPr>
      <w:r w:rsidRPr="00237A2C">
        <w:rPr>
          <w:rStyle w:val="Fotnotsreferens"/>
        </w:rPr>
        <w:footnoteRef/>
      </w:r>
      <w:r w:rsidRPr="00237A2C">
        <w:t> De analyser och tolkningar som presenteras i huvudbetänkandet, SOU 1983:39, satte tydliga spår i till exempel den så kallade Verksledningskommitténs arbete (SOU 1985:40) och i det stora förvaltningspolitiska beslutet 1987, se Wockelberg 1996.</w:t>
      </w:r>
    </w:p>
  </w:footnote>
  <w:footnote w:id="33">
    <w:p w:rsidR="00AE50BA" w:rsidRPr="00237A2C" w:rsidRDefault="00AE50BA">
      <w:pPr>
        <w:pStyle w:val="Fotnotstext"/>
      </w:pPr>
      <w:r w:rsidRPr="00237A2C">
        <w:rPr>
          <w:rStyle w:val="Fotnotsreferens"/>
        </w:rPr>
        <w:footnoteRef/>
      </w:r>
      <w:r w:rsidRPr="00237A2C">
        <w:t> Wockelberg har utvecklat hypoteser om varför Civildepartementet inrättades. D</w:t>
      </w:r>
      <w:r w:rsidRPr="00237A2C">
        <w:t>e</w:t>
      </w:r>
      <w:r w:rsidRPr="00237A2C">
        <w:t>partementsreformen betraktas här som resultatet av ett strategiskt spel på främst den interna arenan och väljararenan. Se Wockelberg 2000, s. 15 ff.</w:t>
      </w:r>
    </w:p>
  </w:footnote>
  <w:footnote w:id="34">
    <w:p w:rsidR="00AE50BA" w:rsidRPr="00237A2C" w:rsidRDefault="00AE50BA">
      <w:pPr>
        <w:pStyle w:val="Fotnotstext"/>
      </w:pPr>
      <w:r w:rsidRPr="00237A2C">
        <w:rPr>
          <w:rStyle w:val="Fotnotsreferens"/>
        </w:rPr>
        <w:footnoteRef/>
      </w:r>
      <w:r w:rsidRPr="00237A2C">
        <w:t> SOU 1983:39, s. 95 ff.</w:t>
      </w:r>
    </w:p>
  </w:footnote>
  <w:footnote w:id="35">
    <w:p w:rsidR="00AE50BA" w:rsidRPr="00237A2C" w:rsidRDefault="00AE50BA">
      <w:pPr>
        <w:pStyle w:val="Fotnotstext"/>
      </w:pPr>
      <w:r w:rsidRPr="00237A2C">
        <w:rPr>
          <w:rStyle w:val="Fotnotsreferens"/>
        </w:rPr>
        <w:footnoteRef/>
      </w:r>
      <w:r w:rsidRPr="00237A2C">
        <w:t> Paragrafen lyder: ”Ingen myndighet, ej heller riksdagen eller kommuns beslutande organ, får bestämma, hur förvaltningsmyndighet skall i särskilt fall besluta i ärende som rör myndighetsutövning mot enskild eller mot kommun eller som rör tillämpning av lag.”</w:t>
      </w:r>
    </w:p>
  </w:footnote>
  <w:footnote w:id="36">
    <w:p w:rsidR="00AE50BA" w:rsidRPr="00237A2C" w:rsidRDefault="00AE50BA">
      <w:pPr>
        <w:pStyle w:val="Fotnotstext"/>
      </w:pPr>
      <w:r w:rsidRPr="00237A2C">
        <w:rPr>
          <w:rStyle w:val="Fotnotsreferens"/>
        </w:rPr>
        <w:footnoteRef/>
      </w:r>
      <w:r w:rsidRPr="00237A2C">
        <w:t xml:space="preserve"> SOU 1983:39, s. 98 ff. </w:t>
      </w:r>
    </w:p>
  </w:footnote>
  <w:footnote w:id="37">
    <w:p w:rsidR="00AE50BA" w:rsidRPr="00237A2C" w:rsidRDefault="00AE50BA">
      <w:pPr>
        <w:pStyle w:val="Fotnotstext"/>
      </w:pPr>
      <w:r w:rsidRPr="00237A2C">
        <w:rPr>
          <w:rStyle w:val="Fotnotsreferens"/>
        </w:rPr>
        <w:footnoteRef/>
      </w:r>
      <w:r w:rsidRPr="00237A2C">
        <w:t> SOU 1983:39, s. 63 ff.</w:t>
      </w:r>
    </w:p>
  </w:footnote>
  <w:footnote w:id="38">
    <w:p w:rsidR="00AE50BA" w:rsidRPr="00237A2C" w:rsidRDefault="00AE50BA">
      <w:pPr>
        <w:pStyle w:val="Fotnotstext"/>
      </w:pPr>
      <w:r w:rsidRPr="00237A2C">
        <w:rPr>
          <w:rStyle w:val="Fotnotsreferens"/>
        </w:rPr>
        <w:footnoteRef/>
      </w:r>
      <w:r w:rsidRPr="00237A2C">
        <w:t> SOU 1983:39, s. 95 f.</w:t>
      </w:r>
    </w:p>
  </w:footnote>
  <w:footnote w:id="39">
    <w:p w:rsidR="00AE50BA" w:rsidRPr="00237A2C" w:rsidRDefault="00AE50BA">
      <w:pPr>
        <w:pStyle w:val="Fotnotstext"/>
      </w:pPr>
      <w:r w:rsidRPr="00237A2C">
        <w:rPr>
          <w:rStyle w:val="Fotnotsreferens"/>
        </w:rPr>
        <w:footnoteRef/>
      </w:r>
      <w:r w:rsidRPr="00237A2C">
        <w:t> Prop. 1986/87:99, s. 24 ff. Verksledningskommittén påpekade dock att man vid kontakter avseende det område som regleras i RF 11:7 måste iaktta stor försiktighet, se SOU 1985:40, s. 91 ff.</w:t>
      </w:r>
    </w:p>
  </w:footnote>
  <w:footnote w:id="40">
    <w:p w:rsidR="00AE50BA" w:rsidRPr="00237A2C" w:rsidRDefault="00AE50BA">
      <w:pPr>
        <w:pStyle w:val="Fotnotstext"/>
      </w:pPr>
      <w:r w:rsidRPr="00237A2C">
        <w:rPr>
          <w:rStyle w:val="Fotnotsreferens"/>
        </w:rPr>
        <w:footnoteRef/>
      </w:r>
      <w:r w:rsidRPr="00237A2C">
        <w:t> Mot. 1986/87: K 112, KU 1986/87:29, s.48.</w:t>
      </w:r>
    </w:p>
  </w:footnote>
  <w:footnote w:id="41">
    <w:p w:rsidR="00AE50BA" w:rsidRPr="00237A2C" w:rsidRDefault="00AE50BA">
      <w:pPr>
        <w:pStyle w:val="Fotnotstext"/>
      </w:pPr>
      <w:r w:rsidRPr="00237A2C">
        <w:rPr>
          <w:rStyle w:val="Fotnotsreferens"/>
        </w:rPr>
        <w:footnoteRef/>
      </w:r>
      <w:r w:rsidRPr="00237A2C">
        <w:t> Se mot. 1986/87: K 109 (fp), 113 (c) och115 (m), 1986/87: KU 1986/87:29 s. 47 ff samt prot. 1986/87: 122 (d). Citatet är från prot. 1986/87: 122 (d), s. 4.</w:t>
      </w:r>
    </w:p>
  </w:footnote>
  <w:footnote w:id="42">
    <w:p w:rsidR="00AE50BA" w:rsidRPr="00237A2C" w:rsidRDefault="00AE50BA">
      <w:pPr>
        <w:pStyle w:val="Fotnotstext"/>
      </w:pPr>
      <w:r w:rsidRPr="00237A2C">
        <w:rPr>
          <w:rStyle w:val="Fotnotsreferens"/>
        </w:rPr>
        <w:footnoteRef/>
      </w:r>
      <w:r w:rsidRPr="00237A2C">
        <w:t> KU 1986/87:29, s. 47f, mot. 1986/87: K 113 (c), 115 (m) samt prot. 1986/87:122(d), s. 4 ff.</w:t>
      </w:r>
    </w:p>
  </w:footnote>
  <w:footnote w:id="43">
    <w:p w:rsidR="00AE50BA" w:rsidRPr="00237A2C" w:rsidRDefault="00AE50BA">
      <w:pPr>
        <w:pStyle w:val="Fotnotstext"/>
      </w:pPr>
      <w:r w:rsidRPr="00237A2C">
        <w:rPr>
          <w:rStyle w:val="Fotnotsreferens"/>
        </w:rPr>
        <w:footnoteRef/>
      </w:r>
      <w:r w:rsidRPr="00237A2C">
        <w:t> Mot. 1986/87: K 112, prot. 1986/87: 122(d), s. 13 ff.</w:t>
      </w:r>
    </w:p>
  </w:footnote>
  <w:footnote w:id="44">
    <w:p w:rsidR="00AE50BA" w:rsidRPr="00237A2C" w:rsidRDefault="00AE50BA">
      <w:pPr>
        <w:pStyle w:val="Fotnotstext"/>
      </w:pPr>
      <w:r w:rsidRPr="00237A2C">
        <w:rPr>
          <w:rStyle w:val="Fotnotsreferens"/>
        </w:rPr>
        <w:footnoteRef/>
      </w:r>
      <w:r w:rsidRPr="00237A2C">
        <w:t> Prop. 1986/87:99, s. 14 ff, 24 ff. Citat s. 16.</w:t>
      </w:r>
    </w:p>
  </w:footnote>
  <w:footnote w:id="45">
    <w:p w:rsidR="00AE50BA" w:rsidRPr="00237A2C" w:rsidRDefault="00AE50BA">
      <w:pPr>
        <w:pStyle w:val="Fotnotstext"/>
      </w:pPr>
      <w:r w:rsidRPr="00237A2C">
        <w:rPr>
          <w:rStyle w:val="Fotnotsreferens"/>
        </w:rPr>
        <w:footnoteRef/>
      </w:r>
      <w:r w:rsidRPr="00237A2C">
        <w:t> Styrningsformer diskuteras genomgående i propositionen, se dock särskilt prop. 1986/87:99, s. 9ff, 16ff, 28ff och 34ff.</w:t>
      </w:r>
    </w:p>
  </w:footnote>
  <w:footnote w:id="46">
    <w:p w:rsidR="00AE50BA" w:rsidRPr="00237A2C" w:rsidRDefault="00AE50BA">
      <w:pPr>
        <w:pStyle w:val="Fotnotstext"/>
      </w:pPr>
      <w:r w:rsidRPr="00237A2C">
        <w:rPr>
          <w:rStyle w:val="Fotnotsreferens"/>
        </w:rPr>
        <w:footnoteRef/>
      </w:r>
      <w:r w:rsidRPr="00237A2C">
        <w:t> KU 1986/87:29, s. 49 (gemensam reservation m, fp och c).</w:t>
      </w:r>
    </w:p>
  </w:footnote>
  <w:footnote w:id="47">
    <w:p w:rsidR="00AE50BA" w:rsidRPr="00237A2C" w:rsidRDefault="00AE50BA">
      <w:pPr>
        <w:pStyle w:val="Fotnotstext"/>
      </w:pPr>
      <w:r w:rsidRPr="00237A2C">
        <w:rPr>
          <w:rStyle w:val="Fotnotsreferens"/>
        </w:rPr>
        <w:footnoteRef/>
      </w:r>
      <w:r w:rsidRPr="00237A2C">
        <w:t> Prop. 1986/87:99, s. 27 ff, prot. 1986/87:122(d), s. 29, 32.</w:t>
      </w:r>
    </w:p>
  </w:footnote>
  <w:footnote w:id="48">
    <w:p w:rsidR="00AE50BA" w:rsidRPr="00237A2C" w:rsidRDefault="00AE50BA">
      <w:pPr>
        <w:pStyle w:val="Fotnotstext"/>
      </w:pPr>
      <w:r w:rsidRPr="00237A2C">
        <w:rPr>
          <w:rStyle w:val="Fotnotsreferens"/>
        </w:rPr>
        <w:footnoteRef/>
      </w:r>
      <w:r w:rsidRPr="00237A2C">
        <w:t> KU 1986/87:29, s. 48f, mot. 1986/87: K 113(c), 115 (m). Citatet är från mot. 1986/87: K 113, s. 1.</w:t>
      </w:r>
    </w:p>
  </w:footnote>
  <w:footnote w:id="49">
    <w:p w:rsidR="00AE50BA" w:rsidRPr="00237A2C" w:rsidRDefault="00AE50BA">
      <w:pPr>
        <w:pStyle w:val="Fotnotstext"/>
      </w:pPr>
      <w:r w:rsidRPr="00237A2C">
        <w:rPr>
          <w:rStyle w:val="Fotnotsreferens"/>
        </w:rPr>
        <w:footnoteRef/>
      </w:r>
      <w:r w:rsidRPr="00237A2C">
        <w:t> Prop. 1986/87:99, s. 33.</w:t>
      </w:r>
    </w:p>
  </w:footnote>
  <w:footnote w:id="50">
    <w:p w:rsidR="00AE50BA" w:rsidRPr="00237A2C" w:rsidRDefault="00AE50BA">
      <w:pPr>
        <w:pStyle w:val="Fotnotstext"/>
      </w:pPr>
      <w:r w:rsidRPr="00237A2C">
        <w:rPr>
          <w:rStyle w:val="Fotnotsreferens"/>
        </w:rPr>
        <w:footnoteRef/>
      </w:r>
      <w:r w:rsidRPr="00237A2C">
        <w:t> Prop. 1986/87:99, s. 82 ff, citat s. 88.</w:t>
      </w:r>
    </w:p>
  </w:footnote>
  <w:footnote w:id="51">
    <w:p w:rsidR="00AE50BA" w:rsidRPr="00237A2C" w:rsidRDefault="00AE50BA">
      <w:pPr>
        <w:pStyle w:val="Fotnotstext"/>
      </w:pPr>
      <w:r w:rsidRPr="00237A2C">
        <w:rPr>
          <w:rStyle w:val="Fotnotsreferens"/>
        </w:rPr>
        <w:footnoteRef/>
      </w:r>
      <w:r w:rsidRPr="00237A2C">
        <w:t> Prop. 1986/87:99, s. 82 ff.</w:t>
      </w:r>
    </w:p>
  </w:footnote>
  <w:footnote w:id="52">
    <w:p w:rsidR="00AE50BA" w:rsidRPr="00237A2C" w:rsidRDefault="00AE50BA">
      <w:pPr>
        <w:pStyle w:val="Fotnotstext"/>
      </w:pPr>
      <w:r w:rsidRPr="00237A2C">
        <w:rPr>
          <w:rStyle w:val="Fotnotsreferens"/>
        </w:rPr>
        <w:footnoteRef/>
      </w:r>
      <w:r w:rsidRPr="00237A2C">
        <w:t> Prop. 1986/87:99, s. 21.</w:t>
      </w:r>
    </w:p>
  </w:footnote>
  <w:footnote w:id="53">
    <w:p w:rsidR="00AE50BA" w:rsidRPr="00237A2C" w:rsidRDefault="00AE50BA">
      <w:pPr>
        <w:pStyle w:val="Fotnotstext"/>
      </w:pPr>
      <w:r w:rsidRPr="00237A2C">
        <w:rPr>
          <w:rStyle w:val="Fotnotsreferens"/>
        </w:rPr>
        <w:footnoteRef/>
      </w:r>
      <w:r w:rsidRPr="00237A2C">
        <w:t> Mot. 1986/87:K112, KU 1986/87:29, s. 55, prot. 1986/87:122(d), s. 13 ff.</w:t>
      </w:r>
    </w:p>
  </w:footnote>
  <w:footnote w:id="54">
    <w:p w:rsidR="00AE50BA" w:rsidRPr="00237A2C" w:rsidRDefault="00AE50BA">
      <w:pPr>
        <w:pStyle w:val="Fotnotstext"/>
      </w:pPr>
      <w:r w:rsidRPr="00237A2C">
        <w:rPr>
          <w:rStyle w:val="Fotnotsreferens"/>
        </w:rPr>
        <w:footnoteRef/>
      </w:r>
      <w:r w:rsidRPr="00237A2C">
        <w:t> KU 1986/87:29, s. 52ff, mot. 1986/87: K 111 (fp), 115 (m).</w:t>
      </w:r>
    </w:p>
  </w:footnote>
  <w:footnote w:id="55">
    <w:p w:rsidR="00AE50BA" w:rsidRPr="00237A2C" w:rsidRDefault="00AE50BA">
      <w:pPr>
        <w:pStyle w:val="Fotnotstext"/>
      </w:pPr>
      <w:r w:rsidRPr="00237A2C">
        <w:rPr>
          <w:rStyle w:val="Fotnotsreferens"/>
        </w:rPr>
        <w:footnoteRef/>
      </w:r>
      <w:r w:rsidRPr="00237A2C">
        <w:t> Mot. 1986/87: K 113 (c). Bertil Fiskesjö (c) menade att hantera propositionen var som att ”boxas med en amöba – det är svårt att träffa och om man träffar så känner man inte riktigt av det.” Se prot. 1986/87:122(d), s. 10.</w:t>
      </w:r>
    </w:p>
  </w:footnote>
  <w:footnote w:id="56">
    <w:p w:rsidR="00AE50BA" w:rsidRPr="00237A2C" w:rsidRDefault="00AE50BA">
      <w:pPr>
        <w:pStyle w:val="Fotnotstext"/>
      </w:pPr>
      <w:r w:rsidRPr="00237A2C">
        <w:rPr>
          <w:rStyle w:val="Fotnotsreferens"/>
        </w:rPr>
        <w:footnoteRef/>
      </w:r>
      <w:r w:rsidRPr="00237A2C">
        <w:t xml:space="preserve"> Prop. 1993/94:185, citat s. 9. Som underlag för propositionen fungerade Kommittén om förvaltningsmyndigheternas ledningsformers betänkande ”Effektivare ledning i statliga myndigheter”, SOU 1993:58. </w:t>
      </w:r>
    </w:p>
  </w:footnote>
  <w:footnote w:id="57">
    <w:p w:rsidR="00AE50BA" w:rsidRPr="00237A2C" w:rsidRDefault="00AE50BA">
      <w:pPr>
        <w:pStyle w:val="Fotnotstext"/>
      </w:pPr>
      <w:r w:rsidRPr="00237A2C">
        <w:rPr>
          <w:rStyle w:val="Fotnotsreferens"/>
        </w:rPr>
        <w:footnoteRef/>
      </w:r>
      <w:r w:rsidRPr="00237A2C">
        <w:t> KU 1993/94:42.</w:t>
      </w:r>
    </w:p>
  </w:footnote>
  <w:footnote w:id="58">
    <w:p w:rsidR="00AE50BA" w:rsidRPr="00237A2C" w:rsidRDefault="00AE50BA">
      <w:pPr>
        <w:pStyle w:val="Fotnotstext"/>
      </w:pPr>
      <w:r w:rsidRPr="00237A2C">
        <w:rPr>
          <w:rStyle w:val="Fotnotsreferens"/>
        </w:rPr>
        <w:footnoteRef/>
      </w:r>
      <w:r w:rsidRPr="00237A2C">
        <w:t> Prop. 1993/94:185.</w:t>
      </w:r>
    </w:p>
  </w:footnote>
  <w:footnote w:id="59">
    <w:p w:rsidR="00AE50BA" w:rsidRPr="00237A2C" w:rsidRDefault="00AE50BA">
      <w:pPr>
        <w:pStyle w:val="Fotnotstext"/>
      </w:pPr>
      <w:r w:rsidRPr="00237A2C">
        <w:rPr>
          <w:rStyle w:val="Fotnotsreferens"/>
        </w:rPr>
        <w:footnoteRef/>
      </w:r>
      <w:r w:rsidRPr="00237A2C">
        <w:t> Mot. 1993/94:K64, citat s. 1.</w:t>
      </w:r>
    </w:p>
  </w:footnote>
  <w:footnote w:id="60">
    <w:p w:rsidR="00AE50BA" w:rsidRPr="00237A2C" w:rsidRDefault="00AE50BA">
      <w:pPr>
        <w:pStyle w:val="Fotnotstext"/>
      </w:pPr>
      <w:r w:rsidRPr="00237A2C">
        <w:rPr>
          <w:rStyle w:val="Fotnotsreferens"/>
        </w:rPr>
        <w:footnoteRef/>
      </w:r>
      <w:r w:rsidRPr="00237A2C">
        <w:t> Ledningsfrågan var föremål för debatt och reformering också två år tidigare, 1992. Debatten kretsade i huvudsak kring huruvida SAF:s avhopp från verksstyrelserna kunde motivera att det korporativa inslaget i dessa styrelser helt avskaffades, och var inte särskilt principiellt inriktad. Av utrymmesskäl diskuteras den därför inte här. För en analys av 1992 års verksledningsdebatt se istället Wockelberg 1996. Se vidare prop. 1991/92:123, 1991/92:KU36 samt prot. 1991/92:123(d), s. 112 ff.</w:t>
      </w:r>
    </w:p>
  </w:footnote>
  <w:footnote w:id="61">
    <w:p w:rsidR="00AE50BA" w:rsidRPr="00237A2C" w:rsidRDefault="00AE50BA">
      <w:pPr>
        <w:pStyle w:val="Fotnotstext"/>
      </w:pPr>
      <w:r w:rsidRPr="00237A2C">
        <w:rPr>
          <w:rStyle w:val="Fotnotsreferens"/>
        </w:rPr>
        <w:footnoteRef/>
      </w:r>
      <w:r w:rsidRPr="00237A2C">
        <w:t> Prop. 1993/94:185, s. 22.</w:t>
      </w:r>
    </w:p>
  </w:footnote>
  <w:footnote w:id="62">
    <w:p w:rsidR="00AE50BA" w:rsidRPr="00237A2C" w:rsidRDefault="00AE50BA">
      <w:pPr>
        <w:pStyle w:val="Fotnotstext"/>
      </w:pPr>
      <w:r w:rsidRPr="00237A2C">
        <w:rPr>
          <w:rStyle w:val="Fotnotsreferens"/>
        </w:rPr>
        <w:footnoteRef/>
      </w:r>
      <w:r w:rsidRPr="00237A2C">
        <w:t> SOU 1993:58, s. 47ff.</w:t>
      </w:r>
    </w:p>
  </w:footnote>
  <w:footnote w:id="63">
    <w:p w:rsidR="00AE50BA" w:rsidRPr="00237A2C" w:rsidRDefault="00AE50BA">
      <w:pPr>
        <w:pStyle w:val="Fotnotstext"/>
      </w:pPr>
      <w:r w:rsidRPr="00237A2C">
        <w:rPr>
          <w:rStyle w:val="Fotnotsreferens"/>
        </w:rPr>
        <w:footnoteRef/>
      </w:r>
      <w:r w:rsidRPr="00237A2C">
        <w:t> Prop. 1993/94:185, s. 12.</w:t>
      </w:r>
    </w:p>
  </w:footnote>
  <w:footnote w:id="64">
    <w:p w:rsidR="00AE50BA" w:rsidRPr="00237A2C" w:rsidRDefault="00AE50BA">
      <w:pPr>
        <w:pStyle w:val="Fotnotstext"/>
      </w:pPr>
      <w:r w:rsidRPr="00237A2C">
        <w:rPr>
          <w:rStyle w:val="Fotnotsreferens"/>
        </w:rPr>
        <w:footnoteRef/>
      </w:r>
      <w:r w:rsidRPr="00237A2C">
        <w:t> Mot. 1993/94: K 64, citat s. 2, KU 1993/94: 42, s. 11 f samt prot. 1993/94:115, s. 127 ff.</w:t>
      </w:r>
    </w:p>
  </w:footnote>
  <w:footnote w:id="65">
    <w:p w:rsidR="00AE50BA" w:rsidRPr="00237A2C" w:rsidRDefault="00AE50BA">
      <w:pPr>
        <w:pStyle w:val="Fotnotstext"/>
      </w:pPr>
      <w:r w:rsidRPr="00237A2C">
        <w:rPr>
          <w:rStyle w:val="Fotnotsreferens"/>
        </w:rPr>
        <w:footnoteRef/>
      </w:r>
      <w:r w:rsidRPr="00237A2C">
        <w:t> Mot. 1993/94:K65, s. 1, KU 1993/94:42, s.13 samt prot. 1993/94:115, s. 128.</w:t>
      </w:r>
    </w:p>
  </w:footnote>
  <w:footnote w:id="66">
    <w:p w:rsidR="00AE50BA" w:rsidRPr="00237A2C" w:rsidRDefault="00AE50BA">
      <w:pPr>
        <w:pStyle w:val="Fotnotstext"/>
      </w:pPr>
      <w:r w:rsidRPr="00237A2C">
        <w:rPr>
          <w:rStyle w:val="Fotnotsreferens"/>
        </w:rPr>
        <w:footnoteRef/>
      </w:r>
      <w:r w:rsidRPr="00237A2C">
        <w:t> Mot. 1993/93:K315 och 1993/94:K506.</w:t>
      </w:r>
    </w:p>
  </w:footnote>
  <w:footnote w:id="67">
    <w:p w:rsidR="00AE50BA" w:rsidRPr="00237A2C" w:rsidRDefault="00AE50BA">
      <w:pPr>
        <w:pStyle w:val="Fotnotstext"/>
      </w:pPr>
      <w:r w:rsidRPr="00237A2C">
        <w:rPr>
          <w:rStyle w:val="Fotnotsreferens"/>
        </w:rPr>
        <w:footnoteRef/>
      </w:r>
      <w:r w:rsidRPr="00237A2C">
        <w:t> I kammardebatten konstaterade visserligen Birger Hagård (m) att de grundläggande bestämmelserna i ledningsfrågan finns i grundlagen, i RF 11:6 och 11:7. Han avstod dock helt från att gå närmare in på 11:7, men påpekade att den föregående paragrafen föreskriver att myndigheterna lyder under regeringen. Förvaltningsmyndigheterna var i själva verket att betrakta som ”regeringens förlängda arm”, frågan var hur regeringen skulle kunna utöva tillräcklig styrning av dem. Se prot, 1995/96:28(d), s. 9 ff, prop. 199</w:t>
      </w:r>
      <w:r w:rsidRPr="00237A2C">
        <w:t>4/95:150, bil. 7:3 samt 1995/96: KU1.</w:t>
      </w:r>
    </w:p>
  </w:footnote>
  <w:footnote w:id="68">
    <w:p w:rsidR="00AE50BA" w:rsidRPr="00237A2C" w:rsidRDefault="00AE50BA">
      <w:pPr>
        <w:pStyle w:val="Fotnotstext"/>
      </w:pPr>
      <w:r w:rsidRPr="00237A2C">
        <w:rPr>
          <w:rStyle w:val="Fotnotsreferens"/>
        </w:rPr>
        <w:footnoteRef/>
      </w:r>
      <w:r w:rsidRPr="00237A2C">
        <w:t>  1995/96:KU1 och prot. 1995/96:28(d), s. 11 ff. Centerns positionsbyte i verksle</w:t>
      </w:r>
      <w:r w:rsidRPr="00237A2C">
        <w:t>d</w:t>
      </w:r>
      <w:r w:rsidRPr="00237A2C">
        <w:t xml:space="preserve">ningsfrågan förvånade enligt egen utsago Birger Hagård (m), se prot. 1995/96:28(d), s. 11. Man kan dock med tanke på centerns något vaga ståndpunkt 1987 fundera närmare över </w:t>
      </w:r>
      <w:r w:rsidRPr="00237A2C">
        <w:rPr>
          <w:i/>
        </w:rPr>
        <w:t>när</w:t>
      </w:r>
      <w:r w:rsidRPr="00237A2C">
        <w:t xml:space="preserve"> centern ändrade inställning – efter regeringsåren, eller under? </w:t>
      </w:r>
    </w:p>
  </w:footnote>
  <w:footnote w:id="69">
    <w:p w:rsidR="00AE50BA" w:rsidRPr="00237A2C" w:rsidRDefault="00AE50BA">
      <w:pPr>
        <w:pStyle w:val="Fotnotstext"/>
      </w:pPr>
      <w:r w:rsidRPr="00237A2C">
        <w:rPr>
          <w:rStyle w:val="Fotnotsreferens"/>
        </w:rPr>
        <w:footnoteRef/>
      </w:r>
      <w:r w:rsidRPr="00237A2C">
        <w:t> 1995/96:KU1, bilaga. För en analys av utskottens ståndpunkter se Wockelberg 1996, s. 53 ff.</w:t>
      </w:r>
    </w:p>
  </w:footnote>
  <w:footnote w:id="70">
    <w:p w:rsidR="00AE50BA" w:rsidRPr="00237A2C" w:rsidRDefault="00AE50BA">
      <w:pPr>
        <w:pStyle w:val="Fotnotstext"/>
      </w:pPr>
      <w:r w:rsidRPr="00237A2C">
        <w:rPr>
          <w:rStyle w:val="Fotnotsreferens"/>
        </w:rPr>
        <w:footnoteRef/>
      </w:r>
      <w:r w:rsidRPr="00237A2C">
        <w:t> Prop. 1997/98:136, s. 8, 11 f.</w:t>
      </w:r>
    </w:p>
  </w:footnote>
  <w:footnote w:id="71">
    <w:p w:rsidR="00AE50BA" w:rsidRPr="00237A2C" w:rsidRDefault="00AE50BA">
      <w:pPr>
        <w:pStyle w:val="Fotnotstext"/>
      </w:pPr>
      <w:r w:rsidRPr="00237A2C">
        <w:rPr>
          <w:rStyle w:val="Fotnotsreferens"/>
        </w:rPr>
        <w:footnoteRef/>
      </w:r>
      <w:r w:rsidRPr="00237A2C">
        <w:t> Prop. 1997/98:136, s. 1.</w:t>
      </w:r>
    </w:p>
  </w:footnote>
  <w:footnote w:id="72">
    <w:p w:rsidR="00AE50BA" w:rsidRPr="00237A2C" w:rsidRDefault="00AE50BA">
      <w:pPr>
        <w:pStyle w:val="Fotnotstext"/>
      </w:pPr>
      <w:r w:rsidRPr="00237A2C">
        <w:rPr>
          <w:rStyle w:val="Fotnotsreferens"/>
        </w:rPr>
        <w:footnoteRef/>
      </w:r>
      <w:r w:rsidRPr="00237A2C">
        <w:t> Prop. 1997/98:136, s. 19 ff.</w:t>
      </w:r>
    </w:p>
  </w:footnote>
  <w:footnote w:id="73">
    <w:p w:rsidR="00AE50BA" w:rsidRPr="00237A2C" w:rsidRDefault="00AE50BA">
      <w:pPr>
        <w:pStyle w:val="Fotnotstext"/>
      </w:pPr>
      <w:r w:rsidRPr="00237A2C">
        <w:rPr>
          <w:rStyle w:val="Fotnotsreferens"/>
        </w:rPr>
        <w:footnoteRef/>
      </w:r>
      <w:r w:rsidRPr="00237A2C">
        <w:t> Det vore rimligt att i dessa sammanhang precisera rekryteringsprinciperna och de målsättningar som avses i förhållande till till exempel RF 11:9, ”Vid tillsättning av statlig tjänst skall avseende fästas endast vid sakliga grunder, såsom förtjänst och skicklighet”. Uttrycket ”såsom” utgör här en indikation på att ”sakliga grunder” kan innebära annat än vad som exemplifieras.</w:t>
      </w:r>
    </w:p>
  </w:footnote>
  <w:footnote w:id="74">
    <w:p w:rsidR="00AE50BA" w:rsidRPr="00237A2C" w:rsidRDefault="00AE50BA">
      <w:pPr>
        <w:pStyle w:val="Fotnotstext"/>
      </w:pPr>
      <w:r w:rsidRPr="00237A2C">
        <w:rPr>
          <w:rStyle w:val="Fotnotsreferens"/>
        </w:rPr>
        <w:footnoteRef/>
      </w:r>
      <w:r w:rsidRPr="00237A2C">
        <w:t> Prop. 1997/98:136, s. 14.</w:t>
      </w:r>
    </w:p>
  </w:footnote>
  <w:footnote w:id="75">
    <w:p w:rsidR="00AE50BA" w:rsidRPr="00237A2C" w:rsidRDefault="00AE50BA">
      <w:pPr>
        <w:pStyle w:val="Fotnotstext"/>
      </w:pPr>
      <w:r w:rsidRPr="00237A2C">
        <w:rPr>
          <w:rStyle w:val="Fotnotsreferens"/>
        </w:rPr>
        <w:footnoteRef/>
      </w:r>
      <w:r w:rsidRPr="00237A2C">
        <w:t> Prop. 1997/98:136, s. 13f, citat s. 14.</w:t>
      </w:r>
    </w:p>
  </w:footnote>
  <w:footnote w:id="76">
    <w:p w:rsidR="00AE50BA" w:rsidRPr="00237A2C" w:rsidRDefault="00AE50BA">
      <w:pPr>
        <w:pStyle w:val="Fotnotstext"/>
      </w:pPr>
      <w:r w:rsidRPr="00237A2C">
        <w:rPr>
          <w:rStyle w:val="Fotnotsreferens"/>
        </w:rPr>
        <w:footnoteRef/>
      </w:r>
      <w:r w:rsidRPr="00237A2C">
        <w:t> Prop. 1997/98:136, s. 17 ff, 42 ff (citat s. 43) Propositionen bygger i stora delar på Förvaltningspolitiska kommissionens slutbetänkande, SOU 1997:57. Den sociald</w:t>
      </w:r>
      <w:r w:rsidRPr="00237A2C">
        <w:t>e</w:t>
      </w:r>
      <w:r w:rsidRPr="00237A2C">
        <w:t>mokratiska regeringen har under år 2000 knutit an till propositionen från 1998 i ett ”handlingsprogram”. Målkatalogen överensstämmer nästan helt med propositionens. Ytterligare krav på förvaltningen har dock tillkommit, som ”ekologiskt hållbar u</w:t>
      </w:r>
      <w:r w:rsidRPr="00237A2C">
        <w:t>t</w:t>
      </w:r>
      <w:r w:rsidRPr="00237A2C">
        <w:t>veckling” och ”integration”. Den del av programmet som redovisar vilka åtgärder regeringen vidtagit o</w:t>
      </w:r>
      <w:r w:rsidRPr="00237A2C">
        <w:t xml:space="preserve">ch planerar att vidta formuleras mycket översiktligt. Många åtgärder kretsar kring uppföljning och utvärdering och signalerar att regeringen inte tagit ställning på en konkret nivå. Se </w:t>
      </w:r>
      <w:r w:rsidRPr="00237A2C">
        <w:rPr>
          <w:i/>
        </w:rPr>
        <w:t>En förvaltning i demokratins tjänst – ett han</w:t>
      </w:r>
      <w:r w:rsidRPr="00237A2C">
        <w:rPr>
          <w:i/>
        </w:rPr>
        <w:t>d</w:t>
      </w:r>
      <w:r w:rsidRPr="00237A2C">
        <w:rPr>
          <w:i/>
        </w:rPr>
        <w:t>lingsprogram</w:t>
      </w:r>
      <w:r w:rsidRPr="00237A2C">
        <w:t>, 2000.</w:t>
      </w:r>
    </w:p>
  </w:footnote>
  <w:footnote w:id="77">
    <w:p w:rsidR="00AE50BA" w:rsidRPr="00237A2C" w:rsidRDefault="00AE50BA">
      <w:pPr>
        <w:pStyle w:val="Fotnotstext"/>
      </w:pPr>
      <w:r w:rsidRPr="00237A2C">
        <w:rPr>
          <w:rStyle w:val="Fotnotsreferens"/>
        </w:rPr>
        <w:footnoteRef/>
      </w:r>
      <w:r w:rsidRPr="00237A2C">
        <w:t> 1997/98:KU31, prot. 1997/98:118(d), s. 106 ff, mot. 1997/98:K34 (m), 39 (v) och 73 (c).</w:t>
      </w:r>
    </w:p>
  </w:footnote>
  <w:footnote w:id="78">
    <w:p w:rsidR="00AE50BA" w:rsidRPr="00237A2C" w:rsidRDefault="00AE50BA">
      <w:pPr>
        <w:pStyle w:val="Fotnotstext"/>
      </w:pPr>
      <w:r w:rsidRPr="00237A2C">
        <w:rPr>
          <w:rStyle w:val="Fotnotsreferens"/>
        </w:rPr>
        <w:footnoteRef/>
      </w:r>
      <w:r w:rsidRPr="00237A2C">
        <w:t> Mot. 1997/98:K35 (fp), 39 (v) och 42 (c). KU instämde i motionärernas syn på att medborgarnas medverkan var viktig i utvärderingsarbetet i den offentliga verksamh</w:t>
      </w:r>
      <w:r w:rsidRPr="00237A2C">
        <w:t>e</w:t>
      </w:r>
      <w:r w:rsidRPr="00237A2C">
        <w:t>ten, se 1997/98:KU31, s. 42.</w:t>
      </w:r>
    </w:p>
  </w:footnote>
  <w:footnote w:id="79">
    <w:p w:rsidR="00AE50BA" w:rsidRPr="00237A2C" w:rsidRDefault="00AE50BA">
      <w:pPr>
        <w:pStyle w:val="Fotnotstext"/>
      </w:pPr>
      <w:r w:rsidRPr="00237A2C">
        <w:rPr>
          <w:rStyle w:val="Fotnotsreferens"/>
        </w:rPr>
        <w:footnoteRef/>
      </w:r>
      <w:r w:rsidRPr="00237A2C">
        <w:t> Mot. 1997/98:K35 (fp) och 36 (fp, m, c, v, mp, kd).</w:t>
      </w:r>
    </w:p>
  </w:footnote>
  <w:footnote w:id="80">
    <w:p w:rsidR="00AE50BA" w:rsidRPr="00237A2C" w:rsidRDefault="00AE50BA">
      <w:pPr>
        <w:pStyle w:val="Fotnotstext"/>
      </w:pPr>
      <w:r w:rsidRPr="00237A2C">
        <w:rPr>
          <w:rStyle w:val="Fotnotsreferens"/>
        </w:rPr>
        <w:footnoteRef/>
      </w:r>
      <w:r w:rsidRPr="00237A2C">
        <w:t> Mot. 1997/98: K 37(c), 39 (v) och 40 (s). Se också 1997/98:KU31, s. 53 (gemensam reservation c och v).</w:t>
      </w:r>
    </w:p>
  </w:footnote>
  <w:footnote w:id="81">
    <w:p w:rsidR="00AE50BA" w:rsidRPr="00237A2C" w:rsidRDefault="00AE50BA">
      <w:pPr>
        <w:pStyle w:val="Fotnotstext"/>
      </w:pPr>
      <w:r w:rsidRPr="00237A2C">
        <w:rPr>
          <w:rStyle w:val="Fotnotsreferens"/>
        </w:rPr>
        <w:footnoteRef/>
      </w:r>
      <w:r w:rsidRPr="00237A2C">
        <w:t> Mot. 1997/98:K39 (v).</w:t>
      </w:r>
    </w:p>
  </w:footnote>
  <w:footnote w:id="82">
    <w:p w:rsidR="00AE50BA" w:rsidRPr="00237A2C" w:rsidRDefault="00AE50BA">
      <w:pPr>
        <w:pStyle w:val="Fotnotstext"/>
      </w:pPr>
      <w:r w:rsidRPr="00237A2C">
        <w:rPr>
          <w:rStyle w:val="Fotnotsreferens"/>
        </w:rPr>
        <w:footnoteRef/>
      </w:r>
      <w:r w:rsidRPr="00237A2C">
        <w:t> Mot. 1997/98:K40 (s).</w:t>
      </w:r>
    </w:p>
  </w:footnote>
  <w:footnote w:id="83">
    <w:p w:rsidR="00AE50BA" w:rsidRPr="00237A2C" w:rsidRDefault="00AE50BA">
      <w:pPr>
        <w:pStyle w:val="Fotnotstext"/>
      </w:pPr>
      <w:r w:rsidRPr="00237A2C">
        <w:rPr>
          <w:rStyle w:val="Fotnotsreferens"/>
        </w:rPr>
        <w:footnoteRef/>
      </w:r>
      <w:r w:rsidRPr="00237A2C">
        <w:t> Mot. 1997/98:K42 (c).</w:t>
      </w:r>
    </w:p>
  </w:footnote>
  <w:footnote w:id="84">
    <w:p w:rsidR="00AE50BA" w:rsidRPr="00237A2C" w:rsidRDefault="00AE50BA">
      <w:pPr>
        <w:pStyle w:val="Fotnotstext"/>
      </w:pPr>
      <w:r w:rsidRPr="00237A2C">
        <w:rPr>
          <w:rStyle w:val="Fotnotsreferens"/>
        </w:rPr>
        <w:footnoteRef/>
      </w:r>
      <w:r w:rsidRPr="00237A2C">
        <w:t> 1997/98:KU36, s. 18.</w:t>
      </w:r>
    </w:p>
  </w:footnote>
  <w:footnote w:id="85">
    <w:p w:rsidR="00AE50BA" w:rsidRPr="00237A2C" w:rsidRDefault="00AE50BA">
      <w:pPr>
        <w:pStyle w:val="Fotnotstext"/>
      </w:pPr>
      <w:r w:rsidRPr="00237A2C">
        <w:rPr>
          <w:rStyle w:val="Fotnotsreferens"/>
        </w:rPr>
        <w:footnoteRef/>
      </w:r>
      <w:r w:rsidRPr="00237A2C">
        <w:t xml:space="preserve"> Ehn 1998, s. 64</w:t>
      </w:r>
    </w:p>
  </w:footnote>
  <w:footnote w:id="86">
    <w:p w:rsidR="00AE50BA" w:rsidRPr="00237A2C" w:rsidRDefault="00AE50BA">
      <w:pPr>
        <w:pStyle w:val="Fotnotstext"/>
      </w:pPr>
      <w:r w:rsidRPr="00237A2C">
        <w:rPr>
          <w:rStyle w:val="Fotnotsreferens"/>
        </w:rPr>
        <w:footnoteRef/>
      </w:r>
      <w:r w:rsidRPr="00237A2C">
        <w:t xml:space="preserve"> Finland har en förvaltningsmodell som i flera avseenden liknar den svenska.</w:t>
      </w:r>
    </w:p>
  </w:footnote>
  <w:footnote w:id="87">
    <w:p w:rsidR="00AE50BA" w:rsidRPr="00237A2C" w:rsidRDefault="00AE50BA">
      <w:pPr>
        <w:pStyle w:val="Fotnotstext"/>
      </w:pPr>
      <w:r w:rsidRPr="00237A2C">
        <w:rPr>
          <w:rStyle w:val="Fotnotsreferens"/>
        </w:rPr>
        <w:footnoteRef/>
      </w:r>
      <w:r w:rsidRPr="00237A2C">
        <w:t xml:space="preserve"> Friberg konstaterar att det gjorts avsteg från principen under andra världskriget då</w:t>
      </w:r>
      <w:r w:rsidRPr="00237A2C">
        <w:rPr>
          <w:i/>
        </w:rPr>
        <w:t xml:space="preserve"> </w:t>
      </w:r>
      <w:r w:rsidRPr="00237A2C">
        <w:t>fördelningen av befogenheter mellan regeringen (KM:t) och de större primärorganen (ämbetsverken) utvecklade sig till ett faktiskt ministerstyre inom både politiskt perif</w:t>
      </w:r>
      <w:r w:rsidRPr="00237A2C">
        <w:t>e</w:t>
      </w:r>
      <w:r w:rsidRPr="00237A2C">
        <w:t>ra och centrala frågor Graden av faktiskt ministerstyre växlade med rådande sakfö</w:t>
      </w:r>
      <w:r w:rsidRPr="00237A2C">
        <w:t>r</w:t>
      </w:r>
      <w:r w:rsidRPr="00237A2C">
        <w:t>hållanden från departement till departement och förändrades under krisens gång. I samband med att krisläget förbättrades, sägs ministerstyret ha minskat. (Friberg 1973, s. 27</w:t>
      </w:r>
      <w:r w:rsidRPr="00237A2C">
        <w:t xml:space="preserve"> och s. 314)</w:t>
      </w:r>
    </w:p>
  </w:footnote>
  <w:footnote w:id="88">
    <w:p w:rsidR="00AE50BA" w:rsidRPr="00237A2C" w:rsidRDefault="00AE50BA">
      <w:pPr>
        <w:pStyle w:val="Fotnotstext"/>
      </w:pPr>
      <w:r w:rsidRPr="00237A2C">
        <w:rPr>
          <w:rStyle w:val="Fotnotsreferens"/>
        </w:rPr>
        <w:footnoteRef/>
      </w:r>
      <w:r w:rsidRPr="00237A2C">
        <w:t xml:space="preserve"> Jacobsson 1984, s. 15 f</w:t>
      </w:r>
    </w:p>
  </w:footnote>
  <w:footnote w:id="89">
    <w:p w:rsidR="00AE50BA" w:rsidRPr="00237A2C" w:rsidRDefault="00AE50BA">
      <w:pPr>
        <w:pStyle w:val="Fotnotstext"/>
      </w:pPr>
      <w:r w:rsidRPr="00237A2C">
        <w:rPr>
          <w:rStyle w:val="Fotnotsreferens"/>
        </w:rPr>
        <w:footnoteRef/>
      </w:r>
      <w:r w:rsidRPr="00237A2C">
        <w:t xml:space="preserve"> Ehn 1998, s. 11</w:t>
      </w:r>
    </w:p>
  </w:footnote>
  <w:footnote w:id="90">
    <w:p w:rsidR="00AE50BA" w:rsidRPr="00237A2C" w:rsidRDefault="00AE50BA">
      <w:pPr>
        <w:pStyle w:val="Fotnotstext"/>
      </w:pPr>
      <w:r w:rsidRPr="00237A2C">
        <w:rPr>
          <w:rStyle w:val="Fotnotsreferens"/>
        </w:rPr>
        <w:footnoteRef/>
      </w:r>
      <w:r w:rsidRPr="00237A2C">
        <w:t xml:space="preserve"> RRV 1996:50, s. 60</w:t>
      </w:r>
    </w:p>
  </w:footnote>
  <w:footnote w:id="91">
    <w:p w:rsidR="00AE50BA" w:rsidRPr="00237A2C" w:rsidRDefault="00AE50BA">
      <w:pPr>
        <w:pStyle w:val="Fotnotstext"/>
      </w:pPr>
      <w:r w:rsidRPr="00237A2C">
        <w:rPr>
          <w:rStyle w:val="Fotnotsreferens"/>
        </w:rPr>
        <w:footnoteRef/>
      </w:r>
      <w:r w:rsidRPr="00237A2C">
        <w:t xml:space="preserve"> SOU 1983:39  s. 100, och Jacobsson 1984, s. 15</w:t>
      </w:r>
    </w:p>
  </w:footnote>
  <w:footnote w:id="92">
    <w:p w:rsidR="00AE50BA" w:rsidRPr="00237A2C" w:rsidRDefault="00AE50BA">
      <w:pPr>
        <w:pStyle w:val="Fotnotstext"/>
      </w:pPr>
      <w:r w:rsidRPr="00237A2C">
        <w:rPr>
          <w:rStyle w:val="Fotnotsreferens"/>
        </w:rPr>
        <w:footnoteRef/>
      </w:r>
      <w:r w:rsidRPr="00237A2C">
        <w:t xml:space="preserve"> Ehn 1998, s. 15, s. 283, Christoffersson et al 1972, s. 20</w:t>
      </w:r>
    </w:p>
  </w:footnote>
  <w:footnote w:id="93">
    <w:p w:rsidR="00AE50BA" w:rsidRPr="00237A2C" w:rsidRDefault="00AE50BA">
      <w:pPr>
        <w:pStyle w:val="Fotnotstext"/>
      </w:pPr>
      <w:r w:rsidRPr="00237A2C">
        <w:rPr>
          <w:rStyle w:val="Fotnotsreferens"/>
        </w:rPr>
        <w:footnoteRef/>
      </w:r>
      <w:r w:rsidRPr="00237A2C">
        <w:t xml:space="preserve"> Den tidigare studien av svenska statstjänstemäns attityder från början av 1970-talet ingick som en del i ett internationellt forskningsprogram, </w:t>
      </w:r>
      <w:r w:rsidRPr="00237A2C">
        <w:rPr>
          <w:i/>
        </w:rPr>
        <w:t xml:space="preserve">The Political Cultures of Bureaucrats and Politicians. </w:t>
      </w:r>
      <w:r w:rsidRPr="00237A2C">
        <w:t>Initiativet till projektet, som också gick under benä</w:t>
      </w:r>
      <w:r w:rsidRPr="00237A2C">
        <w:t>m</w:t>
      </w:r>
      <w:r w:rsidRPr="00237A2C">
        <w:t>ningen Michiganprojektet, togs 1969 av en grupp statsvetenskapliga forskare vid University of Michigan. Syftet med studien var att undersöka varför statsapparaterna i olika länder reagerade olika snabbt och med olika precision på de krav som den allt snabbar</w:t>
      </w:r>
      <w:r w:rsidRPr="00237A2C">
        <w:t>e förändringstakten i samhället ställde. Resultatet av den svenska undersö</w:t>
      </w:r>
      <w:r w:rsidRPr="00237A2C">
        <w:t>k</w:t>
      </w:r>
      <w:r w:rsidRPr="00237A2C">
        <w:t>ningen redovisas i tre böcker: Mellbourn 1979, Anton 1980 och Linde 1982. Ehns avhandling från 1998 har ingått i ett uppföljningsprojekt (</w:t>
      </w:r>
      <w:r w:rsidRPr="00237A2C">
        <w:rPr>
          <w:i/>
        </w:rPr>
        <w:t>Elitattityder och samhäll</w:t>
      </w:r>
      <w:r w:rsidRPr="00237A2C">
        <w:rPr>
          <w:i/>
        </w:rPr>
        <w:t>s</w:t>
      </w:r>
      <w:r w:rsidRPr="00237A2C">
        <w:rPr>
          <w:i/>
        </w:rPr>
        <w:t>förändringar i västerländska demokratier,</w:t>
      </w:r>
      <w:r w:rsidRPr="00237A2C">
        <w:t xml:space="preserve"> </w:t>
      </w:r>
      <w:r w:rsidRPr="00237A2C">
        <w:rPr>
          <w:i/>
        </w:rPr>
        <w:t>ELSA)</w:t>
      </w:r>
      <w:r w:rsidRPr="00237A2C">
        <w:t xml:space="preserve"> av Michiganprojektets svenska del, vilket möjliggjort att förändringar av de högre tjänstemännens attityder över tid har kunnat studeras. </w:t>
      </w:r>
    </w:p>
  </w:footnote>
  <w:footnote w:id="94">
    <w:p w:rsidR="00AE50BA" w:rsidRPr="00237A2C" w:rsidRDefault="00AE50BA">
      <w:pPr>
        <w:pStyle w:val="Fotnotstext"/>
      </w:pPr>
      <w:r w:rsidRPr="00237A2C">
        <w:rPr>
          <w:rStyle w:val="Fotnotsreferens"/>
        </w:rPr>
        <w:footnoteRef/>
      </w:r>
      <w:r w:rsidRPr="00237A2C">
        <w:t xml:space="preserve"> Den typologi av tjänstemannaroller som Ehn använder sig av som utgångspunkt i sin analys består av den politiska, den rättsliga och den marknadsorienterade tjänst</w:t>
      </w:r>
      <w:r w:rsidRPr="00237A2C">
        <w:t>e</w:t>
      </w:r>
      <w:r w:rsidRPr="00237A2C">
        <w:t>mannen. Aningen tillspet</w:t>
      </w:r>
      <w:r w:rsidRPr="00237A2C">
        <w:softHyphen/>
        <w:t>sat är innebörden av dessa roller följande: Den rättsliga tjänstemannarollen innebär att tjänstemännen neutralt och självständigt tillämpar lagar. En tjänsteman med politisk tjänste</w:t>
      </w:r>
      <w:r w:rsidRPr="00237A2C">
        <w:softHyphen/>
        <w:t>manna</w:t>
      </w:r>
      <w:r w:rsidRPr="00237A2C">
        <w:softHyphen/>
        <w:t>roll fungerar istället som ett lojalt verktyg för förverkligandet av politikernas intentioner, medan tjänstemannen med en marknadsorien</w:t>
      </w:r>
      <w:r w:rsidRPr="00237A2C">
        <w:t>terad roll betonar effektiviteten i verksamheten och har det privata näringslivets organisation som förebild. Se vidare Ehn 1998, kapitel 4</w:t>
      </w:r>
    </w:p>
  </w:footnote>
  <w:footnote w:id="95">
    <w:p w:rsidR="00AE50BA" w:rsidRPr="00237A2C" w:rsidRDefault="00AE50BA">
      <w:pPr>
        <w:pStyle w:val="Fotnotstext"/>
      </w:pPr>
      <w:r w:rsidRPr="00237A2C">
        <w:rPr>
          <w:rStyle w:val="Fotnotsreferens"/>
        </w:rPr>
        <w:footnoteRef/>
      </w:r>
      <w:r w:rsidRPr="00237A2C">
        <w:t xml:space="preserve"> Trots att statssekreterarna sedan länge är politiskt tillsatta, betraktas denna grupp som tjänstemän i Ehns studie.</w:t>
      </w:r>
    </w:p>
  </w:footnote>
  <w:footnote w:id="96">
    <w:p w:rsidR="00AE50BA" w:rsidRPr="00237A2C" w:rsidRDefault="00AE50BA">
      <w:pPr>
        <w:pStyle w:val="Fotnotstext"/>
      </w:pPr>
      <w:r w:rsidRPr="00237A2C">
        <w:rPr>
          <w:rStyle w:val="Fotnotsreferens"/>
        </w:rPr>
        <w:footnoteRef/>
      </w:r>
      <w:r w:rsidRPr="00237A2C">
        <w:t xml:space="preserve"> Ehn 1998, s. 227 f</w:t>
      </w:r>
    </w:p>
  </w:footnote>
  <w:footnote w:id="97">
    <w:p w:rsidR="00AE50BA" w:rsidRPr="00237A2C" w:rsidRDefault="00AE50BA">
      <w:pPr>
        <w:pStyle w:val="Fotnotstext"/>
      </w:pPr>
      <w:r w:rsidRPr="00237A2C">
        <w:rPr>
          <w:rStyle w:val="Fotnotsreferens"/>
        </w:rPr>
        <w:footnoteRef/>
      </w:r>
      <w:r w:rsidRPr="00237A2C">
        <w:t xml:space="preserve"> Ehn 1998, s. 224 f</w:t>
      </w:r>
    </w:p>
  </w:footnote>
  <w:footnote w:id="98">
    <w:p w:rsidR="00AE50BA" w:rsidRPr="00237A2C" w:rsidRDefault="00AE50BA">
      <w:pPr>
        <w:pStyle w:val="Fotnotstext"/>
      </w:pPr>
      <w:r w:rsidRPr="00237A2C">
        <w:rPr>
          <w:rStyle w:val="Fotnotsreferens"/>
        </w:rPr>
        <w:footnoteRef/>
      </w:r>
      <w:r w:rsidRPr="00237A2C">
        <w:t xml:space="preserve"> Ehn 1998, s. 230, Christoffersson et al 1972, s. 144, Wallin m fl 1999, s. 289</w:t>
      </w:r>
    </w:p>
  </w:footnote>
  <w:footnote w:id="99">
    <w:p w:rsidR="00AE50BA" w:rsidRPr="00237A2C" w:rsidRDefault="00AE50BA">
      <w:pPr>
        <w:pStyle w:val="Fotnotstext"/>
      </w:pPr>
      <w:r w:rsidRPr="00237A2C">
        <w:rPr>
          <w:rStyle w:val="Fotnotsreferens"/>
        </w:rPr>
        <w:footnoteRef/>
      </w:r>
      <w:r w:rsidRPr="00237A2C">
        <w:t xml:space="preserve"> Söderlind och Petersson 1986, s. 248</w:t>
      </w:r>
      <w:r w:rsidRPr="00237A2C">
        <w:sym w:font="Symbol" w:char="F02D"/>
      </w:r>
      <w:r w:rsidRPr="00237A2C">
        <w:t>257</w:t>
      </w:r>
    </w:p>
  </w:footnote>
  <w:footnote w:id="100">
    <w:p w:rsidR="00AE50BA" w:rsidRPr="00237A2C" w:rsidRDefault="00AE50BA">
      <w:pPr>
        <w:pStyle w:val="Fotnotstext"/>
      </w:pPr>
      <w:r w:rsidRPr="00237A2C">
        <w:rPr>
          <w:rStyle w:val="Fotnotsreferens"/>
        </w:rPr>
        <w:footnoteRef/>
      </w:r>
      <w:r w:rsidRPr="00237A2C">
        <w:t xml:space="preserve"> Petersson, 1989, s. 67f</w:t>
      </w:r>
    </w:p>
  </w:footnote>
  <w:footnote w:id="101">
    <w:p w:rsidR="00AE50BA" w:rsidRPr="00237A2C" w:rsidRDefault="00AE50BA">
      <w:pPr>
        <w:pStyle w:val="Fotnotstext"/>
      </w:pPr>
      <w:r w:rsidRPr="00237A2C">
        <w:rPr>
          <w:rStyle w:val="Fotnotsreferens"/>
        </w:rPr>
        <w:footnoteRef/>
      </w:r>
      <w:r w:rsidRPr="00237A2C">
        <w:t xml:space="preserve"> Petersson 1989, s. 68-73</w:t>
      </w:r>
    </w:p>
  </w:footnote>
  <w:footnote w:id="102">
    <w:p w:rsidR="00AE50BA" w:rsidRPr="00237A2C" w:rsidRDefault="00AE50BA">
      <w:pPr>
        <w:pStyle w:val="Fotnotstext"/>
      </w:pPr>
      <w:r w:rsidRPr="00237A2C">
        <w:rPr>
          <w:rStyle w:val="Fotnotsreferens"/>
        </w:rPr>
        <w:footnoteRef/>
      </w:r>
      <w:r w:rsidRPr="00237A2C">
        <w:t xml:space="preserve"> Petersson 1989, s. 83f</w:t>
      </w:r>
    </w:p>
  </w:footnote>
  <w:footnote w:id="103">
    <w:p w:rsidR="00AE50BA" w:rsidRPr="00237A2C" w:rsidRDefault="00AE50BA">
      <w:pPr>
        <w:pStyle w:val="Fotnotstext"/>
      </w:pPr>
      <w:r w:rsidRPr="00237A2C">
        <w:rPr>
          <w:rStyle w:val="Fotnotsreferens"/>
        </w:rPr>
        <w:footnoteRef/>
      </w:r>
      <w:r w:rsidRPr="00237A2C">
        <w:t xml:space="preserve"> Ehn och Sundström 1997, s. 97f , Ds 2000:17, s. 85 f</w:t>
      </w:r>
    </w:p>
  </w:footnote>
  <w:footnote w:id="104">
    <w:p w:rsidR="00AE50BA" w:rsidRPr="00237A2C" w:rsidRDefault="00AE50BA">
      <w:pPr>
        <w:pStyle w:val="Fotnotstext"/>
      </w:pPr>
      <w:r w:rsidRPr="00237A2C">
        <w:rPr>
          <w:rStyle w:val="Fotnotsreferens"/>
        </w:rPr>
        <w:footnoteRef/>
      </w:r>
      <w:r w:rsidRPr="00237A2C">
        <w:t>Ehn och Sundström 1997, s. 99</w:t>
      </w:r>
    </w:p>
  </w:footnote>
  <w:footnote w:id="105">
    <w:p w:rsidR="00AE50BA" w:rsidRPr="00237A2C" w:rsidRDefault="00AE50BA">
      <w:pPr>
        <w:pStyle w:val="Fotnotstext"/>
      </w:pPr>
      <w:r w:rsidRPr="00237A2C">
        <w:rPr>
          <w:rStyle w:val="Fotnotsreferens"/>
        </w:rPr>
        <w:footnoteRef/>
      </w:r>
      <w:r w:rsidRPr="00237A2C">
        <w:t xml:space="preserve"> Ehn och Sundström 1997, s. 99 f</w:t>
      </w:r>
    </w:p>
  </w:footnote>
  <w:footnote w:id="106">
    <w:p w:rsidR="00AE50BA" w:rsidRPr="00237A2C" w:rsidRDefault="00AE50BA">
      <w:pPr>
        <w:pStyle w:val="Fotnotstext"/>
      </w:pPr>
      <w:r w:rsidRPr="00237A2C">
        <w:rPr>
          <w:rStyle w:val="Fotnotsreferens"/>
        </w:rPr>
        <w:footnoteRef/>
      </w:r>
      <w:r w:rsidRPr="00237A2C">
        <w:t xml:space="preserve"> Ds 2000:17, s. 86</w:t>
      </w:r>
    </w:p>
  </w:footnote>
  <w:footnote w:id="107">
    <w:p w:rsidR="00AE50BA" w:rsidRPr="00237A2C" w:rsidRDefault="00AE50BA">
      <w:pPr>
        <w:pStyle w:val="Fotnotstext"/>
      </w:pPr>
      <w:r w:rsidRPr="00237A2C">
        <w:rPr>
          <w:rStyle w:val="Fotnotsreferens"/>
        </w:rPr>
        <w:footnoteRef/>
      </w:r>
      <w:r w:rsidRPr="00237A2C">
        <w:t xml:space="preserve"> Ds 2000:17, s. 91, Ehn och Sundström 1997, s. 98</w:t>
      </w:r>
    </w:p>
  </w:footnote>
  <w:footnote w:id="108">
    <w:p w:rsidR="00AE50BA" w:rsidRPr="00237A2C" w:rsidRDefault="00AE50BA">
      <w:pPr>
        <w:pStyle w:val="Fotnotstext"/>
      </w:pPr>
      <w:r w:rsidRPr="00237A2C">
        <w:rPr>
          <w:rStyle w:val="Fotnotsreferens"/>
        </w:rPr>
        <w:footnoteRef/>
      </w:r>
      <w:r w:rsidRPr="00237A2C">
        <w:t xml:space="preserve"> Ehn och Sundström 1997 s. 102f</w:t>
      </w:r>
    </w:p>
  </w:footnote>
  <w:footnote w:id="109">
    <w:p w:rsidR="00AE50BA" w:rsidRPr="00237A2C" w:rsidRDefault="00AE50BA">
      <w:pPr>
        <w:pStyle w:val="Fotnotstext"/>
      </w:pPr>
      <w:r w:rsidRPr="00237A2C">
        <w:rPr>
          <w:rStyle w:val="Fotnotsreferens"/>
        </w:rPr>
        <w:footnoteRef/>
      </w:r>
      <w:r w:rsidRPr="00237A2C">
        <w:t xml:space="preserve"> Jacobsson 1984, s. 161</w:t>
      </w:r>
    </w:p>
  </w:footnote>
  <w:footnote w:id="110">
    <w:p w:rsidR="00AE50BA" w:rsidRPr="00237A2C" w:rsidRDefault="00AE50BA">
      <w:pPr>
        <w:pStyle w:val="Fotnotstext"/>
      </w:pPr>
      <w:r w:rsidRPr="00237A2C">
        <w:rPr>
          <w:rStyle w:val="Fotnotsreferens"/>
        </w:rPr>
        <w:footnoteRef/>
      </w:r>
      <w:r w:rsidRPr="00237A2C">
        <w:t xml:space="preserve"> RRV 1996:50 s. 263</w:t>
      </w:r>
    </w:p>
  </w:footnote>
  <w:footnote w:id="111">
    <w:p w:rsidR="00AE50BA" w:rsidRPr="00237A2C" w:rsidRDefault="00AE50BA">
      <w:pPr>
        <w:pStyle w:val="Fotnotstext"/>
      </w:pPr>
      <w:r w:rsidRPr="00237A2C">
        <w:rPr>
          <w:rStyle w:val="Fotnotsreferens"/>
        </w:rPr>
        <w:footnoteRef/>
      </w:r>
      <w:r w:rsidRPr="00237A2C">
        <w:t xml:space="preserve"> Jacobsson 1984, s. 156-161</w:t>
      </w:r>
    </w:p>
  </w:footnote>
  <w:footnote w:id="112">
    <w:p w:rsidR="00AE50BA" w:rsidRPr="00237A2C" w:rsidRDefault="00AE50BA">
      <w:pPr>
        <w:pStyle w:val="Fotnotstext"/>
      </w:pPr>
      <w:r w:rsidRPr="00237A2C">
        <w:rPr>
          <w:rStyle w:val="Fotnotsreferens"/>
        </w:rPr>
        <w:footnoteRef/>
      </w:r>
      <w:r w:rsidRPr="00237A2C">
        <w:t xml:space="preserve"> Ds 2000:17, s. 83</w:t>
      </w:r>
    </w:p>
  </w:footnote>
  <w:footnote w:id="113">
    <w:p w:rsidR="00AE50BA" w:rsidRPr="00237A2C" w:rsidRDefault="00AE50BA">
      <w:pPr>
        <w:pStyle w:val="Fotnotstext"/>
      </w:pPr>
      <w:r w:rsidRPr="00237A2C">
        <w:rPr>
          <w:rStyle w:val="Fotnotsreferens"/>
        </w:rPr>
        <w:footnoteRef/>
      </w:r>
      <w:r w:rsidRPr="00237A2C">
        <w:t xml:space="preserve"> Mål- och resultatstyrningen innebär att  riksdag och regering ålägger myndigheter att fullgöra vissa uppgifter genom att sätta upp mål för verksamheten och för att dessa mål skall kunna förverkligas tilldelas ekonomiska medel. Myndigheten har stora möjligheter att själv avgöra på vilket sätt dessa anslag  skall användas, så länge de politiskt uppsatta målen nås. (RRV 1996:50, s. 86)</w:t>
      </w:r>
    </w:p>
  </w:footnote>
  <w:footnote w:id="114">
    <w:p w:rsidR="00AE50BA" w:rsidRPr="00237A2C" w:rsidRDefault="00AE50BA">
      <w:pPr>
        <w:pStyle w:val="Fotnotstext"/>
      </w:pPr>
      <w:r w:rsidRPr="00237A2C">
        <w:rPr>
          <w:rStyle w:val="Fotnotsreferens"/>
        </w:rPr>
        <w:footnoteRef/>
      </w:r>
      <w:r w:rsidRPr="00237A2C">
        <w:t xml:space="preserve"> Ehn 1998, s. 177, Ehn och Sundström 1997, s. 90f, Ds 2000:17, s. 84</w:t>
      </w:r>
    </w:p>
  </w:footnote>
  <w:footnote w:id="115">
    <w:p w:rsidR="00AE50BA" w:rsidRPr="00237A2C" w:rsidRDefault="00AE50BA">
      <w:pPr>
        <w:pStyle w:val="Fotnotstext"/>
      </w:pPr>
      <w:r w:rsidRPr="00237A2C">
        <w:rPr>
          <w:rStyle w:val="Fotnotsreferens"/>
        </w:rPr>
        <w:footnoteRef/>
      </w:r>
      <w:r w:rsidRPr="00237A2C">
        <w:t xml:space="preserve"> Ds 2000:17, s. 84</w:t>
      </w:r>
    </w:p>
  </w:footnote>
  <w:footnote w:id="116">
    <w:p w:rsidR="00AE50BA" w:rsidRPr="00237A2C" w:rsidRDefault="00AE50BA">
      <w:pPr>
        <w:pStyle w:val="Fotnotstext"/>
      </w:pPr>
      <w:r w:rsidRPr="00237A2C">
        <w:rPr>
          <w:rStyle w:val="Fotnotsreferens"/>
        </w:rPr>
        <w:footnoteRef/>
      </w:r>
      <w:r w:rsidRPr="00237A2C">
        <w:t xml:space="preserve"> Ehn och Sundström 1997 s. 90 ff</w:t>
      </w:r>
    </w:p>
  </w:footnote>
  <w:footnote w:id="117">
    <w:p w:rsidR="00AE50BA" w:rsidRPr="00237A2C" w:rsidRDefault="00AE50BA">
      <w:pPr>
        <w:pStyle w:val="Fotnotstext"/>
      </w:pPr>
      <w:r w:rsidRPr="00237A2C">
        <w:rPr>
          <w:rStyle w:val="Fotnotsreferens"/>
        </w:rPr>
        <w:footnoteRef/>
      </w:r>
      <w:r w:rsidRPr="00237A2C">
        <w:t xml:space="preserve"> Ekonomirådets rapport 2000, s. 62, Genell 2000, s. 10</w:t>
      </w:r>
    </w:p>
  </w:footnote>
  <w:footnote w:id="118">
    <w:p w:rsidR="00AE50BA" w:rsidRPr="00237A2C" w:rsidRDefault="00AE50BA">
      <w:pPr>
        <w:pStyle w:val="Fotnotstext"/>
      </w:pPr>
      <w:r w:rsidRPr="00237A2C">
        <w:rPr>
          <w:rStyle w:val="Fotnotsreferens"/>
        </w:rPr>
        <w:footnoteRef/>
      </w:r>
      <w:r w:rsidRPr="00237A2C">
        <w:t xml:space="preserve"> Rothstein 1986, s. 200</w:t>
      </w:r>
    </w:p>
  </w:footnote>
  <w:footnote w:id="119">
    <w:p w:rsidR="00AE50BA" w:rsidRPr="00237A2C" w:rsidRDefault="00AE50BA">
      <w:pPr>
        <w:pStyle w:val="Fotnotstext"/>
      </w:pPr>
      <w:r w:rsidRPr="00237A2C">
        <w:rPr>
          <w:rStyle w:val="Fotnotsreferens"/>
        </w:rPr>
        <w:footnoteRef/>
      </w:r>
      <w:r w:rsidRPr="00237A2C">
        <w:t xml:space="preserve"> Jacobsson 1984, s. 153</w:t>
      </w:r>
    </w:p>
  </w:footnote>
  <w:footnote w:id="120">
    <w:p w:rsidR="00AE50BA" w:rsidRPr="00237A2C" w:rsidRDefault="00AE50BA">
      <w:pPr>
        <w:pStyle w:val="Fotnotstext"/>
      </w:pPr>
      <w:r w:rsidRPr="00237A2C">
        <w:rPr>
          <w:rStyle w:val="Fotnotsreferens"/>
        </w:rPr>
        <w:footnoteRef/>
      </w:r>
      <w:r w:rsidRPr="00237A2C">
        <w:t xml:space="preserve"> Ehn 1998, s. 159 Med andra ord ser tjänstemannen inte längre att ett politiskt engagemang står i motsatts till den egna yrkesrollen och att tjänstemannen numera ofta anser att han/hon kan utföra sitt arbete på ett opartiskt sätt, trots att han/hon står för en viss politisk uppfattning (Ehn 1998, s. 184)</w:t>
      </w:r>
    </w:p>
  </w:footnote>
  <w:footnote w:id="121">
    <w:p w:rsidR="00AE50BA" w:rsidRPr="00237A2C" w:rsidRDefault="00AE50BA">
      <w:pPr>
        <w:pStyle w:val="Fotnotstext"/>
      </w:pPr>
      <w:r w:rsidRPr="00237A2C">
        <w:rPr>
          <w:rStyle w:val="Fotnotsreferens"/>
        </w:rPr>
        <w:footnoteRef/>
      </w:r>
      <w:r w:rsidRPr="00237A2C">
        <w:t xml:space="preserve"> Ekonomirådets rapport 2000, s. 63</w:t>
      </w:r>
    </w:p>
  </w:footnote>
  <w:footnote w:id="122">
    <w:p w:rsidR="00AE50BA" w:rsidRPr="00237A2C" w:rsidRDefault="00AE50BA">
      <w:pPr>
        <w:pStyle w:val="Fotnotstext"/>
      </w:pPr>
      <w:r w:rsidRPr="00237A2C">
        <w:rPr>
          <w:rStyle w:val="Fotnotsreferens"/>
        </w:rPr>
        <w:footnoteRef/>
      </w:r>
      <w:r w:rsidRPr="00237A2C">
        <w:t xml:space="preserve"> Genell 2000, s. 10</w:t>
      </w:r>
    </w:p>
  </w:footnote>
  <w:footnote w:id="123">
    <w:p w:rsidR="00AE50BA" w:rsidRPr="00237A2C" w:rsidRDefault="00AE50BA">
      <w:pPr>
        <w:pStyle w:val="Fotnotstext"/>
      </w:pPr>
      <w:r w:rsidRPr="00237A2C">
        <w:rPr>
          <w:rStyle w:val="Fotnotsreferens"/>
        </w:rPr>
        <w:footnoteRef/>
      </w:r>
      <w:r w:rsidRPr="00237A2C">
        <w:t xml:space="preserve"> Jacobsson 1984, s. 144f</w:t>
      </w:r>
    </w:p>
  </w:footnote>
  <w:footnote w:id="124">
    <w:p w:rsidR="00AE50BA" w:rsidRPr="00237A2C" w:rsidRDefault="00AE50BA">
      <w:pPr>
        <w:pStyle w:val="Fotnotstext"/>
      </w:pPr>
      <w:r w:rsidRPr="00237A2C">
        <w:rPr>
          <w:rStyle w:val="Fotnotsreferens"/>
        </w:rPr>
        <w:footnoteRef/>
      </w:r>
      <w:r w:rsidRPr="00237A2C">
        <w:t xml:space="preserve"> Jacobsson 1984, s. 145 och 149</w:t>
      </w:r>
    </w:p>
  </w:footnote>
  <w:footnote w:id="125">
    <w:p w:rsidR="00AE50BA" w:rsidRPr="00237A2C" w:rsidRDefault="00AE50BA">
      <w:pPr>
        <w:pStyle w:val="Fotnotstext"/>
      </w:pPr>
      <w:r w:rsidRPr="00237A2C">
        <w:rPr>
          <w:rStyle w:val="Fotnotsreferens"/>
        </w:rPr>
        <w:footnoteRef/>
      </w:r>
      <w:r w:rsidRPr="00237A2C">
        <w:t xml:space="preserve"> Jacobsson 1984, s. 146</w:t>
      </w:r>
    </w:p>
  </w:footnote>
  <w:footnote w:id="126">
    <w:p w:rsidR="00AE50BA" w:rsidRPr="00237A2C" w:rsidRDefault="00AE50BA">
      <w:pPr>
        <w:pStyle w:val="Fotnotstext"/>
      </w:pPr>
      <w:r w:rsidRPr="00237A2C">
        <w:rPr>
          <w:rStyle w:val="Fotnotsreferens"/>
        </w:rPr>
        <w:footnoteRef/>
      </w:r>
      <w:r w:rsidRPr="00237A2C">
        <w:t xml:space="preserve"> Jacobsson 1984, s. 146 f</w:t>
      </w:r>
    </w:p>
  </w:footnote>
  <w:footnote w:id="127">
    <w:p w:rsidR="00AE50BA" w:rsidRPr="00237A2C" w:rsidRDefault="00AE50BA">
      <w:pPr>
        <w:pStyle w:val="Fotnotstext"/>
      </w:pPr>
      <w:r w:rsidRPr="00237A2C">
        <w:rPr>
          <w:rStyle w:val="Fotnotsreferens"/>
        </w:rPr>
        <w:footnoteRef/>
      </w:r>
      <w:r w:rsidRPr="00237A2C">
        <w:t xml:space="preserve"> Jacobsson 1984, s. 150</w:t>
      </w:r>
    </w:p>
  </w:footnote>
  <w:footnote w:id="128">
    <w:p w:rsidR="00AE50BA" w:rsidRPr="00237A2C" w:rsidRDefault="00AE50BA">
      <w:pPr>
        <w:pStyle w:val="Fotnotstext"/>
      </w:pPr>
      <w:r w:rsidRPr="00237A2C">
        <w:rPr>
          <w:rStyle w:val="Fotnotsreferens"/>
        </w:rPr>
        <w:footnoteRef/>
      </w:r>
      <w:r w:rsidRPr="00237A2C">
        <w:t xml:space="preserve"> Jacobsson 1984, s. 153 och 161</w:t>
      </w:r>
    </w:p>
  </w:footnote>
  <w:footnote w:id="129">
    <w:p w:rsidR="00AE50BA" w:rsidRPr="00237A2C" w:rsidRDefault="00AE50BA">
      <w:pPr>
        <w:pStyle w:val="Fotnotstext"/>
      </w:pPr>
      <w:r w:rsidRPr="00237A2C">
        <w:rPr>
          <w:rStyle w:val="Fotnotsreferens"/>
        </w:rPr>
        <w:footnoteRef/>
      </w:r>
      <w:r w:rsidRPr="00237A2C">
        <w:t xml:space="preserve"> Jacobsson 1984, s. 166</w:t>
      </w:r>
    </w:p>
  </w:footnote>
  <w:footnote w:id="130">
    <w:p w:rsidR="00AE50BA" w:rsidRPr="00237A2C" w:rsidRDefault="00AE50BA">
      <w:pPr>
        <w:pStyle w:val="Fotnotstext"/>
      </w:pPr>
      <w:r w:rsidRPr="00237A2C">
        <w:rPr>
          <w:rStyle w:val="Fotnotsreferens"/>
        </w:rPr>
        <w:footnoteRef/>
      </w:r>
      <w:r w:rsidRPr="00237A2C">
        <w:t xml:space="preserve"> Ehn och Sundström 1997, s. 104</w:t>
      </w:r>
    </w:p>
  </w:footnote>
  <w:footnote w:id="131">
    <w:p w:rsidR="00AE50BA" w:rsidRPr="00237A2C" w:rsidRDefault="00AE50BA">
      <w:pPr>
        <w:pStyle w:val="Fotnotstext"/>
      </w:pPr>
      <w:r w:rsidRPr="00237A2C">
        <w:rPr>
          <w:rStyle w:val="Fotnotsreferens"/>
        </w:rPr>
        <w:footnoteRef/>
      </w:r>
      <w:r w:rsidRPr="00237A2C">
        <w:t xml:space="preserve"> Statskontoret 1996:7, s. 82</w:t>
      </w:r>
    </w:p>
  </w:footnote>
  <w:footnote w:id="132">
    <w:p w:rsidR="00AE50BA" w:rsidRPr="00237A2C" w:rsidRDefault="00AE50BA">
      <w:pPr>
        <w:pStyle w:val="Fotnotstext"/>
      </w:pPr>
      <w:r w:rsidRPr="00237A2C">
        <w:rPr>
          <w:rStyle w:val="Fotnotsreferens"/>
        </w:rPr>
        <w:footnoteRef/>
      </w:r>
      <w:r w:rsidRPr="00237A2C">
        <w:t xml:space="preserve"> Statskontoret 1996:7, s. 84, Ehn och Sundström 1997, s. 105. En ny undersökning hävdar att 37% av myndighetstjänstemän som deltar i EU-fora uppger att de vanligtvis inte får någon styrsignal från politisk nivå (från regering/statsråd). Motsvarande siffra för de undersökta enheterna inom departementen är 8%. När styrsignaler väl ges från den politiska nivån uppger ungefär hälften av de undersökta myndighetsenheterna att dessa är av mer generell och övergripande karaktär, medan en femtedel uppger att signale</w:t>
      </w:r>
      <w:r w:rsidRPr="00237A2C">
        <w:t>rna är mer precisa. Den höga siffran för myndighetstjänstemän beror förmodl</w:t>
      </w:r>
      <w:r w:rsidRPr="00237A2C">
        <w:t>i</w:t>
      </w:r>
      <w:r w:rsidRPr="00237A2C">
        <w:t>gen på att de får styrsignaler från tjänstemännen i departementet (som de förmodligen inte räknar till politisk nivå). Emellertid uppger tre av tio enheter på myndighetsnivå att de vanligen  inte heller får någon styrsignal från ”överordnad förvaltningsnivå” (vilket avser tjänstemannanivån inom departementet). (Jacobsson och Sundström 1999, s. 56 f.)</w:t>
      </w:r>
    </w:p>
  </w:footnote>
  <w:footnote w:id="133">
    <w:p w:rsidR="00AE50BA" w:rsidRPr="00237A2C" w:rsidRDefault="00AE50BA">
      <w:pPr>
        <w:pStyle w:val="Fotnotstext"/>
      </w:pPr>
      <w:r w:rsidRPr="00237A2C">
        <w:rPr>
          <w:rStyle w:val="Fotnotsreferens"/>
        </w:rPr>
        <w:footnoteRef/>
      </w:r>
      <w:r w:rsidRPr="00237A2C">
        <w:t xml:space="preserve"> Statskontoret 1996:7, s. 122</w:t>
      </w:r>
    </w:p>
  </w:footnote>
  <w:footnote w:id="134">
    <w:p w:rsidR="00AE50BA" w:rsidRPr="00237A2C" w:rsidRDefault="00AE50BA">
      <w:pPr>
        <w:pStyle w:val="Fotnotstext"/>
      </w:pPr>
      <w:r w:rsidRPr="00237A2C">
        <w:rPr>
          <w:rStyle w:val="Fotnotsreferens"/>
        </w:rPr>
        <w:footnoteRef/>
      </w:r>
      <w:r w:rsidRPr="00237A2C">
        <w:t xml:space="preserve"> Jacobsson och Sundström 1999, s. 56</w:t>
      </w:r>
      <w:r w:rsidRPr="00237A2C">
        <w:sym w:font="Symbol" w:char="F02D"/>
      </w:r>
      <w:r w:rsidRPr="00237A2C">
        <w:t>59</w:t>
      </w:r>
    </w:p>
  </w:footnote>
  <w:footnote w:id="135">
    <w:p w:rsidR="00AE50BA" w:rsidRPr="00237A2C" w:rsidRDefault="00AE50BA">
      <w:pPr>
        <w:pStyle w:val="Fotnotstext"/>
      </w:pPr>
      <w:r w:rsidRPr="00237A2C">
        <w:rPr>
          <w:rStyle w:val="Fotnotsreferens"/>
        </w:rPr>
        <w:footnoteRef/>
      </w:r>
      <w:r w:rsidRPr="00237A2C">
        <w:t xml:space="preserve"> Jacobsson och Sundström 1999, s. 59-60</w:t>
      </w:r>
    </w:p>
  </w:footnote>
  <w:footnote w:id="136">
    <w:p w:rsidR="00AE50BA" w:rsidRPr="00237A2C" w:rsidRDefault="00AE50BA">
      <w:pPr>
        <w:pStyle w:val="Fotnotstext"/>
      </w:pPr>
      <w:r w:rsidRPr="00237A2C">
        <w:rPr>
          <w:rStyle w:val="Fotnotsreferens"/>
        </w:rPr>
        <w:footnoteRef/>
      </w:r>
      <w:r w:rsidRPr="00237A2C">
        <w:t xml:space="preserve"> Jacobsson och Sundström 1999, s. 55</w:t>
      </w:r>
    </w:p>
  </w:footnote>
  <w:footnote w:id="137">
    <w:p w:rsidR="00AE50BA" w:rsidRPr="00237A2C" w:rsidRDefault="00AE50BA">
      <w:pPr>
        <w:pStyle w:val="Fotnotstext"/>
      </w:pPr>
      <w:r w:rsidRPr="00237A2C">
        <w:rPr>
          <w:rStyle w:val="Fotnotsreferens"/>
        </w:rPr>
        <w:footnoteRef/>
      </w:r>
      <w:r w:rsidRPr="00237A2C">
        <w:t xml:space="preserve"> Statskontoret 1996:7, s. 82 f</w:t>
      </w:r>
    </w:p>
  </w:footnote>
  <w:footnote w:id="138">
    <w:p w:rsidR="00AE50BA" w:rsidRPr="00237A2C" w:rsidRDefault="00AE50BA">
      <w:pPr>
        <w:pStyle w:val="Fotnotstext"/>
      </w:pPr>
      <w:r w:rsidRPr="00237A2C">
        <w:rPr>
          <w:rStyle w:val="Fotnotsreferens"/>
        </w:rPr>
        <w:footnoteRef/>
      </w:r>
      <w:r w:rsidRPr="00237A2C">
        <w:t xml:space="preserve"> Statskontoret 1996:7, s. 87 och s. 122</w:t>
      </w:r>
    </w:p>
  </w:footnote>
  <w:footnote w:id="139">
    <w:p w:rsidR="00AE50BA" w:rsidRPr="00237A2C" w:rsidRDefault="00AE50BA">
      <w:pPr>
        <w:pStyle w:val="Fotnotstext"/>
      </w:pPr>
      <w:r w:rsidRPr="00237A2C">
        <w:rPr>
          <w:rStyle w:val="Fotnotsreferens"/>
        </w:rPr>
        <w:footnoteRef/>
      </w:r>
      <w:r w:rsidRPr="00237A2C">
        <w:t xml:space="preserve"> Jacobsson och Sundström 1999, s. 67</w:t>
      </w:r>
    </w:p>
  </w:footnote>
  <w:footnote w:id="140">
    <w:p w:rsidR="00AE50BA" w:rsidRPr="00237A2C" w:rsidRDefault="00AE50BA">
      <w:pPr>
        <w:pStyle w:val="Fotnotstext"/>
      </w:pPr>
      <w:r w:rsidRPr="00237A2C">
        <w:rPr>
          <w:rStyle w:val="Fotnotsreferens"/>
        </w:rPr>
        <w:footnoteRef/>
      </w:r>
      <w:r w:rsidRPr="00237A2C">
        <w:t xml:space="preserve"> Statskontoret 1996:7, s. 9 och s. 17</w:t>
      </w:r>
    </w:p>
  </w:footnote>
  <w:footnote w:id="141">
    <w:p w:rsidR="00AE50BA" w:rsidRPr="00237A2C" w:rsidRDefault="00AE50BA">
      <w:pPr>
        <w:pStyle w:val="Fotnotstext"/>
      </w:pPr>
      <w:r w:rsidRPr="00237A2C">
        <w:rPr>
          <w:rStyle w:val="Fotnotsreferens"/>
        </w:rPr>
        <w:footnoteRef/>
      </w:r>
      <w:r w:rsidRPr="00237A2C">
        <w:t xml:space="preserve"> Jacobsson 1997, s. 79 och s. 113</w:t>
      </w:r>
    </w:p>
  </w:footnote>
  <w:footnote w:id="142">
    <w:p w:rsidR="00AE50BA" w:rsidRPr="00237A2C" w:rsidRDefault="00AE50BA">
      <w:pPr>
        <w:pStyle w:val="Fotnotstext"/>
      </w:pPr>
      <w:r w:rsidRPr="00237A2C">
        <w:rPr>
          <w:rStyle w:val="Fotnotsreferens"/>
        </w:rPr>
        <w:footnoteRef/>
      </w:r>
      <w:r w:rsidRPr="00237A2C">
        <w:t xml:space="preserve"> Jacobsson 1997, s. 113</w:t>
      </w:r>
    </w:p>
  </w:footnote>
  <w:footnote w:id="143">
    <w:p w:rsidR="00AE50BA" w:rsidRPr="00237A2C" w:rsidRDefault="00AE50BA">
      <w:pPr>
        <w:pStyle w:val="Fotnotstext"/>
      </w:pPr>
      <w:r w:rsidRPr="00237A2C">
        <w:rPr>
          <w:rStyle w:val="Fotnotsreferens"/>
        </w:rPr>
        <w:footnoteRef/>
      </w:r>
      <w:r w:rsidRPr="00237A2C">
        <w:t xml:space="preserve"> Graden av faktiskt ministerstyre växlade med rådande sakförhållanden från depa</w:t>
      </w:r>
      <w:r w:rsidRPr="00237A2C">
        <w:t>r</w:t>
      </w:r>
      <w:r w:rsidRPr="00237A2C">
        <w:t>tement till departement och förändrades under krisens gång. I samband med att krisl</w:t>
      </w:r>
      <w:r w:rsidRPr="00237A2C">
        <w:t>ä</w:t>
      </w:r>
      <w:r w:rsidRPr="00237A2C">
        <w:t>get förbättrades, sägs ministerstyret ha minskat. De direkta orsakerna till det faktiska ministerstyret var den stora mängden ärenden som skulle behandlas samt det pressade tidsläget. Bland de centrala områden som berördes av ministerstyret  kan nämnas utrikes-, försvars-  och finansministrarnas själv</w:t>
      </w:r>
      <w:r w:rsidRPr="00237A2C">
        <w:softHyphen/>
        <w:t xml:space="preserve">ständiga agerande i många spörsmål. (Friberg </w:t>
      </w:r>
      <w:r w:rsidRPr="00237A2C">
        <w:t>1973, s. 27 och s. 314)</w:t>
      </w:r>
    </w:p>
  </w:footnote>
  <w:footnote w:id="144">
    <w:p w:rsidR="00AE50BA" w:rsidRPr="00237A2C" w:rsidRDefault="00AE50BA">
      <w:pPr>
        <w:pStyle w:val="Fotnotstext"/>
      </w:pPr>
      <w:r w:rsidRPr="00237A2C">
        <w:rPr>
          <w:rStyle w:val="Fotnotsreferens"/>
        </w:rPr>
        <w:footnoteRef/>
      </w:r>
      <w:r w:rsidRPr="00237A2C">
        <w:t> Se t.ex. Petersson 1991, kapitel 2 och 11.</w:t>
      </w:r>
    </w:p>
  </w:footnote>
  <w:footnote w:id="145">
    <w:p w:rsidR="00AE50BA" w:rsidRPr="00237A2C" w:rsidRDefault="00AE50BA">
      <w:pPr>
        <w:pStyle w:val="Fotnotstext"/>
      </w:pPr>
      <w:r w:rsidRPr="00237A2C">
        <w:rPr>
          <w:rStyle w:val="Fotnotsreferens"/>
        </w:rPr>
        <w:footnoteRef/>
      </w:r>
      <w:r w:rsidRPr="00237A2C">
        <w:t xml:space="preserve"> Nissen, 1984, s. 196; Christensen B. och Espersen 1983, s. 53.</w:t>
      </w:r>
    </w:p>
  </w:footnote>
  <w:footnote w:id="146">
    <w:p w:rsidR="00AE50BA" w:rsidRPr="00237A2C" w:rsidRDefault="00AE50BA">
      <w:pPr>
        <w:pStyle w:val="Fotnotstext"/>
      </w:pPr>
      <w:r w:rsidRPr="00237A2C">
        <w:rPr>
          <w:rStyle w:val="Fotnotsreferens"/>
        </w:rPr>
        <w:footnoteRef/>
      </w:r>
      <w:r w:rsidRPr="00237A2C">
        <w:t xml:space="preserve"> Knudsen 1995, s. 234.</w:t>
      </w:r>
    </w:p>
  </w:footnote>
  <w:footnote w:id="147">
    <w:p w:rsidR="00AE50BA" w:rsidRPr="00237A2C" w:rsidRDefault="00AE50BA">
      <w:pPr>
        <w:pStyle w:val="Fotnotstext"/>
      </w:pPr>
      <w:r w:rsidRPr="00237A2C">
        <w:rPr>
          <w:rStyle w:val="Fotnotsreferens"/>
        </w:rPr>
        <w:footnoteRef/>
      </w:r>
      <w:r w:rsidRPr="00237A2C">
        <w:t xml:space="preserve"> Knudsen 1995, s. 266.</w:t>
      </w:r>
    </w:p>
  </w:footnote>
  <w:footnote w:id="148">
    <w:p w:rsidR="00AE50BA" w:rsidRPr="00237A2C" w:rsidRDefault="00AE50BA">
      <w:pPr>
        <w:pStyle w:val="Fotnotstext"/>
      </w:pPr>
      <w:r w:rsidRPr="00237A2C">
        <w:rPr>
          <w:rStyle w:val="Fotnotsreferens"/>
        </w:rPr>
        <w:footnoteRef/>
      </w:r>
      <w:r w:rsidRPr="00237A2C">
        <w:t xml:space="preserve"> Christensen J.P. 1995; Jfr Svardal 1994, s. 24.</w:t>
      </w:r>
    </w:p>
    <w:p w:rsidR="00AE50BA" w:rsidRPr="00237A2C" w:rsidRDefault="00AE50BA">
      <w:pPr>
        <w:pStyle w:val="Fotnotstext"/>
      </w:pPr>
      <w:r w:rsidRPr="00237A2C">
        <w:t>Frågan om familjesammanföring av några tamilska flyktingar och deras närstående kom att leda till en justitieministers avgång (Erik Ninn Hansen, Konservative) och att denne senare blev dömd i Riksrätten för lagbrott i rollen som minister. I sin förlän</w:t>
      </w:r>
      <w:r w:rsidRPr="00237A2C">
        <w:t>g</w:t>
      </w:r>
      <w:r w:rsidRPr="00237A2C">
        <w:t>ning ledde affären också till att den borgerliga regeringen 1993 tvingades att avgå, eftersom statsministern (Poul Schlüter, likaledes de Konservative) ansågs ha lämnat vilseledande upplysningar angående regeringens kännedom om hanteringen av äre</w:t>
      </w:r>
      <w:r w:rsidRPr="00237A2C">
        <w:t>n</w:t>
      </w:r>
      <w:r w:rsidRPr="00237A2C">
        <w:t>de</w:t>
      </w:r>
      <w:r w:rsidRPr="00237A2C">
        <w:softHyphen/>
      </w:r>
      <w:r w:rsidRPr="00237A2C">
        <w:softHyphen/>
        <w:t>na i Folketinget.</w:t>
      </w:r>
    </w:p>
  </w:footnote>
  <w:footnote w:id="149">
    <w:p w:rsidR="00AE50BA" w:rsidRPr="00237A2C" w:rsidRDefault="00AE50BA">
      <w:pPr>
        <w:pStyle w:val="Fotnotstext"/>
      </w:pPr>
      <w:r w:rsidRPr="00237A2C">
        <w:rPr>
          <w:rStyle w:val="Fotnotsreferens"/>
        </w:rPr>
        <w:footnoteRef/>
      </w:r>
      <w:r w:rsidRPr="00237A2C">
        <w:t xml:space="preserve"> Christensen B., 1993, s. 398.</w:t>
      </w:r>
    </w:p>
  </w:footnote>
  <w:footnote w:id="150">
    <w:p w:rsidR="00AE50BA" w:rsidRPr="00237A2C" w:rsidRDefault="00AE50BA">
      <w:pPr>
        <w:pStyle w:val="Fotnotstext"/>
      </w:pPr>
      <w:r w:rsidRPr="00237A2C">
        <w:rPr>
          <w:rStyle w:val="Fotnotsreferens"/>
        </w:rPr>
        <w:footnoteRef/>
      </w:r>
      <w:r w:rsidRPr="00237A2C">
        <w:t xml:space="preserve"> Christensen B. 1993, s. 397.</w:t>
      </w:r>
    </w:p>
  </w:footnote>
  <w:footnote w:id="151">
    <w:p w:rsidR="00AE50BA" w:rsidRPr="00237A2C" w:rsidRDefault="00AE50BA">
      <w:pPr>
        <w:pStyle w:val="Fotnotstext"/>
      </w:pPr>
      <w:r w:rsidRPr="00237A2C">
        <w:rPr>
          <w:rStyle w:val="Fotnotsreferens"/>
        </w:rPr>
        <w:footnoteRef/>
      </w:r>
      <w:r w:rsidRPr="00237A2C">
        <w:t xml:space="preserve"> Christensen B., 1994, s. 233.</w:t>
      </w:r>
    </w:p>
  </w:footnote>
  <w:footnote w:id="152">
    <w:p w:rsidR="00AE50BA" w:rsidRPr="00237A2C" w:rsidRDefault="00AE50BA">
      <w:pPr>
        <w:pStyle w:val="Fotnotstext"/>
      </w:pPr>
      <w:r w:rsidRPr="00237A2C">
        <w:rPr>
          <w:rStyle w:val="Fotnotsreferens"/>
        </w:rPr>
        <w:footnoteRef/>
      </w:r>
      <w:r w:rsidRPr="00237A2C">
        <w:t xml:space="preserve"> Busck, 1988, s. 23.</w:t>
      </w:r>
    </w:p>
  </w:footnote>
  <w:footnote w:id="153">
    <w:p w:rsidR="00AE50BA" w:rsidRPr="00237A2C" w:rsidRDefault="00AE50BA">
      <w:pPr>
        <w:pStyle w:val="Fotnotstext"/>
      </w:pPr>
      <w:r w:rsidRPr="00237A2C">
        <w:rPr>
          <w:rStyle w:val="Fotnotsreferens"/>
        </w:rPr>
        <w:footnoteRef/>
      </w:r>
      <w:r w:rsidRPr="00237A2C">
        <w:t xml:space="preserve"> Christensen B., 1993, s. 397 (min kursivering).</w:t>
      </w:r>
    </w:p>
  </w:footnote>
  <w:footnote w:id="154">
    <w:p w:rsidR="00AE50BA" w:rsidRPr="00237A2C" w:rsidRDefault="00AE50BA">
      <w:pPr>
        <w:pStyle w:val="Fotnotstext"/>
      </w:pPr>
      <w:r w:rsidRPr="00237A2C">
        <w:rPr>
          <w:rStyle w:val="Fotnotsreferens"/>
        </w:rPr>
        <w:footnoteRef/>
      </w:r>
      <w:r w:rsidRPr="00237A2C">
        <w:t xml:space="preserve"> Jfr Bjerregaard m.fl., 1994, s. 39. </w:t>
      </w:r>
    </w:p>
  </w:footnote>
  <w:footnote w:id="155">
    <w:p w:rsidR="00AE50BA" w:rsidRPr="00237A2C" w:rsidRDefault="00AE50BA">
      <w:pPr>
        <w:pStyle w:val="Fotnotstext"/>
      </w:pPr>
      <w:r w:rsidRPr="00237A2C">
        <w:rPr>
          <w:rStyle w:val="Fotnotsreferens"/>
        </w:rPr>
        <w:footnoteRef/>
      </w:r>
      <w:r w:rsidRPr="00237A2C">
        <w:t xml:space="preserve"> Jfr Herlitz, 1963, s. 276</w:t>
      </w:r>
      <w:r w:rsidRPr="00237A2C">
        <w:sym w:font="Symbol" w:char="F02D"/>
      </w:r>
      <w:r w:rsidRPr="00237A2C">
        <w:t>80.</w:t>
      </w:r>
    </w:p>
  </w:footnote>
  <w:footnote w:id="156">
    <w:p w:rsidR="00AE50BA" w:rsidRPr="00237A2C" w:rsidRDefault="00AE50BA">
      <w:pPr>
        <w:pStyle w:val="Fotnotstext"/>
      </w:pPr>
      <w:r w:rsidRPr="00237A2C">
        <w:rPr>
          <w:rStyle w:val="Fotnotsreferens"/>
        </w:rPr>
        <w:footnoteRef/>
      </w:r>
      <w:r w:rsidRPr="00237A2C">
        <w:t xml:space="preserve"> Busck, 1988, s. 22.</w:t>
      </w:r>
    </w:p>
  </w:footnote>
  <w:footnote w:id="157">
    <w:p w:rsidR="00AE50BA" w:rsidRPr="00237A2C" w:rsidRDefault="00AE50BA">
      <w:pPr>
        <w:pStyle w:val="Fotnotstext"/>
      </w:pPr>
      <w:r w:rsidRPr="00237A2C">
        <w:rPr>
          <w:rStyle w:val="Fotnotsreferens"/>
        </w:rPr>
        <w:footnoteRef/>
      </w:r>
      <w:r w:rsidRPr="00237A2C">
        <w:t xml:space="preserve"> Min tidiga</w:t>
      </w:r>
      <w:r w:rsidRPr="00237A2C">
        <w:softHyphen/>
        <w:t>re under</w:t>
      </w:r>
      <w:r w:rsidRPr="00237A2C">
        <w:softHyphen/>
        <w:t>sök</w:t>
      </w:r>
      <w:r w:rsidRPr="00237A2C">
        <w:softHyphen/>
      </w:r>
      <w:r w:rsidRPr="00237A2C">
        <w:softHyphen/>
        <w:t>ning av grundskoleområdet i Skandi</w:t>
      </w:r>
      <w:r w:rsidRPr="00237A2C">
        <w:softHyphen/>
        <w:t>na</w:t>
      </w:r>
      <w:r w:rsidRPr="00237A2C">
        <w:softHyphen/>
        <w:t>vien visar också att decen</w:t>
      </w:r>
      <w:r w:rsidRPr="00237A2C">
        <w:softHyphen/>
      </w:r>
      <w:r w:rsidRPr="00237A2C">
        <w:softHyphen/>
        <w:t>tra</w:t>
      </w:r>
      <w:r w:rsidRPr="00237A2C">
        <w:softHyphen/>
        <w:t>li</w:t>
      </w:r>
      <w:r w:rsidRPr="00237A2C">
        <w:softHyphen/>
        <w:t>se</w:t>
      </w:r>
      <w:r w:rsidRPr="00237A2C">
        <w:softHyphen/>
        <w:t>ring</w:t>
      </w:r>
      <w:r w:rsidRPr="00237A2C">
        <w:softHyphen/>
        <w:t>en i Danmark sedan länge är betydligt längre gången än i Sverige. Se Lindbom, 1995. Se också jämförelsen mellan den danska och svenska miljöpolitiken i Joas 1999.</w:t>
      </w:r>
    </w:p>
  </w:footnote>
  <w:footnote w:id="158">
    <w:p w:rsidR="00AE50BA" w:rsidRPr="00237A2C" w:rsidRDefault="00AE50BA">
      <w:pPr>
        <w:pStyle w:val="Fotnotstext"/>
      </w:pPr>
      <w:r w:rsidRPr="00237A2C">
        <w:rPr>
          <w:rStyle w:val="Fotnotsreferens"/>
        </w:rPr>
        <w:footnoteRef/>
      </w:r>
      <w:r w:rsidRPr="00237A2C">
        <w:t xml:space="preserve"> Busck, 1988, s. 21; Eriksen 1988, s. 18</w:t>
      </w:r>
      <w:r w:rsidRPr="00237A2C">
        <w:sym w:font="Symbol" w:char="F02D"/>
      </w:r>
      <w:r w:rsidRPr="00237A2C">
        <w:t>20, 29</w:t>
      </w:r>
      <w:r w:rsidRPr="00237A2C">
        <w:sym w:font="Symbol" w:char="F02D"/>
      </w:r>
      <w:r w:rsidRPr="00237A2C">
        <w:t>34.</w:t>
      </w:r>
    </w:p>
  </w:footnote>
  <w:footnote w:id="159">
    <w:p w:rsidR="00AE50BA" w:rsidRPr="00237A2C" w:rsidRDefault="00AE50BA">
      <w:pPr>
        <w:pStyle w:val="Fotnotstext"/>
      </w:pPr>
      <w:r w:rsidRPr="00237A2C">
        <w:rPr>
          <w:rStyle w:val="Fotnotsreferens"/>
        </w:rPr>
        <w:footnoteRef/>
      </w:r>
      <w:r w:rsidRPr="00237A2C">
        <w:t xml:space="preserve"> Om förvaltningshistoriens betydelse för dagens beslut se Lindbom 1995.</w:t>
      </w:r>
    </w:p>
  </w:footnote>
  <w:footnote w:id="160">
    <w:p w:rsidR="00AE50BA" w:rsidRPr="00237A2C" w:rsidRDefault="00AE50BA">
      <w:pPr>
        <w:pStyle w:val="Fotnotstext"/>
      </w:pPr>
      <w:r w:rsidRPr="00237A2C">
        <w:rPr>
          <w:rStyle w:val="Fotnotsreferens"/>
        </w:rPr>
        <w:footnoteRef/>
      </w:r>
      <w:r w:rsidRPr="00237A2C">
        <w:t xml:space="preserve"> Brofoss 1993, s. 52</w:t>
      </w:r>
      <w:r w:rsidRPr="00237A2C">
        <w:sym w:font="Symbol" w:char="F02D"/>
      </w:r>
      <w:r w:rsidRPr="00237A2C">
        <w:t>58. Nu betyder detta dock inte att det enskilda statsrådet inför Stortinget (eller för den delen det danska Folketinget) inte är ansvarigt för att ett direktorat utför sina uppgifter i linje med parlamentets och regeringens intentioner. Detta gäller också avseende den myndig</w:t>
      </w:r>
      <w:r w:rsidRPr="00237A2C">
        <w:softHyphen/>
        <w:t>hets</w:t>
      </w:r>
      <w:r w:rsidRPr="00237A2C">
        <w:softHyphen/>
        <w:t>ut</w:t>
      </w:r>
      <w:r w:rsidRPr="00237A2C">
        <w:softHyphen/>
        <w:t>övning ett direktorat har hand om. Statsrådet kan göras ansvarigt för att inte ha omprövat ett beslut där detta varit mö</w:t>
      </w:r>
      <w:r w:rsidRPr="00237A2C">
        <w:t>j</w:t>
      </w:r>
      <w:r w:rsidRPr="00237A2C">
        <w:t>ligt, men kanske framför allt för bristande instruk</w:t>
      </w:r>
      <w:r w:rsidRPr="00237A2C">
        <w:softHyphen/>
      </w:r>
      <w:r w:rsidRPr="00237A2C">
        <w:softHyphen/>
        <w:t>tio</w:t>
      </w:r>
      <w:r w:rsidRPr="00237A2C">
        <w:softHyphen/>
        <w:t>ner. Att ett beslut fattats p</w:t>
      </w:r>
      <w:r w:rsidRPr="00237A2C">
        <w:t>å d</w:t>
      </w:r>
      <w:r w:rsidRPr="00237A2C">
        <w:t>i</w:t>
      </w:r>
      <w:r w:rsidRPr="00237A2C">
        <w:t>rekto</w:t>
      </w:r>
      <w:r w:rsidRPr="00237A2C">
        <w:softHyphen/>
        <w:t>ratsnivå är alltså inte tillräck</w:t>
      </w:r>
      <w:r w:rsidRPr="00237A2C">
        <w:softHyphen/>
        <w:t xml:space="preserve">ligt för att ministern skall vara fri från ansvar. Men det anses vara ett legitimt </w:t>
      </w:r>
      <w:r w:rsidRPr="00237A2C">
        <w:rPr>
          <w:i/>
        </w:rPr>
        <w:t>argument</w:t>
      </w:r>
      <w:r w:rsidRPr="00237A2C">
        <w:t xml:space="preserve"> att hänvisa till ett sådant förhållande, vilket det såvitt jag kunnat förstå inte är i Danmark. En trolig anledning till denna skillnad är att medan det danska Folketinget inte blandar sig i arbets</w:t>
      </w:r>
      <w:r w:rsidRPr="00237A2C">
        <w:softHyphen/>
        <w:t>för</w:t>
      </w:r>
      <w:r w:rsidRPr="00237A2C">
        <w:softHyphen/>
        <w:t>del</w:t>
      </w:r>
      <w:r w:rsidRPr="00237A2C">
        <w:softHyphen/>
        <w:t>ningen inom ett minister</w:t>
      </w:r>
      <w:r w:rsidRPr="00237A2C">
        <w:t>i</w:t>
      </w:r>
      <w:r w:rsidRPr="00237A2C">
        <w:t>um behand</w:t>
      </w:r>
      <w:r w:rsidRPr="00237A2C">
        <w:softHyphen/>
        <w:t>las ofta sådana ärenden i norska Stortinget, vilket också har stoppat ett antal förslag om att upprätta direk</w:t>
      </w:r>
      <w:r w:rsidRPr="00237A2C">
        <w:softHyphen/>
        <w:t>to</w:t>
      </w:r>
      <w:r w:rsidRPr="00237A2C">
        <w:softHyphen/>
        <w:t>rat. Det förefal</w:t>
      </w:r>
      <w:r w:rsidRPr="00237A2C">
        <w:softHyphen/>
        <w:t>ler ri</w:t>
      </w:r>
      <w:r w:rsidRPr="00237A2C">
        <w:t>mligt att statsrådets ansvar för ministeriets organisa</w:t>
      </w:r>
      <w:r w:rsidRPr="00237A2C">
        <w:softHyphen/>
        <w:t>tion blir större i det danska systemet än i det norska. Stortingets entusiasm för att skapa direktorat är idag ganska begränsad, dels finns en rädsla för att direktorat blir svåra att styra, dels eftersträvas istället att decentralisera stora delar av de administra</w:t>
      </w:r>
      <w:r w:rsidRPr="00237A2C">
        <w:softHyphen/>
        <w:t>ti</w:t>
      </w:r>
      <w:r w:rsidRPr="00237A2C">
        <w:softHyphen/>
        <w:t>va ärendena. (Svardal, 1994, s. 62.)</w:t>
      </w:r>
    </w:p>
  </w:footnote>
  <w:footnote w:id="161">
    <w:p w:rsidR="00AE50BA" w:rsidRPr="00237A2C" w:rsidRDefault="00AE50BA">
      <w:pPr>
        <w:pStyle w:val="Fotnotstext"/>
      </w:pPr>
      <w:r w:rsidRPr="00237A2C">
        <w:rPr>
          <w:rStyle w:val="Fotnotsreferens"/>
        </w:rPr>
        <w:footnoteRef/>
      </w:r>
      <w:r w:rsidRPr="00237A2C">
        <w:t xml:space="preserve"> Regeringskollegiet träffas varje måndag och torsdag kl. 12 för de mer informella s.k. regeringskonferenserna. På fredagarna (kl. 11) fattas de formella besluten av </w:t>
      </w:r>
      <w:r w:rsidRPr="00237A2C">
        <w:rPr>
          <w:i/>
        </w:rPr>
        <w:t xml:space="preserve">Kongen i statsråd </w:t>
      </w:r>
      <w:r w:rsidRPr="00237A2C">
        <w:t>på slottet.</w:t>
      </w:r>
    </w:p>
  </w:footnote>
  <w:footnote w:id="162">
    <w:p w:rsidR="00AE50BA" w:rsidRPr="00237A2C" w:rsidRDefault="00AE50BA">
      <w:pPr>
        <w:pStyle w:val="Fotnotstext"/>
      </w:pPr>
      <w:r w:rsidRPr="00237A2C">
        <w:rPr>
          <w:rStyle w:val="Fotnotsreferens"/>
        </w:rPr>
        <w:footnoteRef/>
      </w:r>
      <w:r w:rsidRPr="00237A2C">
        <w:t xml:space="preserve"> Christensen J.P. 1995 och 1996.</w:t>
      </w:r>
    </w:p>
  </w:footnote>
  <w:footnote w:id="163">
    <w:p w:rsidR="00AE50BA" w:rsidRPr="00237A2C" w:rsidRDefault="00AE50BA">
      <w:pPr>
        <w:pStyle w:val="Fotnotstext"/>
      </w:pPr>
      <w:r w:rsidRPr="00237A2C">
        <w:rPr>
          <w:rStyle w:val="Fotnotsreferens"/>
        </w:rPr>
        <w:footnoteRef/>
      </w:r>
      <w:r w:rsidRPr="00237A2C">
        <w:t xml:space="preserve"> Christensen J.P. 1995 s. 452. </w:t>
      </w:r>
    </w:p>
  </w:footnote>
  <w:footnote w:id="164">
    <w:p w:rsidR="00AE50BA" w:rsidRPr="00237A2C" w:rsidRDefault="00AE50BA">
      <w:pPr>
        <w:pStyle w:val="Fotnotstext"/>
      </w:pPr>
      <w:r w:rsidRPr="00237A2C">
        <w:rPr>
          <w:rStyle w:val="Fotnotsreferens"/>
        </w:rPr>
        <w:footnoteRef/>
      </w:r>
      <w:r w:rsidRPr="00237A2C">
        <w:t xml:space="preserve"> Christensen J.P. 1995, s. 452.</w:t>
      </w:r>
    </w:p>
  </w:footnote>
  <w:footnote w:id="165">
    <w:p w:rsidR="00AE50BA" w:rsidRPr="00237A2C" w:rsidRDefault="00AE50BA">
      <w:pPr>
        <w:pStyle w:val="Fotnotstext"/>
      </w:pPr>
      <w:r w:rsidRPr="00237A2C">
        <w:rPr>
          <w:rStyle w:val="Fotnotsreferens"/>
        </w:rPr>
        <w:footnoteRef/>
      </w:r>
      <w:r w:rsidRPr="00237A2C">
        <w:t xml:space="preserve"> Christensen J.P. 1995, s. 455.</w:t>
      </w:r>
    </w:p>
  </w:footnote>
  <w:footnote w:id="166">
    <w:p w:rsidR="00AE50BA" w:rsidRPr="00237A2C" w:rsidRDefault="00AE50BA">
      <w:pPr>
        <w:pStyle w:val="Fotnotstext"/>
      </w:pPr>
      <w:r w:rsidRPr="00237A2C">
        <w:rPr>
          <w:rStyle w:val="Fotnotsreferens"/>
        </w:rPr>
        <w:footnoteRef/>
      </w:r>
      <w:r w:rsidRPr="00237A2C">
        <w:t xml:space="preserve"> Lov om ministres ansvarlighed (Folketingstidende 1963/64, C. sp. 225).</w:t>
      </w:r>
    </w:p>
  </w:footnote>
  <w:footnote w:id="167">
    <w:p w:rsidR="00AE50BA" w:rsidRPr="00237A2C" w:rsidRDefault="00AE50BA">
      <w:pPr>
        <w:pStyle w:val="Fotnotstext"/>
      </w:pPr>
      <w:r w:rsidRPr="00237A2C">
        <w:rPr>
          <w:rStyle w:val="Fotnotsreferens"/>
        </w:rPr>
        <w:footnoteRef/>
      </w:r>
      <w:r w:rsidRPr="00237A2C">
        <w:t xml:space="preserve"> Stavad fick i och för sig avgå beroende på att han i ett fall medvetet lämnat felakt</w:t>
      </w:r>
      <w:r w:rsidRPr="00237A2C">
        <w:t>i</w:t>
      </w:r>
      <w:r w:rsidRPr="00237A2C">
        <w:t>ga upplysningar i Folketinget.</w:t>
      </w:r>
    </w:p>
  </w:footnote>
  <w:footnote w:id="168">
    <w:p w:rsidR="00AE50BA" w:rsidRPr="00237A2C" w:rsidRDefault="00AE50BA">
      <w:pPr>
        <w:pStyle w:val="Fotnotstext"/>
      </w:pPr>
      <w:r w:rsidRPr="00237A2C">
        <w:rPr>
          <w:rStyle w:val="Fotnotsreferens"/>
        </w:rPr>
        <w:footnoteRef/>
      </w:r>
      <w:r w:rsidRPr="00237A2C">
        <w:t xml:space="preserve"> Christensen, J.P. 1995.</w:t>
      </w:r>
    </w:p>
  </w:footnote>
  <w:footnote w:id="169">
    <w:p w:rsidR="00AE50BA" w:rsidRPr="00237A2C" w:rsidRDefault="00AE50BA">
      <w:pPr>
        <w:pStyle w:val="Fotnotstext"/>
      </w:pPr>
      <w:r w:rsidRPr="00237A2C">
        <w:rPr>
          <w:rStyle w:val="Fotnotsreferens"/>
        </w:rPr>
        <w:footnoteRef/>
      </w:r>
      <w:r w:rsidRPr="00237A2C">
        <w:t xml:space="preserve"> Knudsen 1995, s. 271.</w:t>
      </w:r>
    </w:p>
  </w:footnote>
  <w:footnote w:id="170">
    <w:p w:rsidR="00AE50BA" w:rsidRPr="00237A2C" w:rsidRDefault="00AE50BA">
      <w:pPr>
        <w:pStyle w:val="Fotnotstext"/>
      </w:pPr>
      <w:r w:rsidRPr="00237A2C">
        <w:rPr>
          <w:rStyle w:val="Fotnotsreferens"/>
        </w:rPr>
        <w:footnoteRef/>
      </w:r>
      <w:r w:rsidRPr="00237A2C">
        <w:t xml:space="preserve"> Se t.ex. Grønnegård Christensen och Ibsen, 1994 s. 24 f.  respektive Svardal, 1994 s. 48. Det uppmärksammades för övrigt redan av Herlitz 1963 s. 248.</w:t>
      </w:r>
    </w:p>
  </w:footnote>
  <w:footnote w:id="171">
    <w:p w:rsidR="00AE50BA" w:rsidRPr="00237A2C" w:rsidRDefault="00AE50BA">
      <w:pPr>
        <w:pStyle w:val="Fotnotstext"/>
      </w:pPr>
      <w:r w:rsidRPr="00237A2C">
        <w:rPr>
          <w:rStyle w:val="Fotnotsreferens"/>
        </w:rPr>
        <w:footnoteRef/>
      </w:r>
      <w:r w:rsidRPr="00237A2C">
        <w:t xml:space="preserve"> Lindbom 1997.</w:t>
      </w:r>
    </w:p>
  </w:footnote>
  <w:footnote w:id="172">
    <w:p w:rsidR="00AE50BA" w:rsidRPr="00237A2C" w:rsidRDefault="00AE50BA">
      <w:pPr>
        <w:pStyle w:val="Fotnotstext"/>
      </w:pPr>
      <w:r w:rsidRPr="00237A2C">
        <w:rPr>
          <w:rStyle w:val="Fotnotsreferens"/>
        </w:rPr>
        <w:footnoteRef/>
      </w:r>
      <w:r w:rsidRPr="00237A2C">
        <w:t xml:space="preserve"> Två före detta statsråd understryker båda i Lindbom (1997) att de på andra depa</w:t>
      </w:r>
      <w:r w:rsidRPr="00237A2C">
        <w:t>r</w:t>
      </w:r>
      <w:r w:rsidRPr="00237A2C">
        <w:t>tement inte kom i kontakt med i närheten av så många förvaltningsärenden som på justitieministeriet.</w:t>
      </w:r>
    </w:p>
  </w:footnote>
  <w:footnote w:id="173">
    <w:p w:rsidR="00AE50BA" w:rsidRPr="00237A2C" w:rsidRDefault="00AE50BA">
      <w:pPr>
        <w:pStyle w:val="Fotnotstext"/>
      </w:pPr>
      <w:r w:rsidRPr="00237A2C">
        <w:rPr>
          <w:rStyle w:val="Fotnotsreferens"/>
        </w:rPr>
        <w:footnoteRef/>
      </w:r>
      <w:r w:rsidRPr="00237A2C">
        <w:t xml:space="preserve"> Lægreid och Olsen, 1978, s. 277.</w:t>
      </w:r>
    </w:p>
  </w:footnote>
  <w:footnote w:id="174">
    <w:p w:rsidR="00AE50BA" w:rsidRPr="00237A2C" w:rsidRDefault="00AE50BA">
      <w:pPr>
        <w:pStyle w:val="Fotnotstext"/>
      </w:pPr>
      <w:r w:rsidRPr="00237A2C">
        <w:rPr>
          <w:rStyle w:val="Fotnotsreferens"/>
        </w:rPr>
        <w:footnoteRef/>
      </w:r>
      <w:r w:rsidRPr="00237A2C">
        <w:t xml:space="preserve"> 1995/96:KU30 (Granskningsbetänkandet), Del 2, s. 1. Nådeärenden är i en viss mening inte fråga om rättstillämpning, eftersom en intagen aldrig har </w:t>
      </w:r>
      <w:r w:rsidRPr="00237A2C">
        <w:rPr>
          <w:i/>
        </w:rPr>
        <w:t>rätt</w:t>
      </w:r>
      <w:r w:rsidRPr="00237A2C">
        <w:t xml:space="preserve"> till nåd, vilket inte hindrar att det med tiden har framvuxit en ganska klar praxis för denna typ av avgöranden.</w:t>
      </w:r>
    </w:p>
  </w:footnote>
  <w:footnote w:id="175">
    <w:p w:rsidR="00AE50BA" w:rsidRPr="00237A2C" w:rsidRDefault="00AE50BA">
      <w:pPr>
        <w:pStyle w:val="Fotnotstext"/>
      </w:pPr>
      <w:r w:rsidRPr="00237A2C">
        <w:rPr>
          <w:rStyle w:val="Fotnotsreferens"/>
        </w:rPr>
        <w:footnoteRef/>
      </w:r>
      <w:r w:rsidRPr="00237A2C">
        <w:t xml:space="preserve"> SOU 1990:79. Antalet ärenden fortsatte att stiga under de följande åren. När utlä</w:t>
      </w:r>
      <w:r w:rsidRPr="00237A2C">
        <w:t>n</w:t>
      </w:r>
      <w:r w:rsidRPr="00237A2C">
        <w:t>nings</w:t>
      </w:r>
      <w:r w:rsidRPr="00237A2C">
        <w:softHyphen/>
        <w:t>nämn</w:t>
      </w:r>
      <w:r w:rsidRPr="00237A2C">
        <w:softHyphen/>
        <w:t>den inrättades 1992 övertog den 6385 överklagade avvisningsärenden från Kultur</w:t>
      </w:r>
      <w:r w:rsidRPr="00237A2C">
        <w:softHyphen/>
        <w:t>depar</w:t>
      </w:r>
      <w:r w:rsidRPr="00237A2C">
        <w:softHyphen/>
        <w:t>te</w:t>
      </w:r>
      <w:r w:rsidRPr="00237A2C">
        <w:softHyphen/>
        <w:t>men</w:t>
      </w:r>
      <w:r w:rsidRPr="00237A2C">
        <w:softHyphen/>
      </w:r>
      <w:r w:rsidRPr="00237A2C">
        <w:softHyphen/>
      </w:r>
      <w:r w:rsidRPr="00237A2C">
        <w:softHyphen/>
        <w:t>tet. 1992/93:KU30 (Gransk</w:t>
      </w:r>
      <w:r w:rsidRPr="00237A2C">
        <w:softHyphen/>
        <w:t>nings</w:t>
      </w:r>
      <w:r w:rsidRPr="00237A2C">
        <w:softHyphen/>
        <w:t>betänkandet), s. 97.</w:t>
      </w:r>
    </w:p>
  </w:footnote>
  <w:footnote w:id="176">
    <w:p w:rsidR="00AE50BA" w:rsidRPr="00237A2C" w:rsidRDefault="00AE50BA">
      <w:pPr>
        <w:pStyle w:val="Fotnotstext"/>
      </w:pPr>
      <w:r w:rsidRPr="00237A2C">
        <w:rPr>
          <w:rStyle w:val="Fotnotsreferens"/>
        </w:rPr>
        <w:footnoteRef/>
      </w:r>
      <w:r w:rsidRPr="00237A2C">
        <w:t xml:space="preserve"> Larsson 1986, s. 230-237.</w:t>
      </w:r>
    </w:p>
  </w:footnote>
  <w:footnote w:id="177">
    <w:p w:rsidR="00AE50BA" w:rsidRPr="00237A2C" w:rsidRDefault="00AE50BA">
      <w:pPr>
        <w:pStyle w:val="Fotnotstext"/>
      </w:pPr>
      <w:r w:rsidRPr="00237A2C">
        <w:rPr>
          <w:rStyle w:val="Fotnotsreferens"/>
        </w:rPr>
        <w:footnoteRef/>
      </w:r>
      <w:r w:rsidRPr="00237A2C">
        <w:t xml:space="preserve"> Min poäng är nu inte att vi i Sverige har minister</w:t>
      </w:r>
      <w:r w:rsidRPr="00237A2C">
        <w:softHyphen/>
        <w:t>sty</w:t>
      </w:r>
      <w:r w:rsidRPr="00237A2C">
        <w:softHyphen/>
        <w:t xml:space="preserve">re (snarare än regeringsstyre), utan att beredningsprocessen borgar för att vi i praktiken </w:t>
      </w:r>
      <w:r w:rsidRPr="00237A2C">
        <w:sym w:font="Symbol" w:char="F02D"/>
      </w:r>
      <w:r w:rsidRPr="00237A2C">
        <w:t xml:space="preserve"> åtminstone vad avser dessa ärendetyper </w:t>
      </w:r>
      <w:r w:rsidRPr="00237A2C">
        <w:sym w:font="Symbol" w:char="F02D"/>
      </w:r>
      <w:r w:rsidRPr="00237A2C">
        <w:t xml:space="preserve"> har det i ungefär lika stor utsträckning som i Norge och sannolikt också Danmark.</w:t>
      </w:r>
    </w:p>
  </w:footnote>
  <w:footnote w:id="178">
    <w:p w:rsidR="00AE50BA" w:rsidRPr="00237A2C" w:rsidRDefault="00AE50BA">
      <w:pPr>
        <w:pStyle w:val="Fotnotstext"/>
      </w:pPr>
      <w:r w:rsidRPr="00237A2C">
        <w:rPr>
          <w:rStyle w:val="Fotnotsreferens"/>
        </w:rPr>
        <w:footnoteRef/>
      </w:r>
      <w:r w:rsidRPr="00237A2C">
        <w:t xml:space="preserve"> 1999/2000:KU10, Bilaga 2.1, s. 106. I summan ingår dock regleringsbreven.</w:t>
      </w:r>
    </w:p>
  </w:footnote>
  <w:footnote w:id="179">
    <w:p w:rsidR="00AE50BA" w:rsidRPr="00237A2C" w:rsidRDefault="00AE50BA">
      <w:pPr>
        <w:pStyle w:val="Fotnotstext"/>
      </w:pPr>
      <w:r w:rsidRPr="00237A2C">
        <w:rPr>
          <w:rStyle w:val="Fotnotsreferens"/>
        </w:rPr>
        <w:footnoteRef/>
      </w:r>
      <w:r w:rsidRPr="00237A2C">
        <w:t xml:space="preserve"> Jacobsson 2000, s. 18 f.</w:t>
      </w:r>
    </w:p>
  </w:footnote>
  <w:footnote w:id="180">
    <w:p w:rsidR="00AE50BA" w:rsidRPr="00237A2C" w:rsidRDefault="00AE50BA">
      <w:pPr>
        <w:pStyle w:val="Fotnotstext"/>
      </w:pPr>
      <w:r w:rsidRPr="00237A2C">
        <w:rPr>
          <w:rStyle w:val="Fotnotsreferens"/>
        </w:rPr>
        <w:footnoteRef/>
      </w:r>
      <w:r w:rsidRPr="00237A2C">
        <w:t xml:space="preserve"> Det danska ordet pulje betyder pott på svenska.</w:t>
      </w:r>
    </w:p>
  </w:footnote>
  <w:footnote w:id="181">
    <w:p w:rsidR="00AE50BA" w:rsidRPr="00237A2C" w:rsidRDefault="00AE50BA">
      <w:pPr>
        <w:pStyle w:val="Fotnotstext"/>
      </w:pPr>
      <w:r w:rsidRPr="00237A2C">
        <w:rPr>
          <w:rStyle w:val="Fotnotsreferens"/>
        </w:rPr>
        <w:footnoteRef/>
      </w:r>
      <w:r w:rsidRPr="00237A2C">
        <w:t xml:space="preserve"> Busck 1988, s. 23. Christensen B. 1997 s. 341.</w:t>
      </w:r>
    </w:p>
  </w:footnote>
  <w:footnote w:id="182">
    <w:p w:rsidR="00AE50BA" w:rsidRPr="00237A2C" w:rsidRDefault="00AE50BA">
      <w:pPr>
        <w:pStyle w:val="Fotnotstext"/>
      </w:pPr>
      <w:r w:rsidRPr="00237A2C">
        <w:rPr>
          <w:rStyle w:val="Fotnotsreferens"/>
        </w:rPr>
        <w:footnoteRef/>
      </w:r>
      <w:r w:rsidRPr="00237A2C">
        <w:t xml:space="preserve"> Christensen B. 1997 s. 342.</w:t>
      </w:r>
    </w:p>
  </w:footnote>
  <w:footnote w:id="183">
    <w:p w:rsidR="00AE50BA" w:rsidRPr="00237A2C" w:rsidRDefault="00AE50BA">
      <w:pPr>
        <w:pStyle w:val="Fotnotstext"/>
      </w:pPr>
      <w:r w:rsidRPr="00237A2C">
        <w:rPr>
          <w:rStyle w:val="Fotnotsreferens"/>
        </w:rPr>
        <w:footnoteRef/>
      </w:r>
      <w:r w:rsidRPr="00237A2C">
        <w:t xml:space="preserve"> Sidenius 1985, s. 229 f.</w:t>
      </w:r>
    </w:p>
  </w:footnote>
  <w:footnote w:id="184">
    <w:p w:rsidR="00AE50BA" w:rsidRPr="00237A2C" w:rsidRDefault="00AE50BA">
      <w:pPr>
        <w:pStyle w:val="Fotnotstext"/>
      </w:pPr>
      <w:r w:rsidRPr="00237A2C">
        <w:rPr>
          <w:rStyle w:val="Fotnotsreferens"/>
        </w:rPr>
        <w:footnoteRef/>
      </w:r>
      <w:r w:rsidRPr="00237A2C">
        <w:t xml:space="preserve"> Grønbæk 1991.</w:t>
      </w:r>
    </w:p>
  </w:footnote>
  <w:footnote w:id="185">
    <w:p w:rsidR="00AE50BA" w:rsidRPr="00237A2C" w:rsidRDefault="00AE50BA">
      <w:pPr>
        <w:pStyle w:val="Fotnotstext"/>
      </w:pPr>
      <w:r w:rsidRPr="00237A2C">
        <w:rPr>
          <w:rStyle w:val="Fotnotsreferens"/>
        </w:rPr>
        <w:footnoteRef/>
      </w:r>
      <w:r w:rsidRPr="00237A2C">
        <w:t xml:space="preserve"> Indenrigsministeriet, 1998, s. 150 ff.</w:t>
      </w:r>
    </w:p>
  </w:footnote>
  <w:footnote w:id="186">
    <w:p w:rsidR="00AE50BA" w:rsidRPr="00237A2C" w:rsidRDefault="00AE50BA">
      <w:pPr>
        <w:pStyle w:val="Fotnotstext"/>
      </w:pPr>
      <w:r w:rsidRPr="00237A2C">
        <w:rPr>
          <w:rStyle w:val="Fotnotsreferens"/>
        </w:rPr>
        <w:footnoteRef/>
      </w:r>
      <w:r w:rsidRPr="00237A2C">
        <w:t xml:space="preserve"> Personlig korrespondens med Jens Peter Christensen, professor i förvaltningsrätt vid Århus Universitet.</w:t>
      </w:r>
    </w:p>
  </w:footnote>
  <w:footnote w:id="187">
    <w:p w:rsidR="00AE50BA" w:rsidRPr="00237A2C" w:rsidRDefault="00AE50BA">
      <w:pPr>
        <w:pStyle w:val="Fotnotstext"/>
      </w:pPr>
      <w:r w:rsidRPr="00237A2C">
        <w:rPr>
          <w:rStyle w:val="Fotnotsreferens"/>
        </w:rPr>
        <w:footnoteRef/>
      </w:r>
      <w:r w:rsidRPr="00237A2C">
        <w:t xml:space="preserve"> http://www.kl.dk/kl.net?sidenr=30274</w:t>
      </w:r>
    </w:p>
  </w:footnote>
  <w:footnote w:id="188">
    <w:p w:rsidR="00AE50BA" w:rsidRPr="00237A2C" w:rsidRDefault="00AE50BA">
      <w:pPr>
        <w:pStyle w:val="Fotnotstext"/>
      </w:pPr>
      <w:r w:rsidRPr="00237A2C">
        <w:rPr>
          <w:rStyle w:val="Fotnotsreferens"/>
        </w:rPr>
        <w:footnoteRef/>
      </w:r>
      <w:r w:rsidRPr="00237A2C">
        <w:t xml:space="preserve"> http://www.mst.dk/gronfond/</w:t>
      </w:r>
    </w:p>
  </w:footnote>
  <w:footnote w:id="189">
    <w:p w:rsidR="00AE50BA" w:rsidRPr="00237A2C" w:rsidRDefault="00AE50BA">
      <w:pPr>
        <w:pStyle w:val="Fotnotstext"/>
      </w:pPr>
      <w:r w:rsidRPr="00237A2C">
        <w:rPr>
          <w:rStyle w:val="Fotnotsreferens"/>
        </w:rPr>
        <w:footnoteRef/>
      </w:r>
      <w:r w:rsidRPr="00237A2C">
        <w:t xml:space="preserve"> Indenrigsministeriet, 1998, s. 150.</w:t>
      </w:r>
    </w:p>
  </w:footnote>
  <w:footnote w:id="190">
    <w:p w:rsidR="00AE50BA" w:rsidRPr="00237A2C" w:rsidRDefault="00AE50BA">
      <w:pPr>
        <w:pStyle w:val="Fotnotstext"/>
      </w:pPr>
      <w:r w:rsidRPr="00237A2C">
        <w:rPr>
          <w:rStyle w:val="Fotnotsreferens"/>
        </w:rPr>
        <w:footnoteRef/>
      </w:r>
      <w:r w:rsidRPr="00237A2C">
        <w:t xml:space="preserve"> Joas 1999, p. 145, 156.</w:t>
      </w:r>
    </w:p>
  </w:footnote>
  <w:footnote w:id="191">
    <w:p w:rsidR="00AE50BA" w:rsidRPr="00237A2C" w:rsidRDefault="00AE50BA">
      <w:pPr>
        <w:pStyle w:val="Fotnotstext"/>
      </w:pPr>
      <w:r w:rsidRPr="00237A2C">
        <w:rPr>
          <w:rStyle w:val="Fotnotsreferens"/>
        </w:rPr>
        <w:footnoteRef/>
      </w:r>
      <w:r w:rsidRPr="00237A2C">
        <w:t xml:space="preserve"> Nilsson, inget datum, s. 36.</w:t>
      </w:r>
    </w:p>
  </w:footnote>
  <w:footnote w:id="192">
    <w:p w:rsidR="00AE50BA" w:rsidRPr="00237A2C" w:rsidRDefault="00AE50BA">
      <w:pPr>
        <w:pStyle w:val="Fotnotstext"/>
      </w:pPr>
      <w:r w:rsidRPr="00237A2C">
        <w:rPr>
          <w:rStyle w:val="Fotnotsreferens"/>
        </w:rPr>
        <w:footnoteRef/>
      </w:r>
      <w:r w:rsidRPr="00237A2C">
        <w:t xml:space="preserve"> Hegeland 1994, s. 33.</w:t>
      </w:r>
    </w:p>
  </w:footnote>
  <w:footnote w:id="193">
    <w:p w:rsidR="00AE50BA" w:rsidRPr="00237A2C" w:rsidRDefault="00AE50BA">
      <w:pPr>
        <w:pStyle w:val="Fotnotstext"/>
      </w:pPr>
      <w:r w:rsidRPr="00237A2C">
        <w:rPr>
          <w:rStyle w:val="Fotnotsreferens"/>
        </w:rPr>
        <w:footnoteRef/>
      </w:r>
      <w:r w:rsidRPr="00237A2C">
        <w:t xml:space="preserve"> Hegeland 1994, s. 41.</w:t>
      </w:r>
    </w:p>
  </w:footnote>
  <w:footnote w:id="194">
    <w:p w:rsidR="00AE50BA" w:rsidRPr="00237A2C" w:rsidRDefault="00AE50BA">
      <w:pPr>
        <w:pStyle w:val="Fotnotstext"/>
      </w:pPr>
      <w:r w:rsidRPr="00237A2C">
        <w:rPr>
          <w:rStyle w:val="Fotnotsreferens"/>
        </w:rPr>
        <w:footnoteRef/>
      </w:r>
      <w:r w:rsidRPr="00237A2C">
        <w:t xml:space="preserve"> Simonsen 1988, s. 10.</w:t>
      </w:r>
    </w:p>
  </w:footnote>
  <w:footnote w:id="195">
    <w:p w:rsidR="00AE50BA" w:rsidRPr="00237A2C" w:rsidRDefault="00AE50BA">
      <w:pPr>
        <w:pStyle w:val="Fotnotstext"/>
      </w:pPr>
      <w:r w:rsidRPr="00237A2C">
        <w:rPr>
          <w:rStyle w:val="Fotnotsreferens"/>
        </w:rPr>
        <w:footnoteRef/>
      </w:r>
      <w:r w:rsidRPr="00237A2C">
        <w:t xml:space="preserve"> Vahr 1991, s. 203 f. </w:t>
      </w:r>
    </w:p>
  </w:footnote>
  <w:footnote w:id="196">
    <w:p w:rsidR="00AE50BA" w:rsidRPr="00237A2C" w:rsidRDefault="00AE50BA">
      <w:pPr>
        <w:pStyle w:val="Fotnotstext"/>
      </w:pPr>
      <w:r w:rsidRPr="00237A2C">
        <w:rPr>
          <w:rStyle w:val="Fotnotsreferens"/>
        </w:rPr>
        <w:footnoteRef/>
      </w:r>
      <w:r w:rsidRPr="00237A2C">
        <w:t xml:space="preserve"> 1997/98:KU25, s. 120.</w:t>
      </w:r>
    </w:p>
  </w:footnote>
  <w:footnote w:id="197">
    <w:p w:rsidR="00AE50BA" w:rsidRPr="00237A2C" w:rsidRDefault="00AE50BA">
      <w:pPr>
        <w:pStyle w:val="Fotnotstext"/>
      </w:pPr>
      <w:r w:rsidRPr="00237A2C">
        <w:rPr>
          <w:rStyle w:val="Fotnotsreferens"/>
        </w:rPr>
        <w:footnoteRef/>
      </w:r>
      <w:r w:rsidRPr="00237A2C">
        <w:t xml:space="preserve"> Jfr Kjellander 1997.</w:t>
      </w:r>
    </w:p>
  </w:footnote>
  <w:footnote w:id="198">
    <w:p w:rsidR="00AE50BA" w:rsidRPr="00237A2C" w:rsidRDefault="00AE50BA">
      <w:pPr>
        <w:pStyle w:val="Fotnotstext"/>
      </w:pPr>
      <w:r w:rsidRPr="00237A2C">
        <w:rPr>
          <w:rStyle w:val="Fotnotsreferens"/>
        </w:rPr>
        <w:footnoteRef/>
      </w:r>
      <w:r w:rsidRPr="00237A2C">
        <w:t xml:space="preserve"> Nielsen, 1987.</w:t>
      </w:r>
    </w:p>
  </w:footnote>
  <w:footnote w:id="199">
    <w:p w:rsidR="00AE50BA" w:rsidRPr="00237A2C" w:rsidRDefault="00AE50BA">
      <w:pPr>
        <w:pStyle w:val="Fotnotstext"/>
      </w:pPr>
      <w:r w:rsidRPr="00237A2C">
        <w:rPr>
          <w:rStyle w:val="Fotnotsreferens"/>
        </w:rPr>
        <w:footnoteRef/>
      </w:r>
      <w:r w:rsidRPr="00237A2C">
        <w:t xml:space="preserve"> Det är inte ovanligt att man erkänner att förvaltningens organisation varierar starkt inom olika sektorer, men detta hindrar oftast inte att man strax senare när man skall gå igenom förvaltningens uppbygg</w:t>
      </w:r>
      <w:r w:rsidRPr="00237A2C">
        <w:softHyphen/>
        <w:t>nad presenterar den gamla juristdominerade ärend</w:t>
      </w:r>
      <w:r w:rsidRPr="00237A2C">
        <w:t>e</w:t>
      </w:r>
      <w:r w:rsidRPr="00237A2C">
        <w:t>behandlande förvaltningens organisa</w:t>
      </w:r>
      <w:r w:rsidRPr="00237A2C">
        <w:softHyphen/>
        <w:t>tion. Ett undantag är Grønnegård Christensen och Ibsen, 1991. Den väljer att i ett kapitel presentera hur förvaltningen är organiserad inom ett antal olika sektorsområden. Se också Rothstein 1984.</w:t>
      </w:r>
    </w:p>
  </w:footnote>
  <w:footnote w:id="200">
    <w:p w:rsidR="00AE50BA" w:rsidRPr="00237A2C" w:rsidRDefault="00AE50BA">
      <w:pPr>
        <w:pStyle w:val="Fotnotstext"/>
      </w:pPr>
      <w:r w:rsidRPr="00237A2C">
        <w:rPr>
          <w:rStyle w:val="Fotnotsreferens"/>
        </w:rPr>
        <w:footnoteRef/>
      </w:r>
      <w:r w:rsidRPr="00237A2C">
        <w:t xml:space="preserve"> Söderlind och Petersson, 1988, s. 343.</w:t>
      </w:r>
    </w:p>
  </w:footnote>
  <w:footnote w:id="201">
    <w:p w:rsidR="00AE50BA" w:rsidRPr="00237A2C" w:rsidRDefault="00AE50BA">
      <w:pPr>
        <w:pStyle w:val="Fotnotstext"/>
      </w:pPr>
      <w:r w:rsidRPr="00237A2C">
        <w:rPr>
          <w:rStyle w:val="Fotnotsreferens"/>
        </w:rPr>
        <w:footnoteRef/>
      </w:r>
      <w:r w:rsidRPr="00237A2C">
        <w:t xml:space="preserve"> Henning 1977, s.44 f.,  Lundgren och Ståhl 1981, s. 88. Fr.o.m. 1975 gav emelle</w:t>
      </w:r>
      <w:r w:rsidRPr="00237A2C">
        <w:t>r</w:t>
      </w:r>
      <w:r w:rsidRPr="00237A2C">
        <w:t>tid regering</w:t>
      </w:r>
      <w:r w:rsidRPr="00237A2C">
        <w:softHyphen/>
        <w:t>en arbetsmarknadsstyrelsen i uppdrag att besluta i ärenden som understeg 3 miljoner kronor.</w:t>
      </w:r>
    </w:p>
  </w:footnote>
  <w:footnote w:id="202">
    <w:p w:rsidR="00AE50BA" w:rsidRPr="00237A2C" w:rsidRDefault="00AE50BA">
      <w:pPr>
        <w:rPr>
          <w:sz w:val="16"/>
        </w:rPr>
      </w:pPr>
      <w:r w:rsidRPr="00237A2C">
        <w:rPr>
          <w:rStyle w:val="Fotnotsreferens"/>
          <w:sz w:val="16"/>
        </w:rPr>
        <w:footnoteRef/>
      </w:r>
      <w:r w:rsidRPr="00237A2C">
        <w:rPr>
          <w:sz w:val="16"/>
        </w:rPr>
        <w:t xml:space="preserve"> Glesbygdsdelegationen lydde under industridepartementet fram till 1988 då ansvaret för regional</w:t>
      </w:r>
      <w:r w:rsidRPr="00237A2C">
        <w:rPr>
          <w:sz w:val="16"/>
        </w:rPr>
        <w:softHyphen/>
      </w:r>
      <w:r w:rsidRPr="00237A2C">
        <w:rPr>
          <w:sz w:val="16"/>
        </w:rPr>
        <w:softHyphen/>
        <w:t>politiken flyttades över till arbetsmarknadsdepartementet. Industridepartementet fick tillba</w:t>
      </w:r>
      <w:r w:rsidRPr="00237A2C">
        <w:rPr>
          <w:sz w:val="16"/>
        </w:rPr>
        <w:softHyphen/>
        <w:t>ka ansvaret 1990. (Statskontoret 1998:20, s. 31 f.)</w:t>
      </w:r>
    </w:p>
  </w:footnote>
  <w:footnote w:id="203">
    <w:p w:rsidR="00AE50BA" w:rsidRPr="00237A2C" w:rsidRDefault="00AE50BA">
      <w:pPr>
        <w:rPr>
          <w:sz w:val="16"/>
        </w:rPr>
      </w:pPr>
      <w:r w:rsidRPr="00237A2C">
        <w:rPr>
          <w:rStyle w:val="Fotnotsreferens"/>
          <w:sz w:val="16"/>
        </w:rPr>
        <w:footnoteRef/>
      </w:r>
      <w:r w:rsidRPr="00237A2C">
        <w:rPr>
          <w:sz w:val="16"/>
        </w:rPr>
        <w:t xml:space="preserve"> Prop. 1989/90:76, s. 188. Budgeten omfattade ca fem miljoner kronor per år under slutet av 1980-talet.</w:t>
      </w:r>
    </w:p>
  </w:footnote>
  <w:footnote w:id="204">
    <w:p w:rsidR="00AE50BA" w:rsidRPr="00237A2C" w:rsidRDefault="00AE50BA">
      <w:pPr>
        <w:rPr>
          <w:sz w:val="16"/>
        </w:rPr>
      </w:pPr>
      <w:r w:rsidRPr="00237A2C">
        <w:rPr>
          <w:rStyle w:val="Fotnotsreferens"/>
          <w:sz w:val="16"/>
        </w:rPr>
        <w:footnoteRef/>
      </w:r>
      <w:r w:rsidRPr="00237A2C">
        <w:rPr>
          <w:sz w:val="16"/>
        </w:rPr>
        <w:t xml:space="preserve"> Statskontoret 1998:20, s. 31 f.</w:t>
      </w:r>
    </w:p>
  </w:footnote>
  <w:footnote w:id="205">
    <w:p w:rsidR="00AE50BA" w:rsidRPr="00237A2C" w:rsidRDefault="00AE50BA">
      <w:pPr>
        <w:pStyle w:val="Fotnotstext"/>
      </w:pPr>
      <w:r w:rsidRPr="00237A2C">
        <w:rPr>
          <w:rStyle w:val="Fotnotsreferens"/>
        </w:rPr>
        <w:footnoteRef/>
      </w:r>
      <w:r w:rsidRPr="00237A2C">
        <w:t xml:space="preserve"> Jacobsson 1994, s. 42-44.</w:t>
      </w:r>
    </w:p>
  </w:footnote>
  <w:footnote w:id="206">
    <w:p w:rsidR="00AE50BA" w:rsidRPr="00237A2C" w:rsidRDefault="00AE50BA">
      <w:pPr>
        <w:pStyle w:val="Fotnotstext"/>
      </w:pPr>
      <w:r w:rsidRPr="00237A2C">
        <w:rPr>
          <w:rStyle w:val="Fotnotsreferens"/>
        </w:rPr>
        <w:footnoteRef/>
      </w:r>
      <w:r w:rsidRPr="00237A2C">
        <w:t xml:space="preserve"> Statskontoret 1998:20, s. 32.</w:t>
      </w:r>
    </w:p>
  </w:footnote>
  <w:footnote w:id="207">
    <w:p w:rsidR="00AE50BA" w:rsidRPr="00237A2C" w:rsidRDefault="00AE50BA">
      <w:pPr>
        <w:pStyle w:val="Fotnotstext"/>
      </w:pPr>
      <w:r w:rsidRPr="00237A2C">
        <w:rPr>
          <w:rStyle w:val="Fotnotsreferens"/>
        </w:rPr>
        <w:footnoteRef/>
      </w:r>
      <w:r w:rsidRPr="00237A2C">
        <w:t xml:space="preserve"> SOU 1992:120, s. 26, 90 f. Regeringen fattade 1992 beslut om ärenden när su</w:t>
      </w:r>
      <w:r w:rsidRPr="00237A2C">
        <w:t>m</w:t>
      </w:r>
      <w:r w:rsidRPr="00237A2C">
        <w:t>man översteg 200 000 kr.</w:t>
      </w:r>
    </w:p>
  </w:footnote>
  <w:footnote w:id="208">
    <w:p w:rsidR="00AE50BA" w:rsidRPr="00237A2C" w:rsidRDefault="00AE50BA">
      <w:pPr>
        <w:pStyle w:val="Fotnotstext"/>
      </w:pPr>
      <w:r w:rsidRPr="00237A2C">
        <w:rPr>
          <w:rStyle w:val="Fotnotsreferens"/>
        </w:rPr>
        <w:footnoteRef/>
      </w:r>
      <w:r w:rsidRPr="00237A2C">
        <w:t xml:space="preserve"> SOU 1967:2, s. 61, SOU 1992:120, s. 26</w:t>
      </w:r>
    </w:p>
  </w:footnote>
  <w:footnote w:id="209">
    <w:p w:rsidR="00AE50BA" w:rsidRPr="00237A2C" w:rsidRDefault="00AE50BA">
      <w:pPr>
        <w:pStyle w:val="Fotnotstext"/>
      </w:pPr>
      <w:r w:rsidRPr="00237A2C">
        <w:rPr>
          <w:rStyle w:val="Fotnotsreferens"/>
        </w:rPr>
        <w:footnoteRef/>
      </w:r>
      <w:r w:rsidRPr="00237A2C">
        <w:t xml:space="preserve"> Henning 1984 s.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0BA" w:rsidRPr="00237A2C" w:rsidRDefault="00AE50BA">
    <w:pPr>
      <w:pStyle w:val="SidhuvudKant"/>
      <w:framePr w:w="1758" w:h="2744" w:hRule="exact" w:wrap="around" w:vAnchor="page" w:hAnchor="page" w:x="7372" w:y="568" w:anchorLock="0"/>
    </w:pPr>
  </w:p>
  <w:p w:rsidR="00AE50BA" w:rsidRPr="00237A2C" w:rsidRDefault="00AE50BA">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0BA" w:rsidRPr="00237A2C" w:rsidRDefault="00AE50BA">
    <w:pPr>
      <w:pStyle w:val="SidhuvudKant"/>
      <w:framePr w:w="1758" w:h="2744" w:hRule="exact" w:wrap="around" w:vAnchor="page" w:hAnchor="page" w:x="7372" w:y="568" w:anchorLock="0"/>
    </w:pPr>
    <w:r w:rsidRPr="00237A2C">
      <w:fldChar w:fldCharType="begin" w:fldLock="1"/>
    </w:r>
    <w:r w:rsidRPr="00237A2C">
      <w:instrText xml:space="preserve"> if </w:instrText>
    </w:r>
    <w:r w:rsidRPr="00237A2C">
      <w:fldChar w:fldCharType="begin" w:fldLock="1"/>
    </w:r>
    <w:r w:rsidRPr="00237A2C">
      <w:instrText xml:space="preserve"> page</w:instrText>
    </w:r>
    <w:r w:rsidRPr="00237A2C">
      <w:fldChar w:fldCharType="separate"/>
    </w:r>
    <w:r w:rsidRPr="00237A2C">
      <w:instrText>93</w:instrText>
    </w:r>
    <w:r w:rsidRPr="00237A2C">
      <w:fldChar w:fldCharType="end"/>
    </w:r>
    <w:r w:rsidRPr="00237A2C">
      <w:instrText xml:space="preserve"> &gt; 1 "</w:instrText>
    </w:r>
    <w:r w:rsidRPr="00237A2C">
      <w:fldChar w:fldCharType="begin" w:fldLock="1"/>
    </w:r>
    <w:r w:rsidRPr="00237A2C">
      <w:instrText xml:space="preserve"> DOCPROPERTY BetänkandeÅr</w:instrText>
    </w:r>
    <w:r w:rsidRPr="00237A2C">
      <w:fldChar w:fldCharType="separate"/>
    </w:r>
    <w:r w:rsidRPr="00237A2C">
      <w:instrText>2000/01</w:instrText>
    </w:r>
    <w:r w:rsidRPr="00237A2C">
      <w:fldChar w:fldCharType="end"/>
    </w:r>
    <w:r w:rsidRPr="00237A2C">
      <w:instrText>:</w:instrText>
    </w:r>
    <w:r w:rsidRPr="00237A2C">
      <w:fldChar w:fldCharType="begin" w:fldLock="1"/>
    </w:r>
    <w:r w:rsidRPr="00237A2C">
      <w:instrText xml:space="preserve"> DOCPROPERTY Utskott</w:instrText>
    </w:r>
    <w:r w:rsidRPr="00237A2C">
      <w:fldChar w:fldCharType="separate"/>
    </w:r>
    <w:r w:rsidRPr="00237A2C">
      <w:instrText>RR</w:instrText>
    </w:r>
    <w:r w:rsidRPr="00237A2C">
      <w:fldChar w:fldCharType="end"/>
    </w:r>
    <w:r w:rsidRPr="00237A2C">
      <w:fldChar w:fldCharType="begin" w:fldLock="1"/>
    </w:r>
    <w:r w:rsidRPr="00237A2C">
      <w:instrText xml:space="preserve"> DOCPROPERTY BetänkandeNr</w:instrText>
    </w:r>
    <w:r w:rsidRPr="00237A2C">
      <w:fldChar w:fldCharType="separate"/>
    </w:r>
    <w:r w:rsidRPr="00237A2C">
      <w:instrText>14</w:instrText>
    </w:r>
    <w:r w:rsidRPr="00237A2C">
      <w:fldChar w:fldCharType="end"/>
    </w:r>
  </w:p>
  <w:p w:rsidR="00AE50BA" w:rsidRPr="00237A2C" w:rsidRDefault="00AE50BA">
    <w:pPr>
      <w:pStyle w:val="SidhuvudKantBilaga"/>
      <w:framePr w:w="1758" w:h="2744" w:hRule="exact" w:wrap="around" w:vAnchor="page" w:hAnchor="page" w:x="7372" w:y="568" w:anchorLock="0"/>
    </w:pPr>
    <w:r w:rsidRPr="00237A2C">
      <w:instrText>Underbilaga 2</w:instrText>
    </w:r>
  </w:p>
  <w:p w:rsidR="00AE50BA" w:rsidRPr="00237A2C" w:rsidRDefault="00AE50BA">
    <w:pPr>
      <w:pStyle w:val="SidhuvudKant"/>
      <w:framePr w:w="1758" w:h="2744" w:hRule="exact" w:wrap="around" w:vAnchor="page" w:hAnchor="page" w:x="7372" w:y="568" w:anchorLock="0"/>
    </w:pPr>
    <w:r w:rsidRPr="00237A2C">
      <w:fldChar w:fldCharType="begin" w:fldLock="1"/>
    </w:r>
    <w:r w:rsidRPr="00237A2C">
      <w:instrText xml:space="preserve"> DOCPROPERTY Status </w:instrText>
    </w:r>
    <w:r w:rsidRPr="00237A2C">
      <w:fldChar w:fldCharType="end"/>
    </w:r>
    <w:r w:rsidRPr="00237A2C">
      <w:instrText>"</w:instrText>
    </w:r>
    <w:r w:rsidRPr="00237A2C">
      <w:fldChar w:fldCharType="separate"/>
    </w:r>
    <w:r w:rsidRPr="00237A2C">
      <w:fldChar w:fldCharType="begin" w:fldLock="1"/>
    </w:r>
    <w:r w:rsidRPr="00237A2C">
      <w:instrText xml:space="preserve"> DOCPROPERTY BetänkandeÅr</w:instrText>
    </w:r>
    <w:r w:rsidRPr="00237A2C">
      <w:fldChar w:fldCharType="separate"/>
    </w:r>
    <w:r w:rsidRPr="00237A2C">
      <w:t>2000/01</w:t>
    </w:r>
    <w:r w:rsidRPr="00237A2C">
      <w:fldChar w:fldCharType="end"/>
    </w:r>
    <w:r w:rsidRPr="00237A2C">
      <w:t>:</w:t>
    </w:r>
    <w:r w:rsidRPr="00237A2C">
      <w:fldChar w:fldCharType="begin" w:fldLock="1"/>
    </w:r>
    <w:r w:rsidRPr="00237A2C">
      <w:instrText xml:space="preserve"> DOCPROPERTY Utskott</w:instrText>
    </w:r>
    <w:r w:rsidRPr="00237A2C">
      <w:fldChar w:fldCharType="separate"/>
    </w:r>
    <w:r w:rsidRPr="00237A2C">
      <w:t>RR</w:t>
    </w:r>
    <w:r w:rsidRPr="00237A2C">
      <w:fldChar w:fldCharType="end"/>
    </w:r>
    <w:r w:rsidRPr="00237A2C">
      <w:fldChar w:fldCharType="begin" w:fldLock="1"/>
    </w:r>
    <w:r w:rsidRPr="00237A2C">
      <w:instrText xml:space="preserve"> DOCPROPERTY BetänkandeNr</w:instrText>
    </w:r>
    <w:r w:rsidRPr="00237A2C">
      <w:fldChar w:fldCharType="separate"/>
    </w:r>
    <w:r w:rsidRPr="00237A2C">
      <w:t>14</w:t>
    </w:r>
    <w:r w:rsidRPr="00237A2C">
      <w:fldChar w:fldCharType="end"/>
    </w:r>
  </w:p>
  <w:p w:rsidR="00AE50BA" w:rsidRPr="00237A2C" w:rsidRDefault="00AE50BA">
    <w:pPr>
      <w:pStyle w:val="SidhuvudKantBilaga"/>
      <w:framePr w:w="1758" w:h="2744" w:hRule="exact" w:wrap="around" w:vAnchor="page" w:hAnchor="page" w:x="7372" w:y="568" w:anchorLock="0"/>
    </w:pPr>
    <w:r w:rsidRPr="00237A2C">
      <w:t>Underbilaga 2</w:t>
    </w:r>
  </w:p>
  <w:p w:rsidR="00AE50BA" w:rsidRPr="00237A2C" w:rsidRDefault="00AE50BA">
    <w:pPr>
      <w:pStyle w:val="SidhuvudKant"/>
      <w:framePr w:w="1758" w:h="2744" w:hRule="exact" w:wrap="around" w:vAnchor="page" w:hAnchor="page" w:x="7372" w:y="568" w:anchorLock="0"/>
    </w:pPr>
    <w:r w:rsidRPr="00237A2C">
      <w:fldChar w:fldCharType="end"/>
    </w:r>
  </w:p>
  <w:p w:rsidR="00AE50BA" w:rsidRPr="00237A2C" w:rsidRDefault="00AE50BA">
    <w:pPr>
      <w:pStyle w:val="Sidhuvu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0BA" w:rsidRPr="00237A2C" w:rsidRDefault="00AE50BA">
    <w:pPr>
      <w:pStyle w:val="Sidhuvud"/>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0BA" w:rsidRPr="00237A2C" w:rsidRDefault="00AE50BA">
    <w:pPr>
      <w:pStyle w:val="SidhuvudKant"/>
      <w:framePr w:w="1758" w:h="2744" w:hRule="exact" w:wrap="around" w:vAnchor="page" w:hAnchor="page" w:x="7372" w:y="568" w:anchorLock="0"/>
    </w:pPr>
    <w:r w:rsidRPr="00237A2C">
      <w:fldChar w:fldCharType="begin" w:fldLock="1"/>
    </w:r>
    <w:r w:rsidRPr="00237A2C">
      <w:instrText xml:space="preserve"> if </w:instrText>
    </w:r>
    <w:r w:rsidRPr="00237A2C">
      <w:fldChar w:fldCharType="begin" w:fldLock="1"/>
    </w:r>
    <w:r w:rsidRPr="00237A2C">
      <w:instrText xml:space="preserve"> page</w:instrText>
    </w:r>
    <w:r w:rsidRPr="00237A2C">
      <w:fldChar w:fldCharType="separate"/>
    </w:r>
    <w:r w:rsidRPr="00237A2C">
      <w:instrText>95</w:instrText>
    </w:r>
    <w:r w:rsidRPr="00237A2C">
      <w:fldChar w:fldCharType="end"/>
    </w:r>
    <w:r w:rsidRPr="00237A2C">
      <w:instrText xml:space="preserve"> &gt; 1 "</w:instrText>
    </w:r>
    <w:r w:rsidRPr="00237A2C">
      <w:fldChar w:fldCharType="begin" w:fldLock="1"/>
    </w:r>
    <w:r w:rsidRPr="00237A2C">
      <w:instrText xml:space="preserve"> DOCPROPERTY BetänkandeÅr</w:instrText>
    </w:r>
    <w:r w:rsidRPr="00237A2C">
      <w:fldChar w:fldCharType="separate"/>
    </w:r>
    <w:r w:rsidRPr="00237A2C">
      <w:instrText>2000/01</w:instrText>
    </w:r>
    <w:r w:rsidRPr="00237A2C">
      <w:fldChar w:fldCharType="end"/>
    </w:r>
    <w:r w:rsidRPr="00237A2C">
      <w:instrText>:</w:instrText>
    </w:r>
    <w:r w:rsidRPr="00237A2C">
      <w:fldChar w:fldCharType="begin" w:fldLock="1"/>
    </w:r>
    <w:r w:rsidRPr="00237A2C">
      <w:instrText xml:space="preserve"> DOCPROPERTY Utskott</w:instrText>
    </w:r>
    <w:r w:rsidRPr="00237A2C">
      <w:fldChar w:fldCharType="separate"/>
    </w:r>
    <w:r w:rsidRPr="00237A2C">
      <w:instrText>RR</w:instrText>
    </w:r>
    <w:r w:rsidRPr="00237A2C">
      <w:fldChar w:fldCharType="end"/>
    </w:r>
    <w:r w:rsidRPr="00237A2C">
      <w:fldChar w:fldCharType="begin" w:fldLock="1"/>
    </w:r>
    <w:r w:rsidRPr="00237A2C">
      <w:instrText xml:space="preserve"> DOCPROPERTY BetänkandeNr</w:instrText>
    </w:r>
    <w:r w:rsidRPr="00237A2C">
      <w:fldChar w:fldCharType="separate"/>
    </w:r>
    <w:r w:rsidRPr="00237A2C">
      <w:instrText>14</w:instrText>
    </w:r>
    <w:r w:rsidRPr="00237A2C">
      <w:fldChar w:fldCharType="end"/>
    </w:r>
  </w:p>
  <w:p w:rsidR="00AE50BA" w:rsidRPr="00237A2C" w:rsidRDefault="00AE50BA">
    <w:pPr>
      <w:pStyle w:val="SidhuvudKantBilaga"/>
      <w:framePr w:w="1758" w:h="2744" w:hRule="exact" w:wrap="around" w:vAnchor="page" w:hAnchor="page" w:x="7372" w:y="568" w:anchorLock="0"/>
    </w:pPr>
    <w:r w:rsidRPr="00237A2C">
      <w:instrText>Underbilaga 2</w:instrText>
    </w:r>
  </w:p>
  <w:p w:rsidR="00AE50BA" w:rsidRPr="00237A2C" w:rsidRDefault="00AE50BA">
    <w:pPr>
      <w:pStyle w:val="SidhuvudKant"/>
      <w:framePr w:w="1758" w:h="2744" w:hRule="exact" w:wrap="around" w:vAnchor="page" w:hAnchor="page" w:x="7372" w:y="568" w:anchorLock="0"/>
    </w:pPr>
    <w:r w:rsidRPr="00237A2C">
      <w:fldChar w:fldCharType="begin" w:fldLock="1"/>
    </w:r>
    <w:r w:rsidRPr="00237A2C">
      <w:instrText xml:space="preserve"> DOCPROPERTY Status </w:instrText>
    </w:r>
    <w:r w:rsidRPr="00237A2C">
      <w:fldChar w:fldCharType="end"/>
    </w:r>
    <w:r w:rsidRPr="00237A2C">
      <w:instrText>"</w:instrText>
    </w:r>
    <w:r w:rsidRPr="00237A2C">
      <w:fldChar w:fldCharType="separate"/>
    </w:r>
    <w:r w:rsidRPr="00237A2C">
      <w:fldChar w:fldCharType="begin" w:fldLock="1"/>
    </w:r>
    <w:r w:rsidRPr="00237A2C">
      <w:instrText xml:space="preserve"> DOCPROPERTY BetänkandeÅr</w:instrText>
    </w:r>
    <w:r w:rsidRPr="00237A2C">
      <w:fldChar w:fldCharType="separate"/>
    </w:r>
    <w:r w:rsidRPr="00237A2C">
      <w:t>2000/01</w:t>
    </w:r>
    <w:r w:rsidRPr="00237A2C">
      <w:fldChar w:fldCharType="end"/>
    </w:r>
    <w:r w:rsidRPr="00237A2C">
      <w:t>:</w:t>
    </w:r>
    <w:r w:rsidRPr="00237A2C">
      <w:fldChar w:fldCharType="begin" w:fldLock="1"/>
    </w:r>
    <w:r w:rsidRPr="00237A2C">
      <w:instrText xml:space="preserve"> DOCPROPERTY Utskott</w:instrText>
    </w:r>
    <w:r w:rsidRPr="00237A2C">
      <w:fldChar w:fldCharType="separate"/>
    </w:r>
    <w:r w:rsidRPr="00237A2C">
      <w:t>RR</w:t>
    </w:r>
    <w:r w:rsidRPr="00237A2C">
      <w:fldChar w:fldCharType="end"/>
    </w:r>
    <w:r w:rsidRPr="00237A2C">
      <w:fldChar w:fldCharType="begin" w:fldLock="1"/>
    </w:r>
    <w:r w:rsidRPr="00237A2C">
      <w:instrText xml:space="preserve"> DOCPROPERTY BetänkandeNr</w:instrText>
    </w:r>
    <w:r w:rsidRPr="00237A2C">
      <w:fldChar w:fldCharType="separate"/>
    </w:r>
    <w:r w:rsidRPr="00237A2C">
      <w:t>14</w:t>
    </w:r>
    <w:r w:rsidRPr="00237A2C">
      <w:fldChar w:fldCharType="end"/>
    </w:r>
  </w:p>
  <w:p w:rsidR="00AE50BA" w:rsidRPr="00237A2C" w:rsidRDefault="00AE50BA">
    <w:pPr>
      <w:pStyle w:val="SidhuvudKantBilaga"/>
      <w:framePr w:w="1758" w:h="2744" w:hRule="exact" w:wrap="around" w:vAnchor="page" w:hAnchor="page" w:x="7372" w:y="568" w:anchorLock="0"/>
    </w:pPr>
    <w:r w:rsidRPr="00237A2C">
      <w:t>Underbilaga 2</w:t>
    </w:r>
  </w:p>
  <w:p w:rsidR="00AE50BA" w:rsidRPr="00237A2C" w:rsidRDefault="00AE50BA">
    <w:pPr>
      <w:pStyle w:val="SidhuvudKant"/>
      <w:framePr w:w="1758" w:h="2744" w:hRule="exact" w:wrap="around" w:vAnchor="page" w:hAnchor="page" w:x="7372" w:y="568" w:anchorLock="0"/>
    </w:pPr>
    <w:r w:rsidRPr="00237A2C">
      <w:fldChar w:fldCharType="end"/>
    </w:r>
  </w:p>
  <w:p w:rsidR="00AE50BA" w:rsidRPr="00237A2C" w:rsidRDefault="00AE50BA">
    <w:pPr>
      <w:pStyle w:val="Sidhuvud"/>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0BA" w:rsidRPr="00237A2C" w:rsidRDefault="00AE50BA">
    <w:pPr>
      <w:pStyle w:val="Sidhuvud"/>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0BA" w:rsidRPr="00237A2C" w:rsidRDefault="00AE50BA">
    <w:pPr>
      <w:pStyle w:val="SidhuvudKant"/>
      <w:framePr w:w="1758" w:h="2744" w:hRule="exact" w:wrap="around" w:vAnchor="page" w:hAnchor="page" w:x="7372" w:y="568" w:anchorLock="0"/>
    </w:pPr>
    <w:r w:rsidRPr="00237A2C">
      <w:fldChar w:fldCharType="begin" w:fldLock="1"/>
    </w:r>
    <w:r w:rsidRPr="00237A2C">
      <w:instrText xml:space="preserve"> if </w:instrText>
    </w:r>
    <w:r w:rsidRPr="00237A2C">
      <w:fldChar w:fldCharType="begin" w:fldLock="1"/>
    </w:r>
    <w:r w:rsidRPr="00237A2C">
      <w:instrText xml:space="preserve"> page</w:instrText>
    </w:r>
    <w:r w:rsidRPr="00237A2C">
      <w:fldChar w:fldCharType="separate"/>
    </w:r>
    <w:r w:rsidRPr="00237A2C">
      <w:instrText>159</w:instrText>
    </w:r>
    <w:r w:rsidRPr="00237A2C">
      <w:fldChar w:fldCharType="end"/>
    </w:r>
    <w:r w:rsidRPr="00237A2C">
      <w:instrText xml:space="preserve"> &gt; 1 "</w:instrText>
    </w:r>
    <w:r w:rsidRPr="00237A2C">
      <w:fldChar w:fldCharType="begin" w:fldLock="1"/>
    </w:r>
    <w:r w:rsidRPr="00237A2C">
      <w:instrText xml:space="preserve"> DOCPROPERTY BetänkandeÅr</w:instrText>
    </w:r>
    <w:r w:rsidRPr="00237A2C">
      <w:fldChar w:fldCharType="separate"/>
    </w:r>
    <w:r w:rsidRPr="00237A2C">
      <w:instrText>2000/01</w:instrText>
    </w:r>
    <w:r w:rsidRPr="00237A2C">
      <w:fldChar w:fldCharType="end"/>
    </w:r>
    <w:r w:rsidRPr="00237A2C">
      <w:instrText>:</w:instrText>
    </w:r>
    <w:r w:rsidRPr="00237A2C">
      <w:fldChar w:fldCharType="begin" w:fldLock="1"/>
    </w:r>
    <w:r w:rsidRPr="00237A2C">
      <w:instrText xml:space="preserve"> DOCPROPERTY Utskott</w:instrText>
    </w:r>
    <w:r w:rsidRPr="00237A2C">
      <w:fldChar w:fldCharType="separate"/>
    </w:r>
    <w:r w:rsidRPr="00237A2C">
      <w:instrText>RR</w:instrText>
    </w:r>
    <w:r w:rsidRPr="00237A2C">
      <w:fldChar w:fldCharType="end"/>
    </w:r>
    <w:r w:rsidRPr="00237A2C">
      <w:fldChar w:fldCharType="begin" w:fldLock="1"/>
    </w:r>
    <w:r w:rsidRPr="00237A2C">
      <w:instrText xml:space="preserve"> DOCPROPERTY BetänkandeNr</w:instrText>
    </w:r>
    <w:r w:rsidRPr="00237A2C">
      <w:fldChar w:fldCharType="separate"/>
    </w:r>
    <w:r w:rsidRPr="00237A2C">
      <w:instrText>14</w:instrText>
    </w:r>
    <w:r w:rsidRPr="00237A2C">
      <w:fldChar w:fldCharType="end"/>
    </w:r>
  </w:p>
  <w:p w:rsidR="00AE50BA" w:rsidRPr="00237A2C" w:rsidRDefault="00AE50BA">
    <w:pPr>
      <w:pStyle w:val="SidhuvudKantBilaga"/>
      <w:framePr w:w="1758" w:h="2744" w:hRule="exact" w:wrap="around" w:vAnchor="page" w:hAnchor="page" w:x="7372" w:y="568" w:anchorLock="0"/>
    </w:pPr>
    <w:r w:rsidRPr="00237A2C">
      <w:instrText>Underbilaga 2</w:instrText>
    </w:r>
  </w:p>
  <w:p w:rsidR="00AE50BA" w:rsidRPr="00237A2C" w:rsidRDefault="00AE50BA">
    <w:pPr>
      <w:pStyle w:val="SidhuvudKant"/>
      <w:framePr w:w="1758" w:h="2744" w:hRule="exact" w:wrap="around" w:vAnchor="page" w:hAnchor="page" w:x="7372" w:y="568" w:anchorLock="0"/>
    </w:pPr>
    <w:r w:rsidRPr="00237A2C">
      <w:fldChar w:fldCharType="begin" w:fldLock="1"/>
    </w:r>
    <w:r w:rsidRPr="00237A2C">
      <w:instrText xml:space="preserve"> DOCPROPERTY Status </w:instrText>
    </w:r>
    <w:r w:rsidRPr="00237A2C">
      <w:fldChar w:fldCharType="end"/>
    </w:r>
    <w:r w:rsidRPr="00237A2C">
      <w:instrText>"</w:instrText>
    </w:r>
    <w:r w:rsidRPr="00237A2C">
      <w:fldChar w:fldCharType="separate"/>
    </w:r>
    <w:r w:rsidRPr="00237A2C">
      <w:fldChar w:fldCharType="begin" w:fldLock="1"/>
    </w:r>
    <w:r w:rsidRPr="00237A2C">
      <w:instrText xml:space="preserve"> DOCPROPERTY BetänkandeÅr</w:instrText>
    </w:r>
    <w:r w:rsidRPr="00237A2C">
      <w:fldChar w:fldCharType="separate"/>
    </w:r>
    <w:r w:rsidRPr="00237A2C">
      <w:t>2000/01</w:t>
    </w:r>
    <w:r w:rsidRPr="00237A2C">
      <w:fldChar w:fldCharType="end"/>
    </w:r>
    <w:r w:rsidRPr="00237A2C">
      <w:t>:</w:t>
    </w:r>
    <w:r w:rsidRPr="00237A2C">
      <w:fldChar w:fldCharType="begin" w:fldLock="1"/>
    </w:r>
    <w:r w:rsidRPr="00237A2C">
      <w:instrText xml:space="preserve"> DOCPROPERTY Utskott</w:instrText>
    </w:r>
    <w:r w:rsidRPr="00237A2C">
      <w:fldChar w:fldCharType="separate"/>
    </w:r>
    <w:r w:rsidRPr="00237A2C">
      <w:t>RR</w:t>
    </w:r>
    <w:r w:rsidRPr="00237A2C">
      <w:fldChar w:fldCharType="end"/>
    </w:r>
    <w:r w:rsidRPr="00237A2C">
      <w:fldChar w:fldCharType="begin" w:fldLock="1"/>
    </w:r>
    <w:r w:rsidRPr="00237A2C">
      <w:instrText xml:space="preserve"> DOCPROPERTY BetänkandeNr</w:instrText>
    </w:r>
    <w:r w:rsidRPr="00237A2C">
      <w:fldChar w:fldCharType="separate"/>
    </w:r>
    <w:r w:rsidRPr="00237A2C">
      <w:t>14</w:t>
    </w:r>
    <w:r w:rsidRPr="00237A2C">
      <w:fldChar w:fldCharType="end"/>
    </w:r>
  </w:p>
  <w:p w:rsidR="00AE50BA" w:rsidRPr="00237A2C" w:rsidRDefault="00AE50BA">
    <w:pPr>
      <w:pStyle w:val="SidhuvudKantBilaga"/>
      <w:framePr w:w="1758" w:h="2744" w:hRule="exact" w:wrap="around" w:vAnchor="page" w:hAnchor="page" w:x="7372" w:y="568" w:anchorLock="0"/>
    </w:pPr>
    <w:r w:rsidRPr="00237A2C">
      <w:t>Underbilaga 2</w:t>
    </w:r>
  </w:p>
  <w:p w:rsidR="00AE50BA" w:rsidRPr="00237A2C" w:rsidRDefault="00AE50BA">
    <w:pPr>
      <w:pStyle w:val="SidhuvudKant"/>
      <w:framePr w:w="1758" w:h="2744" w:hRule="exact" w:wrap="around" w:vAnchor="page" w:hAnchor="page" w:x="7372" w:y="568" w:anchorLock="0"/>
    </w:pPr>
    <w:r w:rsidRPr="00237A2C">
      <w:fldChar w:fldCharType="end"/>
    </w:r>
  </w:p>
  <w:p w:rsidR="00AE50BA" w:rsidRPr="00237A2C" w:rsidRDefault="00AE50BA">
    <w:pPr>
      <w:pStyle w:val="Sidhuvud"/>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0BA" w:rsidRPr="00237A2C" w:rsidRDefault="00AE50BA">
    <w:pPr>
      <w:pStyle w:val="SidhuvudKant"/>
      <w:framePr w:w="1758" w:h="2744" w:hRule="exact" w:wrap="around" w:vAnchor="page" w:hAnchor="page" w:x="7372" w:y="568" w:anchorLock="0"/>
    </w:pPr>
    <w:r w:rsidRPr="00237A2C">
      <w:fldChar w:fldCharType="begin" w:fldLock="1"/>
    </w:r>
    <w:r w:rsidRPr="00237A2C">
      <w:instrText xml:space="preserve"> if </w:instrText>
    </w:r>
    <w:r w:rsidRPr="00237A2C">
      <w:fldChar w:fldCharType="begin" w:fldLock="1"/>
    </w:r>
    <w:r w:rsidRPr="00237A2C">
      <w:instrText xml:space="preserve"> page</w:instrText>
    </w:r>
    <w:r w:rsidRPr="00237A2C">
      <w:fldChar w:fldCharType="separate"/>
    </w:r>
    <w:r w:rsidRPr="00237A2C">
      <w:instrText>163</w:instrText>
    </w:r>
    <w:r w:rsidRPr="00237A2C">
      <w:fldChar w:fldCharType="end"/>
    </w:r>
    <w:r w:rsidRPr="00237A2C">
      <w:instrText xml:space="preserve"> &gt; 1 "</w:instrText>
    </w:r>
    <w:r w:rsidRPr="00237A2C">
      <w:fldChar w:fldCharType="begin" w:fldLock="1"/>
    </w:r>
    <w:r w:rsidRPr="00237A2C">
      <w:instrText xml:space="preserve"> DOCPROPERTY BetänkandeÅr</w:instrText>
    </w:r>
    <w:r w:rsidRPr="00237A2C">
      <w:fldChar w:fldCharType="separate"/>
    </w:r>
    <w:r w:rsidRPr="00237A2C">
      <w:instrText>2000/01</w:instrText>
    </w:r>
    <w:r w:rsidRPr="00237A2C">
      <w:fldChar w:fldCharType="end"/>
    </w:r>
    <w:r w:rsidRPr="00237A2C">
      <w:instrText>:</w:instrText>
    </w:r>
    <w:r w:rsidRPr="00237A2C">
      <w:fldChar w:fldCharType="begin" w:fldLock="1"/>
    </w:r>
    <w:r w:rsidRPr="00237A2C">
      <w:instrText xml:space="preserve"> DOCPROPERTY Utskott</w:instrText>
    </w:r>
    <w:r w:rsidRPr="00237A2C">
      <w:fldChar w:fldCharType="separate"/>
    </w:r>
    <w:r w:rsidRPr="00237A2C">
      <w:instrText>RR</w:instrText>
    </w:r>
    <w:r w:rsidRPr="00237A2C">
      <w:fldChar w:fldCharType="end"/>
    </w:r>
    <w:r w:rsidRPr="00237A2C">
      <w:fldChar w:fldCharType="begin" w:fldLock="1"/>
    </w:r>
    <w:r w:rsidRPr="00237A2C">
      <w:instrText xml:space="preserve"> DOCPROPERTY BetänkandeNr</w:instrText>
    </w:r>
    <w:r w:rsidRPr="00237A2C">
      <w:fldChar w:fldCharType="separate"/>
    </w:r>
    <w:r w:rsidRPr="00237A2C">
      <w:instrText>14</w:instrText>
    </w:r>
    <w:r w:rsidRPr="00237A2C">
      <w:fldChar w:fldCharType="end"/>
    </w:r>
  </w:p>
  <w:p w:rsidR="00AE50BA" w:rsidRPr="00237A2C" w:rsidRDefault="00AE50BA">
    <w:pPr>
      <w:pStyle w:val="SidhuvudKantBilaga"/>
      <w:framePr w:w="1758" w:h="2744" w:hRule="exact" w:wrap="around" w:vAnchor="page" w:hAnchor="page" w:x="7372" w:y="568" w:anchorLock="0"/>
    </w:pPr>
  </w:p>
  <w:p w:rsidR="00AE50BA" w:rsidRPr="00237A2C" w:rsidRDefault="00AE50BA">
    <w:pPr>
      <w:pStyle w:val="SidhuvudKant"/>
      <w:framePr w:w="1758" w:h="2744" w:hRule="exact" w:wrap="around" w:vAnchor="page" w:hAnchor="page" w:x="7372" w:y="568" w:anchorLock="0"/>
    </w:pPr>
    <w:r w:rsidRPr="00237A2C">
      <w:fldChar w:fldCharType="begin" w:fldLock="1"/>
    </w:r>
    <w:r w:rsidRPr="00237A2C">
      <w:instrText xml:space="preserve"> DOCPROPERTY Status </w:instrText>
    </w:r>
    <w:r w:rsidRPr="00237A2C">
      <w:fldChar w:fldCharType="end"/>
    </w:r>
    <w:r w:rsidRPr="00237A2C">
      <w:instrText>"</w:instrText>
    </w:r>
    <w:r w:rsidRPr="00237A2C">
      <w:fldChar w:fldCharType="separate"/>
    </w:r>
    <w:r w:rsidRPr="00237A2C">
      <w:fldChar w:fldCharType="begin" w:fldLock="1"/>
    </w:r>
    <w:r w:rsidRPr="00237A2C">
      <w:instrText xml:space="preserve"> DOCPROPERTY BetänkandeÅr</w:instrText>
    </w:r>
    <w:r w:rsidRPr="00237A2C">
      <w:fldChar w:fldCharType="separate"/>
    </w:r>
    <w:r w:rsidRPr="00237A2C">
      <w:t>2000/01</w:t>
    </w:r>
    <w:r w:rsidRPr="00237A2C">
      <w:fldChar w:fldCharType="end"/>
    </w:r>
    <w:r w:rsidRPr="00237A2C">
      <w:t>:</w:t>
    </w:r>
    <w:r w:rsidRPr="00237A2C">
      <w:fldChar w:fldCharType="begin" w:fldLock="1"/>
    </w:r>
    <w:r w:rsidRPr="00237A2C">
      <w:instrText xml:space="preserve"> DOCPROPERTY Utskott</w:instrText>
    </w:r>
    <w:r w:rsidRPr="00237A2C">
      <w:fldChar w:fldCharType="separate"/>
    </w:r>
    <w:r w:rsidRPr="00237A2C">
      <w:t>RR</w:t>
    </w:r>
    <w:r w:rsidRPr="00237A2C">
      <w:fldChar w:fldCharType="end"/>
    </w:r>
    <w:r w:rsidRPr="00237A2C">
      <w:fldChar w:fldCharType="begin" w:fldLock="1"/>
    </w:r>
    <w:r w:rsidRPr="00237A2C">
      <w:instrText xml:space="preserve"> DOCPROPERTY BetänkandeNr</w:instrText>
    </w:r>
    <w:r w:rsidRPr="00237A2C">
      <w:fldChar w:fldCharType="separate"/>
    </w:r>
    <w:r w:rsidRPr="00237A2C">
      <w:t>14</w:t>
    </w:r>
    <w:r w:rsidRPr="00237A2C">
      <w:fldChar w:fldCharType="end"/>
    </w:r>
  </w:p>
  <w:p w:rsidR="00AE50BA" w:rsidRPr="00237A2C" w:rsidRDefault="00AE50BA">
    <w:pPr>
      <w:pStyle w:val="SidhuvudKantBilaga"/>
      <w:framePr w:w="1758" w:h="2744" w:hRule="exact" w:wrap="around" w:vAnchor="page" w:hAnchor="page" w:x="7372" w:y="568" w:anchorLock="0"/>
    </w:pPr>
  </w:p>
  <w:p w:rsidR="00AE50BA" w:rsidRPr="00237A2C" w:rsidRDefault="00AE50BA">
    <w:pPr>
      <w:pStyle w:val="SidhuvudKant"/>
      <w:framePr w:w="1758" w:h="2744" w:hRule="exact" w:wrap="around" w:vAnchor="page" w:hAnchor="page" w:x="7372" w:y="568" w:anchorLock="0"/>
    </w:pPr>
    <w:r w:rsidRPr="00237A2C">
      <w:fldChar w:fldCharType="end"/>
    </w:r>
  </w:p>
  <w:p w:rsidR="00AE50BA" w:rsidRPr="00237A2C" w:rsidRDefault="00AE50B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0BA" w:rsidRPr="00237A2C" w:rsidRDefault="00AE50BA">
    <w:pPr>
      <w:pStyle w:val="SidhuvudKant"/>
      <w:framePr w:w="1758" w:h="2744" w:hRule="exact" w:wrap="around" w:vAnchor="page" w:hAnchor="page" w:x="7372" w:y="568" w:anchorLock="0"/>
    </w:pPr>
    <w:r w:rsidRPr="00237A2C">
      <w:t>2000/01:RR14</w:t>
    </w:r>
  </w:p>
  <w:p w:rsidR="00AE50BA" w:rsidRPr="00237A2C" w:rsidRDefault="00AE50BA">
    <w:pPr>
      <w:pStyle w:val="SidhuvudKantBilaga"/>
      <w:framePr w:w="1758" w:h="2744" w:hRule="exact" w:wrap="around" w:vAnchor="page" w:hAnchor="page" w:x="7372" w:y="568" w:anchorLock="0"/>
    </w:pPr>
  </w:p>
  <w:p w:rsidR="00AE50BA" w:rsidRPr="00237A2C" w:rsidRDefault="00AE50BA">
    <w:pPr>
      <w:pStyle w:val="SidhuvudKant"/>
      <w:framePr w:w="1758" w:h="2744" w:hRule="exact" w:wrap="around" w:vAnchor="page" w:hAnchor="page" w:x="7372" w:y="568" w:anchorLock="0"/>
    </w:pPr>
  </w:p>
  <w:p w:rsidR="00AE50BA" w:rsidRPr="00237A2C" w:rsidRDefault="00AE50B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0BA" w:rsidRPr="00237A2C" w:rsidRDefault="00AE50BA">
    <w:pPr>
      <w:pStyle w:val="SidhuvudKant"/>
      <w:framePr w:w="1758" w:h="2744" w:hRule="exact" w:wrap="around" w:vAnchor="page" w:hAnchor="page" w:x="7372" w:y="568" w:anchorLock="0"/>
    </w:pPr>
    <w:r w:rsidRPr="00237A2C">
      <w:t>2000/01:RR14</w:t>
    </w:r>
  </w:p>
  <w:p w:rsidR="00AE50BA" w:rsidRPr="00237A2C" w:rsidRDefault="00AE50BA">
    <w:pPr>
      <w:pStyle w:val="SidhuvudKantBilaga"/>
      <w:framePr w:w="1758" w:h="2744" w:hRule="exact" w:wrap="around" w:vAnchor="page" w:hAnchor="page" w:x="7372" w:y="568" w:anchorLock="0"/>
    </w:pPr>
    <w:r w:rsidRPr="00237A2C">
      <w:t>Bilaga 1</w:t>
    </w:r>
  </w:p>
  <w:p w:rsidR="00AE50BA" w:rsidRPr="00237A2C" w:rsidRDefault="00AE50BA">
    <w:pPr>
      <w:pStyle w:val="SidhuvudKant"/>
      <w:framePr w:w="1758" w:h="2744" w:hRule="exact" w:wrap="around" w:vAnchor="page" w:hAnchor="page" w:x="7372" w:y="568" w:anchorLock="0"/>
    </w:pPr>
  </w:p>
  <w:p w:rsidR="00AE50BA" w:rsidRPr="00237A2C" w:rsidRDefault="00AE50BA">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0BA" w:rsidRPr="00237A2C" w:rsidRDefault="00AE50BA">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0BA" w:rsidRPr="00237A2C" w:rsidRDefault="00AE50BA">
    <w:pPr>
      <w:pStyle w:val="SidhuvudKant"/>
      <w:framePr w:w="1758" w:h="2744" w:hRule="exact" w:wrap="around" w:vAnchor="page" w:hAnchor="page" w:x="7372" w:y="568" w:anchorLock="0"/>
    </w:pPr>
    <w:r w:rsidRPr="00237A2C">
      <w:fldChar w:fldCharType="begin" w:fldLock="1"/>
    </w:r>
    <w:r w:rsidRPr="00237A2C">
      <w:instrText xml:space="preserve"> if </w:instrText>
    </w:r>
    <w:r w:rsidRPr="00237A2C">
      <w:fldChar w:fldCharType="begin" w:fldLock="1"/>
    </w:r>
    <w:r w:rsidRPr="00237A2C">
      <w:instrText xml:space="preserve"> page</w:instrText>
    </w:r>
    <w:r w:rsidRPr="00237A2C">
      <w:fldChar w:fldCharType="separate"/>
    </w:r>
    <w:r w:rsidRPr="00237A2C">
      <w:instrText>17</w:instrText>
    </w:r>
    <w:r w:rsidRPr="00237A2C">
      <w:fldChar w:fldCharType="end"/>
    </w:r>
    <w:r w:rsidRPr="00237A2C">
      <w:instrText xml:space="preserve"> &gt; 1 "</w:instrText>
    </w:r>
    <w:r w:rsidRPr="00237A2C">
      <w:fldChar w:fldCharType="begin" w:fldLock="1"/>
    </w:r>
    <w:r w:rsidRPr="00237A2C">
      <w:instrText xml:space="preserve"> DOCPROPERTY BetänkandeÅr</w:instrText>
    </w:r>
    <w:r w:rsidRPr="00237A2C">
      <w:fldChar w:fldCharType="separate"/>
    </w:r>
    <w:r w:rsidRPr="00237A2C">
      <w:instrText>2000/01</w:instrText>
    </w:r>
    <w:r w:rsidRPr="00237A2C">
      <w:fldChar w:fldCharType="end"/>
    </w:r>
    <w:r w:rsidRPr="00237A2C">
      <w:instrText>:</w:instrText>
    </w:r>
    <w:r w:rsidRPr="00237A2C">
      <w:fldChar w:fldCharType="begin" w:fldLock="1"/>
    </w:r>
    <w:r w:rsidRPr="00237A2C">
      <w:instrText xml:space="preserve"> DOCPROPERTY Utskott</w:instrText>
    </w:r>
    <w:r w:rsidRPr="00237A2C">
      <w:fldChar w:fldCharType="separate"/>
    </w:r>
    <w:r w:rsidRPr="00237A2C">
      <w:instrText>RR</w:instrText>
    </w:r>
    <w:r w:rsidRPr="00237A2C">
      <w:fldChar w:fldCharType="end"/>
    </w:r>
    <w:r w:rsidRPr="00237A2C">
      <w:fldChar w:fldCharType="begin" w:fldLock="1"/>
    </w:r>
    <w:r w:rsidRPr="00237A2C">
      <w:instrText xml:space="preserve"> DOCPROPERTY BetänkandeNr</w:instrText>
    </w:r>
    <w:r w:rsidRPr="00237A2C">
      <w:fldChar w:fldCharType="separate"/>
    </w:r>
    <w:r w:rsidRPr="00237A2C">
      <w:instrText>14</w:instrText>
    </w:r>
    <w:r w:rsidRPr="00237A2C">
      <w:fldChar w:fldCharType="end"/>
    </w:r>
  </w:p>
  <w:p w:rsidR="00AE50BA" w:rsidRPr="00237A2C" w:rsidRDefault="00AE50BA">
    <w:pPr>
      <w:pStyle w:val="SidhuvudKantBilaga"/>
      <w:framePr w:w="1758" w:h="2744" w:hRule="exact" w:wrap="around" w:vAnchor="page" w:hAnchor="page" w:x="7372" w:y="568" w:anchorLock="0"/>
    </w:pPr>
    <w:r w:rsidRPr="00237A2C">
      <w:instrText>Bilaga 1</w:instrText>
    </w:r>
  </w:p>
  <w:p w:rsidR="00AE50BA" w:rsidRPr="00237A2C" w:rsidRDefault="00AE50BA">
    <w:pPr>
      <w:pStyle w:val="SidhuvudKant"/>
      <w:framePr w:w="1758" w:h="2744" w:hRule="exact" w:wrap="around" w:vAnchor="page" w:hAnchor="page" w:x="7372" w:y="568" w:anchorLock="0"/>
    </w:pPr>
    <w:r w:rsidRPr="00237A2C">
      <w:fldChar w:fldCharType="begin" w:fldLock="1"/>
    </w:r>
    <w:r w:rsidRPr="00237A2C">
      <w:instrText xml:space="preserve"> DOCPROPERTY Status </w:instrText>
    </w:r>
    <w:r w:rsidRPr="00237A2C">
      <w:fldChar w:fldCharType="end"/>
    </w:r>
    <w:r w:rsidRPr="00237A2C">
      <w:instrText>"</w:instrText>
    </w:r>
    <w:r w:rsidRPr="00237A2C">
      <w:fldChar w:fldCharType="separate"/>
    </w:r>
    <w:r w:rsidRPr="00237A2C">
      <w:fldChar w:fldCharType="begin" w:fldLock="1"/>
    </w:r>
    <w:r w:rsidRPr="00237A2C">
      <w:instrText xml:space="preserve"> DOCPROPERTY BetänkandeÅr</w:instrText>
    </w:r>
    <w:r w:rsidRPr="00237A2C">
      <w:fldChar w:fldCharType="separate"/>
    </w:r>
    <w:r w:rsidRPr="00237A2C">
      <w:t>2000/01</w:t>
    </w:r>
    <w:r w:rsidRPr="00237A2C">
      <w:fldChar w:fldCharType="end"/>
    </w:r>
    <w:r w:rsidRPr="00237A2C">
      <w:t>:</w:t>
    </w:r>
    <w:r w:rsidRPr="00237A2C">
      <w:fldChar w:fldCharType="begin" w:fldLock="1"/>
    </w:r>
    <w:r w:rsidRPr="00237A2C">
      <w:instrText xml:space="preserve"> DOCPROPERTY Utskott</w:instrText>
    </w:r>
    <w:r w:rsidRPr="00237A2C">
      <w:fldChar w:fldCharType="separate"/>
    </w:r>
    <w:r w:rsidRPr="00237A2C">
      <w:t>RR</w:t>
    </w:r>
    <w:r w:rsidRPr="00237A2C">
      <w:fldChar w:fldCharType="end"/>
    </w:r>
    <w:r w:rsidRPr="00237A2C">
      <w:fldChar w:fldCharType="begin" w:fldLock="1"/>
    </w:r>
    <w:r w:rsidRPr="00237A2C">
      <w:instrText xml:space="preserve"> DOCPROPERTY BetänkandeNr</w:instrText>
    </w:r>
    <w:r w:rsidRPr="00237A2C">
      <w:fldChar w:fldCharType="separate"/>
    </w:r>
    <w:r w:rsidRPr="00237A2C">
      <w:t>14</w:t>
    </w:r>
    <w:r w:rsidRPr="00237A2C">
      <w:fldChar w:fldCharType="end"/>
    </w:r>
  </w:p>
  <w:p w:rsidR="00AE50BA" w:rsidRPr="00237A2C" w:rsidRDefault="00AE50BA">
    <w:pPr>
      <w:pStyle w:val="SidhuvudKantBilaga"/>
      <w:framePr w:w="1758" w:h="2744" w:hRule="exact" w:wrap="around" w:vAnchor="page" w:hAnchor="page" w:x="7372" w:y="568" w:anchorLock="0"/>
    </w:pPr>
    <w:r w:rsidRPr="00237A2C">
      <w:t>Bilaga 1</w:t>
    </w:r>
  </w:p>
  <w:p w:rsidR="00AE50BA" w:rsidRPr="00237A2C" w:rsidRDefault="00AE50BA">
    <w:pPr>
      <w:pStyle w:val="SidhuvudKant"/>
      <w:framePr w:w="1758" w:h="2744" w:hRule="exact" w:wrap="around" w:vAnchor="page" w:hAnchor="page" w:x="7372" w:y="568" w:anchorLock="0"/>
    </w:pPr>
    <w:r w:rsidRPr="00237A2C">
      <w:fldChar w:fldCharType="end"/>
    </w:r>
  </w:p>
  <w:p w:rsidR="00AE50BA" w:rsidRPr="00237A2C" w:rsidRDefault="00AE50BA">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0BA" w:rsidRPr="00237A2C" w:rsidRDefault="00AE50BA">
    <w:pPr>
      <w:pStyle w:val="SidhuvudKant"/>
      <w:framePr w:w="1758" w:h="2744" w:hRule="exact" w:wrap="around" w:vAnchor="page" w:hAnchor="page" w:x="7372" w:y="568" w:anchorLock="0"/>
    </w:pPr>
    <w:r w:rsidRPr="00237A2C">
      <w:fldChar w:fldCharType="begin" w:fldLock="1"/>
    </w:r>
    <w:r w:rsidRPr="00237A2C">
      <w:instrText xml:space="preserve"> if </w:instrText>
    </w:r>
    <w:r w:rsidRPr="00237A2C">
      <w:fldChar w:fldCharType="begin" w:fldLock="1"/>
    </w:r>
    <w:r w:rsidRPr="00237A2C">
      <w:instrText xml:space="preserve"> page</w:instrText>
    </w:r>
    <w:r w:rsidRPr="00237A2C">
      <w:fldChar w:fldCharType="separate"/>
    </w:r>
    <w:r w:rsidRPr="00237A2C">
      <w:instrText>20</w:instrText>
    </w:r>
    <w:r w:rsidRPr="00237A2C">
      <w:fldChar w:fldCharType="end"/>
    </w:r>
    <w:r w:rsidRPr="00237A2C">
      <w:instrText xml:space="preserve"> &gt; 1 "</w:instrText>
    </w:r>
    <w:r w:rsidRPr="00237A2C">
      <w:fldChar w:fldCharType="begin" w:fldLock="1"/>
    </w:r>
    <w:r w:rsidRPr="00237A2C">
      <w:instrText xml:space="preserve"> DOCPROPERTY BetänkandeÅr</w:instrText>
    </w:r>
    <w:r w:rsidRPr="00237A2C">
      <w:fldChar w:fldCharType="separate"/>
    </w:r>
    <w:r w:rsidRPr="00237A2C">
      <w:instrText>2000/01</w:instrText>
    </w:r>
    <w:r w:rsidRPr="00237A2C">
      <w:fldChar w:fldCharType="end"/>
    </w:r>
    <w:r w:rsidRPr="00237A2C">
      <w:instrText>:</w:instrText>
    </w:r>
    <w:r w:rsidRPr="00237A2C">
      <w:fldChar w:fldCharType="begin" w:fldLock="1"/>
    </w:r>
    <w:r w:rsidRPr="00237A2C">
      <w:instrText xml:space="preserve"> DOCPROPERTY Utskott</w:instrText>
    </w:r>
    <w:r w:rsidRPr="00237A2C">
      <w:fldChar w:fldCharType="separate"/>
    </w:r>
    <w:r w:rsidRPr="00237A2C">
      <w:instrText>RR</w:instrText>
    </w:r>
    <w:r w:rsidRPr="00237A2C">
      <w:fldChar w:fldCharType="end"/>
    </w:r>
    <w:r w:rsidRPr="00237A2C">
      <w:fldChar w:fldCharType="begin" w:fldLock="1"/>
    </w:r>
    <w:r w:rsidRPr="00237A2C">
      <w:instrText xml:space="preserve"> DOCPROPERTY BetänkandeNr</w:instrText>
    </w:r>
    <w:r w:rsidRPr="00237A2C">
      <w:fldChar w:fldCharType="separate"/>
    </w:r>
    <w:r w:rsidRPr="00237A2C">
      <w:instrText>14</w:instrText>
    </w:r>
    <w:r w:rsidRPr="00237A2C">
      <w:fldChar w:fldCharType="end"/>
    </w:r>
  </w:p>
  <w:p w:rsidR="00AE50BA" w:rsidRPr="00237A2C" w:rsidRDefault="00AE50BA">
    <w:pPr>
      <w:pStyle w:val="SidhuvudKantBilaga"/>
      <w:framePr w:w="1758" w:h="2744" w:hRule="exact" w:wrap="around" w:vAnchor="page" w:hAnchor="page" w:x="7372" w:y="568" w:anchorLock="0"/>
    </w:pPr>
    <w:r w:rsidRPr="00237A2C">
      <w:instrText>Bilaga 1</w:instrText>
    </w:r>
  </w:p>
  <w:p w:rsidR="00AE50BA" w:rsidRPr="00237A2C" w:rsidRDefault="00AE50BA">
    <w:pPr>
      <w:pStyle w:val="SidhuvudKant"/>
      <w:framePr w:w="1758" w:h="2744" w:hRule="exact" w:wrap="around" w:vAnchor="page" w:hAnchor="page" w:x="7372" w:y="568" w:anchorLock="0"/>
    </w:pPr>
    <w:r w:rsidRPr="00237A2C">
      <w:fldChar w:fldCharType="begin" w:fldLock="1"/>
    </w:r>
    <w:r w:rsidRPr="00237A2C">
      <w:instrText xml:space="preserve"> DOCPROPERTY Status </w:instrText>
    </w:r>
    <w:r w:rsidRPr="00237A2C">
      <w:fldChar w:fldCharType="end"/>
    </w:r>
    <w:r w:rsidRPr="00237A2C">
      <w:instrText>"</w:instrText>
    </w:r>
    <w:r w:rsidRPr="00237A2C">
      <w:fldChar w:fldCharType="separate"/>
    </w:r>
    <w:r w:rsidRPr="00237A2C">
      <w:fldChar w:fldCharType="begin" w:fldLock="1"/>
    </w:r>
    <w:r w:rsidRPr="00237A2C">
      <w:instrText xml:space="preserve"> DOCPROPERTY BetänkandeÅr</w:instrText>
    </w:r>
    <w:r w:rsidRPr="00237A2C">
      <w:fldChar w:fldCharType="separate"/>
    </w:r>
    <w:r w:rsidRPr="00237A2C">
      <w:t>2000/01</w:t>
    </w:r>
    <w:r w:rsidRPr="00237A2C">
      <w:fldChar w:fldCharType="end"/>
    </w:r>
    <w:r w:rsidRPr="00237A2C">
      <w:t>:</w:t>
    </w:r>
    <w:r w:rsidRPr="00237A2C">
      <w:fldChar w:fldCharType="begin" w:fldLock="1"/>
    </w:r>
    <w:r w:rsidRPr="00237A2C">
      <w:instrText xml:space="preserve"> DOCPROPERTY Utskott</w:instrText>
    </w:r>
    <w:r w:rsidRPr="00237A2C">
      <w:fldChar w:fldCharType="separate"/>
    </w:r>
    <w:r w:rsidRPr="00237A2C">
      <w:t>RR</w:t>
    </w:r>
    <w:r w:rsidRPr="00237A2C">
      <w:fldChar w:fldCharType="end"/>
    </w:r>
    <w:r w:rsidRPr="00237A2C">
      <w:fldChar w:fldCharType="begin" w:fldLock="1"/>
    </w:r>
    <w:r w:rsidRPr="00237A2C">
      <w:instrText xml:space="preserve"> DOCPROPERTY BetänkandeNr</w:instrText>
    </w:r>
    <w:r w:rsidRPr="00237A2C">
      <w:fldChar w:fldCharType="separate"/>
    </w:r>
    <w:r w:rsidRPr="00237A2C">
      <w:t>14</w:t>
    </w:r>
    <w:r w:rsidRPr="00237A2C">
      <w:fldChar w:fldCharType="end"/>
    </w:r>
  </w:p>
  <w:p w:rsidR="00AE50BA" w:rsidRPr="00237A2C" w:rsidRDefault="00AE50BA">
    <w:pPr>
      <w:pStyle w:val="SidhuvudKantBilaga"/>
      <w:framePr w:w="1758" w:h="2744" w:hRule="exact" w:wrap="around" w:vAnchor="page" w:hAnchor="page" w:x="7372" w:y="568" w:anchorLock="0"/>
    </w:pPr>
    <w:r w:rsidRPr="00237A2C">
      <w:t>Bilaga 1</w:t>
    </w:r>
  </w:p>
  <w:p w:rsidR="00AE50BA" w:rsidRPr="00237A2C" w:rsidRDefault="00AE50BA">
    <w:pPr>
      <w:pStyle w:val="SidhuvudKant"/>
      <w:framePr w:w="1758" w:h="2744" w:hRule="exact" w:wrap="around" w:vAnchor="page" w:hAnchor="page" w:x="7372" w:y="568" w:anchorLock="0"/>
    </w:pPr>
    <w:r w:rsidRPr="00237A2C">
      <w:fldChar w:fldCharType="end"/>
    </w:r>
  </w:p>
  <w:p w:rsidR="00AE50BA" w:rsidRPr="00237A2C" w:rsidRDefault="00AE50BA">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0BA" w:rsidRPr="00237A2C" w:rsidRDefault="00AE50BA">
    <w:pPr>
      <w:pStyle w:val="SidhuvudKant"/>
      <w:framePr w:w="1758" w:h="2744" w:hRule="exact" w:wrap="around" w:vAnchor="page" w:hAnchor="page" w:x="7372" w:y="568" w:anchorLock="0"/>
    </w:pPr>
    <w:r w:rsidRPr="00237A2C">
      <w:fldChar w:fldCharType="begin" w:fldLock="1"/>
    </w:r>
    <w:r w:rsidRPr="00237A2C">
      <w:instrText xml:space="preserve"> if </w:instrText>
    </w:r>
    <w:r w:rsidRPr="00237A2C">
      <w:fldChar w:fldCharType="begin" w:fldLock="1"/>
    </w:r>
    <w:r w:rsidRPr="00237A2C">
      <w:instrText xml:space="preserve"> page</w:instrText>
    </w:r>
    <w:r w:rsidRPr="00237A2C">
      <w:fldChar w:fldCharType="separate"/>
    </w:r>
    <w:r w:rsidRPr="00237A2C">
      <w:instrText>59</w:instrText>
    </w:r>
    <w:r w:rsidRPr="00237A2C">
      <w:fldChar w:fldCharType="end"/>
    </w:r>
    <w:r w:rsidRPr="00237A2C">
      <w:instrText xml:space="preserve"> &gt; 1 "</w:instrText>
    </w:r>
    <w:r w:rsidRPr="00237A2C">
      <w:fldChar w:fldCharType="begin" w:fldLock="1"/>
    </w:r>
    <w:r w:rsidRPr="00237A2C">
      <w:instrText xml:space="preserve"> DOCPROPERTY BetänkandeÅr</w:instrText>
    </w:r>
    <w:r w:rsidRPr="00237A2C">
      <w:fldChar w:fldCharType="separate"/>
    </w:r>
    <w:r w:rsidRPr="00237A2C">
      <w:instrText>2000/01</w:instrText>
    </w:r>
    <w:r w:rsidRPr="00237A2C">
      <w:fldChar w:fldCharType="end"/>
    </w:r>
    <w:r w:rsidRPr="00237A2C">
      <w:instrText>:</w:instrText>
    </w:r>
    <w:r w:rsidRPr="00237A2C">
      <w:fldChar w:fldCharType="begin" w:fldLock="1"/>
    </w:r>
    <w:r w:rsidRPr="00237A2C">
      <w:instrText xml:space="preserve"> DOCPROPERTY Utskott</w:instrText>
    </w:r>
    <w:r w:rsidRPr="00237A2C">
      <w:fldChar w:fldCharType="separate"/>
    </w:r>
    <w:r w:rsidRPr="00237A2C">
      <w:instrText>RR</w:instrText>
    </w:r>
    <w:r w:rsidRPr="00237A2C">
      <w:fldChar w:fldCharType="end"/>
    </w:r>
    <w:r w:rsidRPr="00237A2C">
      <w:fldChar w:fldCharType="begin" w:fldLock="1"/>
    </w:r>
    <w:r w:rsidRPr="00237A2C">
      <w:instrText xml:space="preserve"> DOCPROPERTY BetänkandeNr</w:instrText>
    </w:r>
    <w:r w:rsidRPr="00237A2C">
      <w:fldChar w:fldCharType="separate"/>
    </w:r>
    <w:r w:rsidRPr="00237A2C">
      <w:instrText>14</w:instrText>
    </w:r>
    <w:r w:rsidRPr="00237A2C">
      <w:fldChar w:fldCharType="end"/>
    </w:r>
  </w:p>
  <w:p w:rsidR="00AE50BA" w:rsidRPr="00237A2C" w:rsidRDefault="00AE50BA">
    <w:pPr>
      <w:pStyle w:val="SidhuvudKantBilaga"/>
      <w:framePr w:w="1758" w:h="2744" w:hRule="exact" w:wrap="around" w:vAnchor="page" w:hAnchor="page" w:x="7372" w:y="568" w:anchorLock="0"/>
    </w:pPr>
    <w:r w:rsidRPr="00237A2C">
      <w:instrText>Bilaga 1</w:instrText>
    </w:r>
  </w:p>
  <w:p w:rsidR="00AE50BA" w:rsidRPr="00237A2C" w:rsidRDefault="00AE50BA">
    <w:pPr>
      <w:pStyle w:val="SidhuvudKant"/>
      <w:framePr w:w="1758" w:h="2744" w:hRule="exact" w:wrap="around" w:vAnchor="page" w:hAnchor="page" w:x="7372" w:y="568" w:anchorLock="0"/>
    </w:pPr>
    <w:r w:rsidRPr="00237A2C">
      <w:fldChar w:fldCharType="begin" w:fldLock="1"/>
    </w:r>
    <w:r w:rsidRPr="00237A2C">
      <w:instrText xml:space="preserve"> DOCPROPERTY Status </w:instrText>
    </w:r>
    <w:r w:rsidRPr="00237A2C">
      <w:fldChar w:fldCharType="end"/>
    </w:r>
    <w:r w:rsidRPr="00237A2C">
      <w:instrText>"</w:instrText>
    </w:r>
    <w:r w:rsidRPr="00237A2C">
      <w:fldChar w:fldCharType="separate"/>
    </w:r>
    <w:r w:rsidRPr="00237A2C">
      <w:fldChar w:fldCharType="begin" w:fldLock="1"/>
    </w:r>
    <w:r w:rsidRPr="00237A2C">
      <w:instrText xml:space="preserve"> DOCPROPERTY BetänkandeÅr</w:instrText>
    </w:r>
    <w:r w:rsidRPr="00237A2C">
      <w:fldChar w:fldCharType="separate"/>
    </w:r>
    <w:r w:rsidRPr="00237A2C">
      <w:t>2000/01</w:t>
    </w:r>
    <w:r w:rsidRPr="00237A2C">
      <w:fldChar w:fldCharType="end"/>
    </w:r>
    <w:r w:rsidRPr="00237A2C">
      <w:t>:</w:t>
    </w:r>
    <w:r w:rsidRPr="00237A2C">
      <w:fldChar w:fldCharType="begin" w:fldLock="1"/>
    </w:r>
    <w:r w:rsidRPr="00237A2C">
      <w:instrText xml:space="preserve"> DOCPROPERTY Utskott</w:instrText>
    </w:r>
    <w:r w:rsidRPr="00237A2C">
      <w:fldChar w:fldCharType="separate"/>
    </w:r>
    <w:r w:rsidRPr="00237A2C">
      <w:t>RR</w:t>
    </w:r>
    <w:r w:rsidRPr="00237A2C">
      <w:fldChar w:fldCharType="end"/>
    </w:r>
    <w:r w:rsidRPr="00237A2C">
      <w:fldChar w:fldCharType="begin" w:fldLock="1"/>
    </w:r>
    <w:r w:rsidRPr="00237A2C">
      <w:instrText xml:space="preserve"> DOCPROPERTY BetänkandeNr</w:instrText>
    </w:r>
    <w:r w:rsidRPr="00237A2C">
      <w:fldChar w:fldCharType="separate"/>
    </w:r>
    <w:r w:rsidRPr="00237A2C">
      <w:t>14</w:t>
    </w:r>
    <w:r w:rsidRPr="00237A2C">
      <w:fldChar w:fldCharType="end"/>
    </w:r>
  </w:p>
  <w:p w:rsidR="00AE50BA" w:rsidRPr="00237A2C" w:rsidRDefault="00AE50BA">
    <w:pPr>
      <w:pStyle w:val="SidhuvudKantBilaga"/>
      <w:framePr w:w="1758" w:h="2744" w:hRule="exact" w:wrap="around" w:vAnchor="page" w:hAnchor="page" w:x="7372" w:y="568" w:anchorLock="0"/>
    </w:pPr>
    <w:r w:rsidRPr="00237A2C">
      <w:t>Bilaga 1</w:t>
    </w:r>
  </w:p>
  <w:p w:rsidR="00AE50BA" w:rsidRPr="00237A2C" w:rsidRDefault="00AE50BA">
    <w:pPr>
      <w:pStyle w:val="SidhuvudKant"/>
      <w:framePr w:w="1758" w:h="2744" w:hRule="exact" w:wrap="around" w:vAnchor="page" w:hAnchor="page" w:x="7372" w:y="568" w:anchorLock="0"/>
    </w:pPr>
    <w:r w:rsidRPr="00237A2C">
      <w:fldChar w:fldCharType="end"/>
    </w:r>
  </w:p>
  <w:p w:rsidR="00AE50BA" w:rsidRPr="00237A2C" w:rsidRDefault="00AE50BA">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0BA" w:rsidRPr="00237A2C" w:rsidRDefault="00AE50BA">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0BA" w:rsidRPr="00237A2C" w:rsidRDefault="00AE50BA">
    <w:pPr>
      <w:pStyle w:val="SidhuvudKant"/>
      <w:framePr w:w="1758" w:h="2744" w:hRule="exact" w:wrap="around" w:vAnchor="page" w:hAnchor="page" w:x="7372" w:y="568" w:anchorLock="0"/>
    </w:pPr>
    <w:r w:rsidRPr="00237A2C">
      <w:fldChar w:fldCharType="begin" w:fldLock="1"/>
    </w:r>
    <w:r w:rsidRPr="00237A2C">
      <w:instrText xml:space="preserve"> if </w:instrText>
    </w:r>
    <w:r w:rsidRPr="00237A2C">
      <w:fldChar w:fldCharType="begin" w:fldLock="1"/>
    </w:r>
    <w:r w:rsidRPr="00237A2C">
      <w:instrText xml:space="preserve"> page</w:instrText>
    </w:r>
    <w:r w:rsidRPr="00237A2C">
      <w:fldChar w:fldCharType="separate"/>
    </w:r>
    <w:r w:rsidRPr="00237A2C">
      <w:instrText>92</w:instrText>
    </w:r>
    <w:r w:rsidRPr="00237A2C">
      <w:fldChar w:fldCharType="end"/>
    </w:r>
    <w:r w:rsidRPr="00237A2C">
      <w:instrText xml:space="preserve"> &gt; 1 "</w:instrText>
    </w:r>
    <w:r w:rsidRPr="00237A2C">
      <w:fldChar w:fldCharType="begin" w:fldLock="1"/>
    </w:r>
    <w:r w:rsidRPr="00237A2C">
      <w:instrText xml:space="preserve"> DOCPROPERTY BetänkandeÅr</w:instrText>
    </w:r>
    <w:r w:rsidRPr="00237A2C">
      <w:fldChar w:fldCharType="separate"/>
    </w:r>
    <w:r w:rsidRPr="00237A2C">
      <w:instrText>2000/01</w:instrText>
    </w:r>
    <w:r w:rsidRPr="00237A2C">
      <w:fldChar w:fldCharType="end"/>
    </w:r>
    <w:r w:rsidRPr="00237A2C">
      <w:instrText>:</w:instrText>
    </w:r>
    <w:r w:rsidRPr="00237A2C">
      <w:fldChar w:fldCharType="begin" w:fldLock="1"/>
    </w:r>
    <w:r w:rsidRPr="00237A2C">
      <w:instrText xml:space="preserve"> DOCPROPERTY Utskott</w:instrText>
    </w:r>
    <w:r w:rsidRPr="00237A2C">
      <w:fldChar w:fldCharType="separate"/>
    </w:r>
    <w:r w:rsidRPr="00237A2C">
      <w:instrText>RR</w:instrText>
    </w:r>
    <w:r w:rsidRPr="00237A2C">
      <w:fldChar w:fldCharType="end"/>
    </w:r>
    <w:r w:rsidRPr="00237A2C">
      <w:fldChar w:fldCharType="begin" w:fldLock="1"/>
    </w:r>
    <w:r w:rsidRPr="00237A2C">
      <w:instrText xml:space="preserve"> DOCPROPERTY BetänkandeNr</w:instrText>
    </w:r>
    <w:r w:rsidRPr="00237A2C">
      <w:fldChar w:fldCharType="separate"/>
    </w:r>
    <w:r w:rsidRPr="00237A2C">
      <w:instrText>14</w:instrText>
    </w:r>
    <w:r w:rsidRPr="00237A2C">
      <w:fldChar w:fldCharType="end"/>
    </w:r>
  </w:p>
  <w:p w:rsidR="00AE50BA" w:rsidRPr="00237A2C" w:rsidRDefault="00AE50BA">
    <w:pPr>
      <w:pStyle w:val="SidhuvudKantBilaga"/>
      <w:framePr w:w="1758" w:h="2744" w:hRule="exact" w:wrap="around" w:vAnchor="page" w:hAnchor="page" w:x="7372" w:y="568" w:anchorLock="0"/>
    </w:pPr>
    <w:r w:rsidRPr="00237A2C">
      <w:instrText>Underbilaga 1</w:instrText>
    </w:r>
  </w:p>
  <w:p w:rsidR="00AE50BA" w:rsidRPr="00237A2C" w:rsidRDefault="00AE50BA">
    <w:pPr>
      <w:pStyle w:val="SidhuvudKant"/>
      <w:framePr w:w="1758" w:h="2744" w:hRule="exact" w:wrap="around" w:vAnchor="page" w:hAnchor="page" w:x="7372" w:y="568" w:anchorLock="0"/>
    </w:pPr>
    <w:r w:rsidRPr="00237A2C">
      <w:fldChar w:fldCharType="begin" w:fldLock="1"/>
    </w:r>
    <w:r w:rsidRPr="00237A2C">
      <w:instrText xml:space="preserve"> DOCPROPERTY Status </w:instrText>
    </w:r>
    <w:r w:rsidRPr="00237A2C">
      <w:fldChar w:fldCharType="end"/>
    </w:r>
    <w:r w:rsidRPr="00237A2C">
      <w:instrText>"</w:instrText>
    </w:r>
    <w:r w:rsidRPr="00237A2C">
      <w:fldChar w:fldCharType="separate"/>
    </w:r>
    <w:r w:rsidRPr="00237A2C">
      <w:fldChar w:fldCharType="begin" w:fldLock="1"/>
    </w:r>
    <w:r w:rsidRPr="00237A2C">
      <w:instrText xml:space="preserve"> DOCPROPERTY BetänkandeÅr</w:instrText>
    </w:r>
    <w:r w:rsidRPr="00237A2C">
      <w:fldChar w:fldCharType="separate"/>
    </w:r>
    <w:r w:rsidRPr="00237A2C">
      <w:t>2000/01</w:t>
    </w:r>
    <w:r w:rsidRPr="00237A2C">
      <w:fldChar w:fldCharType="end"/>
    </w:r>
    <w:r w:rsidRPr="00237A2C">
      <w:t>:</w:t>
    </w:r>
    <w:r w:rsidRPr="00237A2C">
      <w:fldChar w:fldCharType="begin" w:fldLock="1"/>
    </w:r>
    <w:r w:rsidRPr="00237A2C">
      <w:instrText xml:space="preserve"> DOCPROPERTY Utskott</w:instrText>
    </w:r>
    <w:r w:rsidRPr="00237A2C">
      <w:fldChar w:fldCharType="separate"/>
    </w:r>
    <w:r w:rsidRPr="00237A2C">
      <w:t>RR</w:t>
    </w:r>
    <w:r w:rsidRPr="00237A2C">
      <w:fldChar w:fldCharType="end"/>
    </w:r>
    <w:r w:rsidRPr="00237A2C">
      <w:fldChar w:fldCharType="begin" w:fldLock="1"/>
    </w:r>
    <w:r w:rsidRPr="00237A2C">
      <w:instrText xml:space="preserve"> DOCPROPERTY BetänkandeNr</w:instrText>
    </w:r>
    <w:r w:rsidRPr="00237A2C">
      <w:fldChar w:fldCharType="separate"/>
    </w:r>
    <w:r w:rsidRPr="00237A2C">
      <w:t>14</w:t>
    </w:r>
    <w:r w:rsidRPr="00237A2C">
      <w:fldChar w:fldCharType="end"/>
    </w:r>
  </w:p>
  <w:p w:rsidR="00AE50BA" w:rsidRPr="00237A2C" w:rsidRDefault="00AE50BA">
    <w:pPr>
      <w:pStyle w:val="SidhuvudKantBilaga"/>
      <w:framePr w:w="1758" w:h="2744" w:hRule="exact" w:wrap="around" w:vAnchor="page" w:hAnchor="page" w:x="7372" w:y="568" w:anchorLock="0"/>
    </w:pPr>
    <w:r w:rsidRPr="00237A2C">
      <w:t>Underbilaga 1</w:t>
    </w:r>
  </w:p>
  <w:p w:rsidR="00AE50BA" w:rsidRPr="00237A2C" w:rsidRDefault="00AE50BA">
    <w:pPr>
      <w:pStyle w:val="SidhuvudKant"/>
      <w:framePr w:w="1758" w:h="2744" w:hRule="exact" w:wrap="around" w:vAnchor="page" w:hAnchor="page" w:x="7372" w:y="568" w:anchorLock="0"/>
    </w:pPr>
    <w:r w:rsidRPr="00237A2C">
      <w:fldChar w:fldCharType="end"/>
    </w:r>
  </w:p>
  <w:p w:rsidR="00AE50BA" w:rsidRPr="00237A2C" w:rsidRDefault="00AE50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08AC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A88D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1802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FCB4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8C860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6EA5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2E97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233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A8B5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D3032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216DFA"/>
    <w:multiLevelType w:val="multilevel"/>
    <w:tmpl w:val="B4CC98A8"/>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05F54B13"/>
    <w:multiLevelType w:val="singleLevel"/>
    <w:tmpl w:val="C6CC3B66"/>
    <w:lvl w:ilvl="0">
      <w:start w:val="4"/>
      <w:numFmt w:val="bullet"/>
      <w:lvlText w:val="-"/>
      <w:lvlJc w:val="left"/>
      <w:pPr>
        <w:tabs>
          <w:tab w:val="num" w:pos="360"/>
        </w:tabs>
        <w:ind w:left="360" w:hanging="360"/>
      </w:pPr>
      <w:rPr>
        <w:rFonts w:hint="default"/>
      </w:rPr>
    </w:lvl>
  </w:abstractNum>
  <w:abstractNum w:abstractNumId="12" w15:restartNumberingAfterBreak="0">
    <w:nsid w:val="06AD5E21"/>
    <w:multiLevelType w:val="multilevel"/>
    <w:tmpl w:val="A16AFF42"/>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7D80F74"/>
    <w:multiLevelType w:val="singleLevel"/>
    <w:tmpl w:val="302C81C0"/>
    <w:lvl w:ilvl="0">
      <w:start w:val="2000"/>
      <w:numFmt w:val="bullet"/>
      <w:lvlText w:val="-"/>
      <w:lvlJc w:val="left"/>
      <w:pPr>
        <w:tabs>
          <w:tab w:val="num" w:pos="360"/>
        </w:tabs>
        <w:ind w:left="360" w:hanging="360"/>
      </w:pPr>
      <w:rPr>
        <w:rFonts w:hint="default"/>
      </w:rPr>
    </w:lvl>
  </w:abstractNum>
  <w:abstractNum w:abstractNumId="14" w15:restartNumberingAfterBreak="0">
    <w:nsid w:val="081003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92C158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BFE3D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D9837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E230901"/>
    <w:multiLevelType w:val="singleLevel"/>
    <w:tmpl w:val="5B1A7324"/>
    <w:lvl w:ilvl="0">
      <w:start w:val="1"/>
      <w:numFmt w:val="decimal"/>
      <w:lvlText w:val="%1."/>
      <w:lvlJc w:val="left"/>
      <w:pPr>
        <w:tabs>
          <w:tab w:val="num" w:pos="784"/>
        </w:tabs>
        <w:ind w:left="784" w:hanging="444"/>
      </w:pPr>
      <w:rPr>
        <w:rFonts w:hint="default"/>
      </w:rPr>
    </w:lvl>
  </w:abstractNum>
  <w:abstractNum w:abstractNumId="19" w15:restartNumberingAfterBreak="0">
    <w:nsid w:val="1054172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1B86570"/>
    <w:multiLevelType w:val="singleLevel"/>
    <w:tmpl w:val="0DE6713E"/>
    <w:lvl w:ilvl="0">
      <w:start w:val="5"/>
      <w:numFmt w:val="bullet"/>
      <w:lvlText w:val="-"/>
      <w:lvlJc w:val="left"/>
      <w:pPr>
        <w:tabs>
          <w:tab w:val="num" w:pos="360"/>
        </w:tabs>
        <w:ind w:left="360" w:hanging="360"/>
      </w:pPr>
      <w:rPr>
        <w:rFonts w:hint="default"/>
      </w:rPr>
    </w:lvl>
  </w:abstractNum>
  <w:abstractNum w:abstractNumId="21" w15:restartNumberingAfterBreak="0">
    <w:nsid w:val="12381218"/>
    <w:multiLevelType w:val="multilevel"/>
    <w:tmpl w:val="A826250C"/>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16172E92"/>
    <w:multiLevelType w:val="singleLevel"/>
    <w:tmpl w:val="C492CBF0"/>
    <w:lvl w:ilvl="0">
      <w:start w:val="1"/>
      <w:numFmt w:val="decimal"/>
      <w:lvlText w:val="%1."/>
      <w:lvlJc w:val="left"/>
      <w:pPr>
        <w:tabs>
          <w:tab w:val="num" w:pos="360"/>
        </w:tabs>
        <w:ind w:left="360" w:hanging="360"/>
      </w:pPr>
    </w:lvl>
  </w:abstractNum>
  <w:abstractNum w:abstractNumId="23" w15:restartNumberingAfterBreak="0">
    <w:nsid w:val="19825876"/>
    <w:multiLevelType w:val="singleLevel"/>
    <w:tmpl w:val="C4E41650"/>
    <w:lvl w:ilvl="0">
      <w:numFmt w:val="bullet"/>
      <w:lvlText w:val="–"/>
      <w:lvlJc w:val="left"/>
      <w:pPr>
        <w:tabs>
          <w:tab w:val="num" w:pos="1132"/>
        </w:tabs>
        <w:ind w:left="1132" w:hanging="360"/>
      </w:pPr>
      <w:rPr>
        <w:rFonts w:hint="default"/>
      </w:rPr>
    </w:lvl>
  </w:abstractNum>
  <w:abstractNum w:abstractNumId="24" w15:restartNumberingAfterBreak="0">
    <w:nsid w:val="1BAC3B40"/>
    <w:multiLevelType w:val="multilevel"/>
    <w:tmpl w:val="8E2E1148"/>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1FA70C70"/>
    <w:multiLevelType w:val="multilevel"/>
    <w:tmpl w:val="9968944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3.%2"/>
      <w:lvlJc w:val="left"/>
      <w:pPr>
        <w:tabs>
          <w:tab w:val="num" w:pos="1224"/>
        </w:tabs>
        <w:ind w:left="1224" w:hanging="122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26" w15:restartNumberingAfterBreak="0">
    <w:nsid w:val="20533DD7"/>
    <w:multiLevelType w:val="multilevel"/>
    <w:tmpl w:val="1D7C74FA"/>
    <w:lvl w:ilvl="0">
      <w:start w:val="7"/>
      <w:numFmt w:val="decimal"/>
      <w:lvlText w:val="%1"/>
      <w:lvlJc w:val="left"/>
      <w:pPr>
        <w:tabs>
          <w:tab w:val="num" w:pos="360"/>
        </w:tabs>
        <w:ind w:left="360" w:hanging="360"/>
      </w:pPr>
      <w:rPr>
        <w:rFonts w:hint="default"/>
        <w:u w:val="none"/>
      </w:rPr>
    </w:lvl>
    <w:lvl w:ilvl="1">
      <w:start w:val="5"/>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27" w15:restartNumberingAfterBreak="0">
    <w:nsid w:val="23E241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2B4E01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2CB8552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2CEF1811"/>
    <w:multiLevelType w:val="multilevel"/>
    <w:tmpl w:val="13AE40EA"/>
    <w:lvl w:ilvl="0">
      <w:start w:val="6"/>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2DEE440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3159638A"/>
    <w:multiLevelType w:val="multilevel"/>
    <w:tmpl w:val="2EFCCC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321C1D29"/>
    <w:multiLevelType w:val="multilevel"/>
    <w:tmpl w:val="E28CB8CE"/>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33DB2079"/>
    <w:multiLevelType w:val="singleLevel"/>
    <w:tmpl w:val="09C4EC72"/>
    <w:lvl w:ilvl="0">
      <w:numFmt w:val="bullet"/>
      <w:lvlText w:val="-"/>
      <w:lvlJc w:val="left"/>
      <w:pPr>
        <w:tabs>
          <w:tab w:val="num" w:pos="360"/>
        </w:tabs>
        <w:ind w:left="360" w:hanging="360"/>
      </w:pPr>
      <w:rPr>
        <w:rFonts w:hint="default"/>
      </w:rPr>
    </w:lvl>
  </w:abstractNum>
  <w:abstractNum w:abstractNumId="35" w15:restartNumberingAfterBreak="0">
    <w:nsid w:val="37811688"/>
    <w:multiLevelType w:val="multilevel"/>
    <w:tmpl w:val="077C8E40"/>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38B12A4D"/>
    <w:multiLevelType w:val="singleLevel"/>
    <w:tmpl w:val="09C4EC72"/>
    <w:lvl w:ilvl="0">
      <w:numFmt w:val="bullet"/>
      <w:lvlText w:val="-"/>
      <w:lvlJc w:val="left"/>
      <w:pPr>
        <w:tabs>
          <w:tab w:val="num" w:pos="360"/>
        </w:tabs>
        <w:ind w:left="360" w:hanging="360"/>
      </w:pPr>
      <w:rPr>
        <w:rFonts w:hint="default"/>
      </w:rPr>
    </w:lvl>
  </w:abstractNum>
  <w:abstractNum w:abstractNumId="37" w15:restartNumberingAfterBreak="0">
    <w:nsid w:val="39971367"/>
    <w:multiLevelType w:val="multilevel"/>
    <w:tmpl w:val="0C86D006"/>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40F829AA"/>
    <w:multiLevelType w:val="singleLevel"/>
    <w:tmpl w:val="145A470E"/>
    <w:lvl w:ilvl="0">
      <w:start w:val="2"/>
      <w:numFmt w:val="decimal"/>
      <w:lvlText w:val="%1."/>
      <w:lvlJc w:val="left"/>
      <w:pPr>
        <w:tabs>
          <w:tab w:val="num" w:pos="700"/>
        </w:tabs>
        <w:ind w:left="700" w:hanging="360"/>
      </w:pPr>
      <w:rPr>
        <w:rFonts w:hint="default"/>
      </w:rPr>
    </w:lvl>
  </w:abstractNum>
  <w:abstractNum w:abstractNumId="39" w15:restartNumberingAfterBreak="0">
    <w:nsid w:val="41B91976"/>
    <w:multiLevelType w:val="multilevel"/>
    <w:tmpl w:val="0076FB9E"/>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44123158"/>
    <w:multiLevelType w:val="multilevel"/>
    <w:tmpl w:val="30406096"/>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1" w15:restartNumberingAfterBreak="0">
    <w:nsid w:val="44291D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465E51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499B75B2"/>
    <w:multiLevelType w:val="singleLevel"/>
    <w:tmpl w:val="02420896"/>
    <w:lvl w:ilvl="0">
      <w:start w:val="38"/>
      <w:numFmt w:val="bullet"/>
      <w:lvlText w:val="-"/>
      <w:lvlJc w:val="left"/>
      <w:pPr>
        <w:tabs>
          <w:tab w:val="num" w:pos="360"/>
        </w:tabs>
        <w:ind w:left="360" w:hanging="360"/>
      </w:pPr>
      <w:rPr>
        <w:rFonts w:hint="default"/>
      </w:rPr>
    </w:lvl>
  </w:abstractNum>
  <w:abstractNum w:abstractNumId="44" w15:restartNumberingAfterBreak="0">
    <w:nsid w:val="4B42553B"/>
    <w:multiLevelType w:val="multilevel"/>
    <w:tmpl w:val="1304FB36"/>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4D5F798D"/>
    <w:multiLevelType w:val="singleLevel"/>
    <w:tmpl w:val="CA280CA4"/>
    <w:lvl w:ilvl="0">
      <w:start w:val="1"/>
      <w:numFmt w:val="lowerLetter"/>
      <w:lvlText w:val="%1)"/>
      <w:lvlJc w:val="left"/>
      <w:pPr>
        <w:tabs>
          <w:tab w:val="num" w:pos="405"/>
        </w:tabs>
        <w:ind w:left="405" w:hanging="360"/>
      </w:pPr>
      <w:rPr>
        <w:rFonts w:hint="default"/>
      </w:rPr>
    </w:lvl>
  </w:abstractNum>
  <w:abstractNum w:abstractNumId="46" w15:restartNumberingAfterBreak="0">
    <w:nsid w:val="4ED03D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53372C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57E073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5AD039DF"/>
    <w:multiLevelType w:val="multilevel"/>
    <w:tmpl w:val="CA906E6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5F7A18FB"/>
    <w:multiLevelType w:val="multilevel"/>
    <w:tmpl w:val="1D50EC04"/>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5FDA7CB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62290D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63224A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639223F0"/>
    <w:multiLevelType w:val="multilevel"/>
    <w:tmpl w:val="7A3CE2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5" w15:restartNumberingAfterBreak="0">
    <w:nsid w:val="63D53629"/>
    <w:multiLevelType w:val="singleLevel"/>
    <w:tmpl w:val="0DE6713E"/>
    <w:lvl w:ilvl="0">
      <w:start w:val="5"/>
      <w:numFmt w:val="bullet"/>
      <w:lvlText w:val="-"/>
      <w:lvlJc w:val="left"/>
      <w:pPr>
        <w:tabs>
          <w:tab w:val="num" w:pos="360"/>
        </w:tabs>
        <w:ind w:left="360" w:hanging="360"/>
      </w:pPr>
      <w:rPr>
        <w:rFonts w:hint="default"/>
      </w:rPr>
    </w:lvl>
  </w:abstractNum>
  <w:abstractNum w:abstractNumId="56" w15:restartNumberingAfterBreak="0">
    <w:nsid w:val="662F6A88"/>
    <w:multiLevelType w:val="multilevel"/>
    <w:tmpl w:val="59F800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688915D7"/>
    <w:multiLevelType w:val="multilevel"/>
    <w:tmpl w:val="FE1E5B3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8" w15:restartNumberingAfterBreak="0">
    <w:nsid w:val="68F375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6B8D4DC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725E620F"/>
    <w:multiLevelType w:val="singleLevel"/>
    <w:tmpl w:val="041D000F"/>
    <w:lvl w:ilvl="0">
      <w:start w:val="1"/>
      <w:numFmt w:val="decimal"/>
      <w:lvlText w:val="%1."/>
      <w:lvlJc w:val="left"/>
      <w:pPr>
        <w:tabs>
          <w:tab w:val="num" w:pos="360"/>
        </w:tabs>
        <w:ind w:left="360" w:hanging="360"/>
      </w:pPr>
      <w:rPr>
        <w:rFonts w:hint="default"/>
      </w:rPr>
    </w:lvl>
  </w:abstractNum>
  <w:abstractNum w:abstractNumId="61" w15:restartNumberingAfterBreak="0">
    <w:nsid w:val="738212FE"/>
    <w:multiLevelType w:val="singleLevel"/>
    <w:tmpl w:val="74125856"/>
    <w:lvl w:ilvl="0">
      <w:start w:val="1"/>
      <w:numFmt w:val="decimal"/>
      <w:lvlText w:val="(%1)"/>
      <w:lvlJc w:val="left"/>
      <w:pPr>
        <w:tabs>
          <w:tab w:val="num" w:pos="360"/>
        </w:tabs>
        <w:ind w:left="360" w:hanging="360"/>
      </w:pPr>
      <w:rPr>
        <w:rFonts w:hint="default"/>
      </w:rPr>
    </w:lvl>
  </w:abstractNum>
  <w:abstractNum w:abstractNumId="62" w15:restartNumberingAfterBreak="0">
    <w:nsid w:val="77693DB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78D262CF"/>
    <w:multiLevelType w:val="multilevel"/>
    <w:tmpl w:val="F8BCD55E"/>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7D4E6C37"/>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2130782943">
    <w:abstractNumId w:val="57"/>
  </w:num>
  <w:num w:numId="2" w16cid:durableId="1596286165">
    <w:abstractNumId w:val="56"/>
  </w:num>
  <w:num w:numId="3" w16cid:durableId="197743324">
    <w:abstractNumId w:val="63"/>
  </w:num>
  <w:num w:numId="4" w16cid:durableId="378746991">
    <w:abstractNumId w:val="60"/>
  </w:num>
  <w:num w:numId="5" w16cid:durableId="845750205">
    <w:abstractNumId w:val="54"/>
  </w:num>
  <w:num w:numId="6" w16cid:durableId="1084575009">
    <w:abstractNumId w:val="25"/>
  </w:num>
  <w:num w:numId="7" w16cid:durableId="746339965">
    <w:abstractNumId w:val="22"/>
  </w:num>
  <w:num w:numId="8" w16cid:durableId="1898394339">
    <w:abstractNumId w:val="34"/>
  </w:num>
  <w:num w:numId="9" w16cid:durableId="1546139152">
    <w:abstractNumId w:val="13"/>
  </w:num>
  <w:num w:numId="10" w16cid:durableId="828013291">
    <w:abstractNumId w:val="11"/>
  </w:num>
  <w:num w:numId="11" w16cid:durableId="1723947121">
    <w:abstractNumId w:val="43"/>
  </w:num>
  <w:num w:numId="12" w16cid:durableId="974676876">
    <w:abstractNumId w:val="61"/>
  </w:num>
  <w:num w:numId="13" w16cid:durableId="848061109">
    <w:abstractNumId w:val="55"/>
  </w:num>
  <w:num w:numId="14" w16cid:durableId="2038851983">
    <w:abstractNumId w:val="20"/>
  </w:num>
  <w:num w:numId="15" w16cid:durableId="1920554691">
    <w:abstractNumId w:val="40"/>
  </w:num>
  <w:num w:numId="16" w16cid:durableId="777914945">
    <w:abstractNumId w:val="15"/>
  </w:num>
  <w:num w:numId="17" w16cid:durableId="251470905">
    <w:abstractNumId w:val="27"/>
  </w:num>
  <w:num w:numId="18" w16cid:durableId="1350326343">
    <w:abstractNumId w:val="19"/>
  </w:num>
  <w:num w:numId="19" w16cid:durableId="1682128332">
    <w:abstractNumId w:val="41"/>
  </w:num>
  <w:num w:numId="20" w16cid:durableId="1855806337">
    <w:abstractNumId w:val="17"/>
  </w:num>
  <w:num w:numId="21" w16cid:durableId="528106965">
    <w:abstractNumId w:val="53"/>
  </w:num>
  <w:num w:numId="22" w16cid:durableId="908155058">
    <w:abstractNumId w:val="46"/>
  </w:num>
  <w:num w:numId="23" w16cid:durableId="1848590617">
    <w:abstractNumId w:val="51"/>
  </w:num>
  <w:num w:numId="24" w16cid:durableId="178859949">
    <w:abstractNumId w:val="62"/>
  </w:num>
  <w:num w:numId="25" w16cid:durableId="745492740">
    <w:abstractNumId w:val="30"/>
  </w:num>
  <w:num w:numId="26" w16cid:durableId="1080911183">
    <w:abstractNumId w:val="49"/>
  </w:num>
  <w:num w:numId="27" w16cid:durableId="1396852999">
    <w:abstractNumId w:val="12"/>
  </w:num>
  <w:num w:numId="28" w16cid:durableId="1635066223">
    <w:abstractNumId w:val="37"/>
  </w:num>
  <w:num w:numId="29" w16cid:durableId="1171915761">
    <w:abstractNumId w:val="44"/>
  </w:num>
  <w:num w:numId="30" w16cid:durableId="1900282952">
    <w:abstractNumId w:val="39"/>
  </w:num>
  <w:num w:numId="31" w16cid:durableId="9993507">
    <w:abstractNumId w:val="33"/>
  </w:num>
  <w:num w:numId="32" w16cid:durableId="62336675">
    <w:abstractNumId w:val="26"/>
  </w:num>
  <w:num w:numId="33" w16cid:durableId="1726442892">
    <w:abstractNumId w:val="21"/>
  </w:num>
  <w:num w:numId="34" w16cid:durableId="1734814423">
    <w:abstractNumId w:val="50"/>
  </w:num>
  <w:num w:numId="35" w16cid:durableId="832647453">
    <w:abstractNumId w:val="59"/>
  </w:num>
  <w:num w:numId="36" w16cid:durableId="1490560412">
    <w:abstractNumId w:val="14"/>
  </w:num>
  <w:num w:numId="37" w16cid:durableId="457381329">
    <w:abstractNumId w:val="16"/>
  </w:num>
  <w:num w:numId="38" w16cid:durableId="701520965">
    <w:abstractNumId w:val="52"/>
  </w:num>
  <w:num w:numId="39" w16cid:durableId="2129927510">
    <w:abstractNumId w:val="48"/>
  </w:num>
  <w:num w:numId="40" w16cid:durableId="481196816">
    <w:abstractNumId w:val="24"/>
  </w:num>
  <w:num w:numId="41" w16cid:durableId="1808625720">
    <w:abstractNumId w:val="28"/>
  </w:num>
  <w:num w:numId="42" w16cid:durableId="1545016702">
    <w:abstractNumId w:val="31"/>
  </w:num>
  <w:num w:numId="43" w16cid:durableId="829255796">
    <w:abstractNumId w:val="58"/>
  </w:num>
  <w:num w:numId="44" w16cid:durableId="1663967857">
    <w:abstractNumId w:val="29"/>
  </w:num>
  <w:num w:numId="45" w16cid:durableId="2027753132">
    <w:abstractNumId w:val="42"/>
  </w:num>
  <w:num w:numId="46" w16cid:durableId="381290304">
    <w:abstractNumId w:val="64"/>
  </w:num>
  <w:num w:numId="47" w16cid:durableId="1113406163">
    <w:abstractNumId w:val="35"/>
  </w:num>
  <w:num w:numId="48" w16cid:durableId="2102749234">
    <w:abstractNumId w:val="47"/>
  </w:num>
  <w:num w:numId="49" w16cid:durableId="14893164">
    <w:abstractNumId w:val="10"/>
  </w:num>
  <w:num w:numId="50" w16cid:durableId="984892458">
    <w:abstractNumId w:val="45"/>
  </w:num>
  <w:num w:numId="51" w16cid:durableId="993797602">
    <w:abstractNumId w:val="36"/>
  </w:num>
  <w:num w:numId="52" w16cid:durableId="419837418">
    <w:abstractNumId w:val="32"/>
  </w:num>
  <w:num w:numId="53" w16cid:durableId="386608226">
    <w:abstractNumId w:val="38"/>
  </w:num>
  <w:num w:numId="54" w16cid:durableId="1671327071">
    <w:abstractNumId w:val="23"/>
  </w:num>
  <w:num w:numId="55" w16cid:durableId="330765346">
    <w:abstractNumId w:val="9"/>
  </w:num>
  <w:num w:numId="56" w16cid:durableId="540632622">
    <w:abstractNumId w:val="7"/>
  </w:num>
  <w:num w:numId="57" w16cid:durableId="1278564830">
    <w:abstractNumId w:val="6"/>
  </w:num>
  <w:num w:numId="58" w16cid:durableId="1847328933">
    <w:abstractNumId w:val="5"/>
  </w:num>
  <w:num w:numId="59" w16cid:durableId="1761364385">
    <w:abstractNumId w:val="4"/>
  </w:num>
  <w:num w:numId="60" w16cid:durableId="1496408730">
    <w:abstractNumId w:val="8"/>
  </w:num>
  <w:num w:numId="61" w16cid:durableId="60445647">
    <w:abstractNumId w:val="3"/>
  </w:num>
  <w:num w:numId="62" w16cid:durableId="18747262">
    <w:abstractNumId w:val="2"/>
  </w:num>
  <w:num w:numId="63" w16cid:durableId="365065222">
    <w:abstractNumId w:val="1"/>
  </w:num>
  <w:num w:numId="64" w16cid:durableId="1239360980">
    <w:abstractNumId w:val="0"/>
  </w:num>
  <w:num w:numId="65" w16cid:durableId="16883665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ens revisorers"/>
    <w:docVar w:name="Skapår" w:val="0001"/>
  </w:docVars>
  <w:rsids>
    <w:rsidRoot w:val="00CC7ED0"/>
    <w:rsid w:val="00237A2C"/>
    <w:rsid w:val="00AE50BA"/>
    <w:rsid w:val="00CC7ED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A3D0C4-B19F-4D23-B48F-F06979C6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jc w:val="left"/>
    </w:pPr>
    <w:rPr>
      <w:i/>
      <w:noProof/>
    </w:r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RubrikFrstaSida">
    <w:name w:val="RubrikFörstaSida"/>
    <w:basedOn w:val="R1"/>
    <w:pPr>
      <w:spacing w:line="600" w:lineRule="exact"/>
    </w:pPr>
    <w:rPr>
      <w:sz w:val="56"/>
    </w:rPr>
  </w:style>
  <w:style w:type="paragraph" w:styleId="Brdtext2">
    <w:name w:val="Body Text 2"/>
    <w:basedOn w:val="Normal"/>
    <w:semiHidden/>
    <w:pPr>
      <w:jc w:val="left"/>
    </w:pPr>
  </w:style>
  <w:style w:type="paragraph" w:styleId="Brdtextmedindrag2">
    <w:name w:val="Body Text Indent 2"/>
    <w:basedOn w:val="Normal"/>
    <w:semiHidden/>
    <w:pPr>
      <w:ind w:left="2610" w:hanging="2610"/>
      <w:jc w:val="left"/>
    </w:pPr>
  </w:style>
  <w:style w:type="paragraph" w:styleId="Brdtext3">
    <w:name w:val="Body Text 3"/>
    <w:basedOn w:val="Normal"/>
    <w:semiHidden/>
    <w:rPr>
      <w:b/>
    </w:rPr>
  </w:style>
  <w:style w:type="paragraph" w:customStyle="1" w:styleId="Rubrik1-Utannumrering">
    <w:name w:val="Rubrik 1 - Utan numrering"/>
    <w:basedOn w:val="Rubrik1"/>
    <w:next w:val="Normal"/>
    <w:pPr>
      <w:spacing w:before="600"/>
    </w:pPr>
  </w:style>
  <w:style w:type="paragraph" w:customStyle="1" w:styleId="Normalefterrubrik">
    <w:name w:val="Normal efter rubrik"/>
    <w:basedOn w:val="Normal"/>
    <w:next w:val="Normal"/>
    <w:pPr>
      <w:spacing w:before="0" w:line="280" w:lineRule="atLeas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9.xml"/><Relationship Id="rId33"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header" Target="header1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oleObject" Target="embeddings/oleObject2.bin"/><Relationship Id="rId19" Type="http://schemas.openxmlformats.org/officeDocument/2006/relationships/header" Target="header4.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theme" Target="theme/theme1.xml"/><Relationship Id="rId8"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55785</Words>
  <Characters>358704</Characters>
  <Application>Microsoft Office Word</Application>
  <DocSecurity>4</DocSecurity>
  <Lines>6521</Lines>
  <Paragraphs>1582</Paragraphs>
  <ScaleCrop>false</ScaleCrop>
  <HeadingPairs>
    <vt:vector size="4" baseType="variant">
      <vt:variant>
        <vt:lpstr>Title</vt:lpstr>
      </vt:variant>
      <vt:variant>
        <vt:i4>1</vt:i4>
      </vt:variant>
      <vt:variant>
        <vt:lpstr>Rubriker</vt:lpstr>
      </vt:variant>
      <vt:variant>
        <vt:i4>58</vt:i4>
      </vt:variant>
    </vt:vector>
  </HeadingPairs>
  <TitlesOfParts>
    <vt:vector size="59" baseType="lpstr">
      <vt:lpstr>Förslag till riksdagen</vt:lpstr>
      <vt:lpstr>1 Revisorernas granskning</vt:lpstr>
      <vt:lpstr>2 Revisorernas överväganden</vt:lpstr>
      <vt:lpstr>    2.1 Principiella synpunkter på regeringen som bidragsfördelare</vt:lpstr>
      <vt:lpstr>        Rapporten</vt:lpstr>
      <vt:lpstr>        Remissinstanserna</vt:lpstr>
      <vt:lpstr>        Revisorerna</vt:lpstr>
      <vt:lpstr>    2.2 Riksdagen behöver ett bättre beslutsunderlag och en utökad resultatrapporter</vt:lpstr>
      <vt:lpstr>        Rapporten</vt:lpstr>
      <vt:lpstr>        Remissinstanserna</vt:lpstr>
      <vt:lpstr>        Revisorerna</vt:lpstr>
      <vt:lpstr>    2.3 Regeringens bidragshantering</vt:lpstr>
      <vt:lpstr>        Rapporten</vt:lpstr>
      <vt:lpstr>        Remissinstanserna</vt:lpstr>
      <vt:lpstr>        Revisorerna</vt:lpstr>
      <vt:lpstr>    2.4 Kraven på redovisning och revision behöver skärpas</vt:lpstr>
      <vt:lpstr>        Rapporten</vt:lpstr>
      <vt:lpstr>        Remissinstanserna</vt:lpstr>
      <vt:lpstr>        Revisorerna</vt:lpstr>
      <vt:lpstr>    2.5 Regeringen behöver göra en samlad översyn av föreskrifter m.m.</vt:lpstr>
      <vt:lpstr>        Rapporten</vt:lpstr>
      <vt:lpstr>        Remissinstanserna</vt:lpstr>
      <vt:lpstr>        Revisorerna</vt:lpstr>
      <vt:lpstr>3 Revisorernas förslag</vt:lpstr>
      <vt:lpstr>        1. Principiella synpunkter på regeringen som bidragsfördelare </vt:lpstr>
      <vt:lpstr>        2. Beslutsunderlag och resultatrapportering</vt:lpstr>
      <vt:lpstr>        3. Regeringens bidragshantering</vt:lpstr>
      <vt:lpstr>        4. Redovisning och revision</vt:lpstr>
      <vt:lpstr>        5. Samlad översyn av föreskrifter m.m.</vt:lpstr>
      <vt:lpstr>Förord</vt:lpstr>
      <vt:lpstr/>
      <vt:lpstr>Sammanfattning</vt:lpstr>
      <vt:lpstr>    Inledning</vt:lpstr>
      <vt:lpstr>    Revisorernas slutsatser och förslag</vt:lpstr>
      <vt:lpstr>1 Bakgrund och uppläggning</vt:lpstr>
      <vt:lpstr>2 Ansvarsfördelningen på budgetområdet</vt:lpstr>
      <vt:lpstr>        2.1 Finansmakten </vt:lpstr>
      <vt:lpstr>        2.2  Budgetregleringen</vt:lpstr>
      <vt:lpstr>        2.3 Ny budgetlag fr.o.m. 1997</vt:lpstr>
      <vt:lpstr>        2.4 Måste regeringen genomföra riksdagens beslut om utgifter?</vt:lpstr>
      <vt:lpstr>        2.5  Riksdagens beslut om anslag och anslagsvillkor</vt:lpstr>
      <vt:lpstr>        2.6 Dispositionsrätt till anslag</vt:lpstr>
      <vt:lpstr>        2.7 Anslag som disponeras av regeringen eller Regeringskansliet </vt:lpstr>
      <vt:lpstr>3 Allmänt om anslagen till regeringens och Regeringskansliets disposition</vt:lpstr>
      <vt:lpstr>        3.1 Inledning</vt:lpstr>
      <vt:lpstr>        3.2 Från riksdagsbeslut till anslagsredovisning</vt:lpstr>
      <vt:lpstr>        3.3 Regeringskansliets anslagsredovisning</vt:lpstr>
      <vt:lpstr>        3.4 Val av anslag och av undersökningsperiod</vt:lpstr>
      <vt:lpstr>4 De undersökta anslagens hantering i budgetprocessen</vt:lpstr>
      <vt:lpstr>        4.1 Inledning</vt:lpstr>
      <vt:lpstr>        4.2 Bakgrund, motiv och mål</vt:lpstr>
      <vt:lpstr>        4.3 Regeringens hantering av de studerade anslagen</vt:lpstr>
      <vt:lpstr>        4. 4 Hur fungerar återrapporteringen till riksdagen?</vt:lpstr>
      <vt:lpstr>5 Erfarenheter och resultat från några andra studier</vt:lpstr>
      <vt:lpstr>        5.1 Konstitutionsutskottets granskningar våren 1997 och hösten 2000</vt:lpstr>
      <vt:lpstr>        5.2 Riksrevisionsverkets årliga rapport till regeringen 1999 och 2000</vt:lpstr>
      <vt:lpstr>        5.3 SNS ekonomiråds rapport för år 2000</vt:lpstr>
      <vt:lpstr>        5.4 Statskontorets rapport om Kunskapslyftet som modell och metod</vt:lpstr>
      <vt:lpstr>        5.5 De lokala investeringsprogrammen</vt:lpstr>
    </vt:vector>
  </TitlesOfParts>
  <Company>Riksdagen</Company>
  <LinksUpToDate>false</LinksUpToDate>
  <CharactersWithSpaces>412907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2001-06-15T12:37:00Z</cp:lastPrinted>
  <dcterms:created xsi:type="dcterms:W3CDTF">2025-12-15T23:52:00Z</dcterms:created>
  <dcterms:modified xsi:type="dcterms:W3CDTF">2025-12-15T23:52:00Z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RR</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