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6D6B" w:rsidTr="001D63FD">
        <w:tblPrEx>
          <w:tblCellMar>
            <w:top w:w="0" w:type="dxa"/>
            <w:bottom w:w="0" w:type="dxa"/>
          </w:tblCellMar>
        </w:tblPrEx>
        <w:tc>
          <w:tcPr>
            <w:tcW w:w="2268" w:type="dxa"/>
          </w:tcPr>
          <w:p w:rsidR="006E4E11" w:rsidRPr="00196D6B" w:rsidRDefault="006E4E11" w:rsidP="00EB31A6">
            <w:pPr>
              <w:framePr w:w="5035" w:h="1644" w:wrap="notBeside" w:vAnchor="page" w:hAnchor="page" w:x="6573" w:y="721"/>
              <w:rPr>
                <w:rFonts w:ascii="TradeGothic" w:hAnsi="TradeGothic"/>
                <w:i/>
                <w:sz w:val="18"/>
              </w:rPr>
            </w:pPr>
          </w:p>
        </w:tc>
        <w:tc>
          <w:tcPr>
            <w:tcW w:w="2999" w:type="dxa"/>
            <w:gridSpan w:val="2"/>
          </w:tcPr>
          <w:p w:rsidR="006E4E11" w:rsidRPr="00196D6B" w:rsidRDefault="006E4E11" w:rsidP="00EB31A6">
            <w:pPr>
              <w:framePr w:w="5035" w:h="1644" w:wrap="notBeside" w:vAnchor="page" w:hAnchor="page" w:x="6573" w:y="721"/>
              <w:rPr>
                <w:rFonts w:ascii="TradeGothic" w:hAnsi="TradeGothic"/>
                <w:i/>
                <w:sz w:val="18"/>
              </w:rPr>
            </w:pPr>
          </w:p>
        </w:tc>
      </w:tr>
      <w:tr w:rsidR="001D63FD" w:rsidRPr="00196D6B" w:rsidTr="001D63FD">
        <w:tblPrEx>
          <w:tblCellMar>
            <w:top w:w="0" w:type="dxa"/>
            <w:bottom w:w="0" w:type="dxa"/>
          </w:tblCellMar>
        </w:tblPrEx>
        <w:tc>
          <w:tcPr>
            <w:tcW w:w="5267" w:type="dxa"/>
            <w:gridSpan w:val="3"/>
          </w:tcPr>
          <w:p w:rsidR="001D63FD" w:rsidRPr="00196D6B" w:rsidRDefault="001D63FD" w:rsidP="00EB31A6">
            <w:pPr>
              <w:framePr w:w="5035" w:h="1644" w:wrap="notBeside" w:vAnchor="page" w:hAnchor="page" w:x="6573" w:y="721"/>
              <w:rPr>
                <w:rFonts w:ascii="TradeGothic" w:hAnsi="TradeGothic"/>
                <w:b/>
                <w:sz w:val="22"/>
              </w:rPr>
            </w:pPr>
            <w:r w:rsidRPr="00196D6B">
              <w:rPr>
                <w:rFonts w:ascii="TradeGothic" w:hAnsi="TradeGothic"/>
                <w:b/>
                <w:sz w:val="22"/>
              </w:rPr>
              <w:t>Rådspromemoria</w:t>
            </w:r>
          </w:p>
        </w:tc>
      </w:tr>
      <w:tr w:rsidR="006E4E11" w:rsidRPr="00196D6B" w:rsidTr="001D63FD">
        <w:tblPrEx>
          <w:tblCellMar>
            <w:top w:w="0" w:type="dxa"/>
            <w:bottom w:w="0" w:type="dxa"/>
          </w:tblCellMar>
        </w:tblPrEx>
        <w:tc>
          <w:tcPr>
            <w:tcW w:w="3402" w:type="dxa"/>
            <w:gridSpan w:val="2"/>
          </w:tcPr>
          <w:p w:rsidR="006E4E11" w:rsidRPr="00196D6B" w:rsidRDefault="006E4E11" w:rsidP="00EB31A6">
            <w:pPr>
              <w:framePr w:w="5035" w:h="1644" w:wrap="notBeside" w:vAnchor="page" w:hAnchor="page" w:x="6573" w:y="721"/>
            </w:pPr>
          </w:p>
        </w:tc>
        <w:tc>
          <w:tcPr>
            <w:tcW w:w="1865" w:type="dxa"/>
          </w:tcPr>
          <w:p w:rsidR="006E4E11" w:rsidRPr="00196D6B" w:rsidRDefault="006E4E11" w:rsidP="00EB31A6">
            <w:pPr>
              <w:framePr w:w="5035" w:h="1644" w:wrap="notBeside" w:vAnchor="page" w:hAnchor="page" w:x="6573" w:y="721"/>
            </w:pPr>
          </w:p>
        </w:tc>
      </w:tr>
      <w:tr w:rsidR="006E4E11" w:rsidRPr="00196D6B" w:rsidTr="001D63FD">
        <w:tblPrEx>
          <w:tblCellMar>
            <w:top w:w="0" w:type="dxa"/>
            <w:bottom w:w="0" w:type="dxa"/>
          </w:tblCellMar>
        </w:tblPrEx>
        <w:tc>
          <w:tcPr>
            <w:tcW w:w="2268" w:type="dxa"/>
          </w:tcPr>
          <w:p w:rsidR="006E4E11" w:rsidRPr="00196D6B" w:rsidRDefault="0041585C" w:rsidP="00EB31A6">
            <w:pPr>
              <w:framePr w:w="5035" w:h="1644" w:wrap="notBeside" w:vAnchor="page" w:hAnchor="page" w:x="6573" w:y="721"/>
            </w:pPr>
            <w:r w:rsidRPr="00196D6B">
              <w:t>2010-05-</w:t>
            </w:r>
            <w:r w:rsidR="00B73862" w:rsidRPr="00196D6B">
              <w:t>2</w:t>
            </w:r>
            <w:r w:rsidR="00236AE5" w:rsidRPr="00196D6B">
              <w:t>4</w:t>
            </w:r>
          </w:p>
        </w:tc>
        <w:tc>
          <w:tcPr>
            <w:tcW w:w="2999" w:type="dxa"/>
            <w:gridSpan w:val="2"/>
          </w:tcPr>
          <w:p w:rsidR="006E4E11" w:rsidRPr="00196D6B" w:rsidRDefault="006E4E11" w:rsidP="00EB31A6">
            <w:pPr>
              <w:framePr w:w="5035" w:h="1644" w:wrap="notBeside" w:vAnchor="page" w:hAnchor="page" w:x="6573" w:y="721"/>
            </w:pPr>
          </w:p>
        </w:tc>
      </w:tr>
      <w:tr w:rsidR="006E4E11" w:rsidRPr="00196D6B" w:rsidTr="001D63FD">
        <w:tblPrEx>
          <w:tblCellMar>
            <w:top w:w="0" w:type="dxa"/>
            <w:bottom w:w="0" w:type="dxa"/>
          </w:tblCellMar>
        </w:tblPrEx>
        <w:tc>
          <w:tcPr>
            <w:tcW w:w="2268" w:type="dxa"/>
          </w:tcPr>
          <w:p w:rsidR="006E4E11" w:rsidRPr="00196D6B" w:rsidRDefault="006E4E11" w:rsidP="00EB31A6">
            <w:pPr>
              <w:framePr w:w="5035" w:h="1644" w:wrap="notBeside" w:vAnchor="page" w:hAnchor="page" w:x="6573" w:y="721"/>
            </w:pPr>
          </w:p>
        </w:tc>
        <w:tc>
          <w:tcPr>
            <w:tcW w:w="2999" w:type="dxa"/>
            <w:gridSpan w:val="2"/>
          </w:tcPr>
          <w:p w:rsidR="006E4E11" w:rsidRPr="00196D6B" w:rsidRDefault="006E4E11" w:rsidP="00EB31A6">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6D6B">
        <w:tblPrEx>
          <w:tblCellMar>
            <w:top w:w="0" w:type="dxa"/>
            <w:bottom w:w="0" w:type="dxa"/>
          </w:tblCellMar>
        </w:tblPrEx>
        <w:trPr>
          <w:trHeight w:val="284"/>
        </w:trPr>
        <w:tc>
          <w:tcPr>
            <w:tcW w:w="4911" w:type="dxa"/>
          </w:tcPr>
          <w:p w:rsidR="006E4E11" w:rsidRPr="00196D6B" w:rsidRDefault="001D63FD" w:rsidP="00EB31A6">
            <w:pPr>
              <w:pStyle w:val="Avsndare"/>
              <w:framePr w:h="1985" w:hRule="exact" w:wrap="notBeside" w:x="1504"/>
              <w:rPr>
                <w:b/>
                <w:i w:val="0"/>
                <w:sz w:val="22"/>
              </w:rPr>
            </w:pPr>
            <w:r w:rsidRPr="00196D6B">
              <w:rPr>
                <w:b/>
                <w:i w:val="0"/>
                <w:sz w:val="22"/>
              </w:rPr>
              <w:t>Justitiedepartementet</w:t>
            </w: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r w:rsidR="006E4E11" w:rsidRPr="00196D6B">
        <w:tblPrEx>
          <w:tblCellMar>
            <w:top w:w="0" w:type="dxa"/>
            <w:bottom w:w="0" w:type="dxa"/>
          </w:tblCellMar>
        </w:tblPrEx>
        <w:trPr>
          <w:trHeight w:val="284"/>
        </w:trPr>
        <w:tc>
          <w:tcPr>
            <w:tcW w:w="4911" w:type="dxa"/>
          </w:tcPr>
          <w:p w:rsidR="006E4E11" w:rsidRPr="00196D6B" w:rsidRDefault="0041585C" w:rsidP="00EB31A6">
            <w:pPr>
              <w:pStyle w:val="Avsndare"/>
              <w:framePr w:h="1985" w:hRule="exact" w:wrap="notBeside" w:x="1504"/>
              <w:rPr>
                <w:bCs/>
                <w:iCs/>
              </w:rPr>
            </w:pPr>
            <w:r w:rsidRPr="00196D6B">
              <w:rPr>
                <w:bCs/>
                <w:iCs/>
              </w:rPr>
              <w:t xml:space="preserve">Enheten för familjerätt och allmän förmögenhetsrätt </w:t>
            </w: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r w:rsidR="006E4E11" w:rsidRPr="00196D6B">
        <w:tblPrEx>
          <w:tblCellMar>
            <w:top w:w="0" w:type="dxa"/>
            <w:bottom w:w="0" w:type="dxa"/>
          </w:tblCellMar>
        </w:tblPrEx>
        <w:trPr>
          <w:trHeight w:val="284"/>
        </w:trPr>
        <w:tc>
          <w:tcPr>
            <w:tcW w:w="4911" w:type="dxa"/>
          </w:tcPr>
          <w:p w:rsidR="006E4E11" w:rsidRPr="00196D6B" w:rsidRDefault="006E4E11" w:rsidP="00EB31A6">
            <w:pPr>
              <w:pStyle w:val="Avsndare"/>
              <w:framePr w:h="1985" w:hRule="exact" w:wrap="notBeside" w:x="1504"/>
              <w:rPr>
                <w:bCs/>
                <w:iCs/>
              </w:rPr>
            </w:pPr>
          </w:p>
        </w:tc>
      </w:tr>
    </w:tbl>
    <w:p w:rsidR="006E4E11" w:rsidRPr="00196D6B" w:rsidRDefault="006E4E11" w:rsidP="00EB31A6">
      <w:pPr>
        <w:framePr w:w="4400" w:h="2523" w:wrap="notBeside" w:vAnchor="page" w:hAnchor="page" w:x="6453" w:y="2445"/>
        <w:ind w:left="142"/>
        <w:rPr>
          <w:b/>
        </w:rPr>
      </w:pPr>
    </w:p>
    <w:p w:rsidR="001D63FD" w:rsidRPr="00196D6B" w:rsidRDefault="00EB31A6" w:rsidP="00EB31A6">
      <w:pPr>
        <w:pStyle w:val="RKrubrik"/>
        <w:pBdr>
          <w:bottom w:val="single" w:sz="6" w:space="1" w:color="auto"/>
        </w:pBdr>
      </w:pPr>
      <w:bookmarkStart w:id="0" w:name="bRubrik"/>
      <w:bookmarkEnd w:id="0"/>
      <w:r w:rsidRPr="00196D6B">
        <w:t>Rådets möte (</w:t>
      </w:r>
      <w:r w:rsidR="0041585C" w:rsidRPr="00196D6B">
        <w:t>rättsliga</w:t>
      </w:r>
      <w:r w:rsidR="00C24409" w:rsidRPr="00196D6B">
        <w:t xml:space="preserve"> och inrikes frågor</w:t>
      </w:r>
      <w:r w:rsidRPr="00196D6B">
        <w:t xml:space="preserve">) </w:t>
      </w:r>
      <w:r w:rsidR="00C24409" w:rsidRPr="00196D6B">
        <w:t>den 3–</w:t>
      </w:r>
      <w:r w:rsidR="0041585C" w:rsidRPr="00196D6B">
        <w:t>4 juni 2010</w:t>
      </w:r>
    </w:p>
    <w:p w:rsidR="007F195C" w:rsidRPr="00196D6B" w:rsidRDefault="007F195C" w:rsidP="00EB31A6">
      <w:pPr>
        <w:pStyle w:val="RKnormal"/>
      </w:pPr>
    </w:p>
    <w:p w:rsidR="001D63FD" w:rsidRPr="00196D6B" w:rsidRDefault="0041585C" w:rsidP="00EB31A6">
      <w:pPr>
        <w:pStyle w:val="RKnormal"/>
      </w:pPr>
      <w:r w:rsidRPr="00196D6B">
        <w:t xml:space="preserve">Dagordningspunkt </w:t>
      </w:r>
      <w:r w:rsidR="00EB31A6" w:rsidRPr="00196D6B">
        <w:t>8</w:t>
      </w:r>
    </w:p>
    <w:p w:rsidR="001D63FD" w:rsidRPr="00196D6B" w:rsidRDefault="001D63FD" w:rsidP="00EB31A6">
      <w:pPr>
        <w:pStyle w:val="RKnormal"/>
      </w:pPr>
    </w:p>
    <w:p w:rsidR="001D63FD" w:rsidRPr="00196D6B" w:rsidRDefault="001D63FD" w:rsidP="00EB31A6">
      <w:pPr>
        <w:pStyle w:val="RKnormal"/>
      </w:pPr>
      <w:r w:rsidRPr="00196D6B">
        <w:t>Rubrik:</w:t>
      </w:r>
      <w:r w:rsidR="0041585C" w:rsidRPr="00196D6B">
        <w:t xml:space="preserve"> </w:t>
      </w:r>
      <w:r w:rsidR="007F195C" w:rsidRPr="00196D6B">
        <w:t>(</w:t>
      </w:r>
      <w:r w:rsidR="007F195C" w:rsidRPr="00196D6B">
        <w:rPr>
          <w:i/>
        </w:rPr>
        <w:t>Ev.</w:t>
      </w:r>
      <w:r w:rsidR="007F195C" w:rsidRPr="00196D6B">
        <w:t xml:space="preserve">) </w:t>
      </w:r>
      <w:r w:rsidR="0041585C" w:rsidRPr="00196D6B">
        <w:t xml:space="preserve">Förslag till </w:t>
      </w:r>
      <w:r w:rsidR="00C24409" w:rsidRPr="00196D6B">
        <w:t>Europaparlamentets och rådets förordning om behörighet, tillämplig lag, erkännande och verkställighet av domar och officiella handlingar i samband med arv och om inrättandet av ett euro</w:t>
      </w:r>
      <w:r w:rsidR="00C24409" w:rsidRPr="00196D6B">
        <w:softHyphen/>
        <w:t>peiskt arvsintyg</w:t>
      </w:r>
    </w:p>
    <w:p w:rsidR="001D63FD" w:rsidRPr="00196D6B" w:rsidRDefault="001D63FD" w:rsidP="00EB31A6">
      <w:pPr>
        <w:pStyle w:val="RKnormal"/>
      </w:pPr>
    </w:p>
    <w:p w:rsidR="00C24409" w:rsidRPr="00196D6B" w:rsidRDefault="001D63FD" w:rsidP="00EB31A6">
      <w:pPr>
        <w:pStyle w:val="RKnormal"/>
      </w:pPr>
      <w:r w:rsidRPr="00196D6B">
        <w:t>Dokument:</w:t>
      </w:r>
      <w:r w:rsidR="00C24409" w:rsidRPr="00196D6B">
        <w:t xml:space="preserve"> </w:t>
      </w:r>
    </w:p>
    <w:p w:rsidR="001D63FD" w:rsidRPr="00196D6B" w:rsidRDefault="00C24409" w:rsidP="00EB31A6">
      <w:pPr>
        <w:pStyle w:val="RKnormal"/>
      </w:pPr>
      <w:r w:rsidRPr="00196D6B">
        <w:t xml:space="preserve">9703/10 </w:t>
      </w:r>
      <w:r w:rsidR="00477010" w:rsidRPr="00196D6B">
        <w:t xml:space="preserve">REV 1 </w:t>
      </w:r>
      <w:r w:rsidRPr="00196D6B">
        <w:t>JUSTCIV 94 CODEC 425 (ORDF:s förslag till rikt</w:t>
      </w:r>
      <w:r w:rsidR="00477010" w:rsidRPr="00196D6B">
        <w:softHyphen/>
      </w:r>
      <w:r w:rsidRPr="00196D6B">
        <w:t xml:space="preserve">linjer till Coreper/rådet inför RIF-rådet den 3–4 juni 2010), bifogas </w:t>
      </w:r>
    </w:p>
    <w:p w:rsidR="001D63FD" w:rsidRPr="00196D6B" w:rsidRDefault="001D63FD" w:rsidP="00EB31A6">
      <w:pPr>
        <w:pStyle w:val="RKnormal"/>
      </w:pPr>
    </w:p>
    <w:p w:rsidR="00C24409" w:rsidRPr="00196D6B" w:rsidRDefault="001D63FD" w:rsidP="00EB31A6">
      <w:pPr>
        <w:pStyle w:val="RKnormal"/>
      </w:pPr>
      <w:r w:rsidRPr="00196D6B">
        <w:t xml:space="preserve">Tidigare dokument: </w:t>
      </w:r>
    </w:p>
    <w:p w:rsidR="00C24409" w:rsidRPr="00196D6B" w:rsidRDefault="00C24409" w:rsidP="00EB31A6">
      <w:pPr>
        <w:pStyle w:val="RKnormal"/>
      </w:pPr>
      <w:r w:rsidRPr="00196D6B">
        <w:t>9239/10 JUSTCIV 84 CODEC 376 (ORDF:s arbetsdokument)</w:t>
      </w:r>
    </w:p>
    <w:p w:rsidR="00C24409" w:rsidRPr="00196D6B" w:rsidRDefault="00C24409" w:rsidP="00EB31A6">
      <w:pPr>
        <w:pStyle w:val="RKnormal"/>
      </w:pPr>
      <w:r w:rsidRPr="00196D6B">
        <w:t>14722/09 JUSTCIV 210 CODEC 1209 (KOM:s förslag till förordning, KOM(2009) 154 slutlig)</w:t>
      </w:r>
    </w:p>
    <w:p w:rsidR="001D63FD" w:rsidRPr="00196D6B" w:rsidRDefault="00C24409" w:rsidP="00EB31A6">
      <w:pPr>
        <w:pStyle w:val="RKnormal"/>
      </w:pPr>
      <w:r w:rsidRPr="00196D6B">
        <w:t>Faktapromemoria, Justitiedepartementet 2009/10:FPM55</w:t>
      </w:r>
    </w:p>
    <w:p w:rsidR="00C24409" w:rsidRPr="00196D6B" w:rsidRDefault="00C24409" w:rsidP="00EB31A6">
      <w:pPr>
        <w:pStyle w:val="RKnormal"/>
      </w:pPr>
    </w:p>
    <w:p w:rsidR="001D63FD" w:rsidRPr="00196D6B" w:rsidRDefault="00C24409" w:rsidP="00EB31A6">
      <w:pPr>
        <w:pStyle w:val="RKnormal"/>
      </w:pPr>
      <w:r w:rsidRPr="00196D6B">
        <w:t>Ärendet har inte tidigare behandlats</w:t>
      </w:r>
      <w:r w:rsidR="001D63FD" w:rsidRPr="00196D6B">
        <w:t xml:space="preserve"> </w:t>
      </w:r>
      <w:r w:rsidRPr="00196D6B">
        <w:t>vid samråd med EU-nämnden</w:t>
      </w:r>
      <w:r w:rsidR="001950D5" w:rsidRPr="00196D6B">
        <w:t>.</w:t>
      </w:r>
    </w:p>
    <w:p w:rsidR="001D63FD" w:rsidRPr="00196D6B" w:rsidRDefault="001D63FD" w:rsidP="00EB31A6">
      <w:pPr>
        <w:pStyle w:val="RKrubrik"/>
      </w:pPr>
      <w:r w:rsidRPr="00196D6B">
        <w:t>Bakgrund (inkl. syftet med behandlingen i rådet)</w:t>
      </w:r>
    </w:p>
    <w:p w:rsidR="00A13C34" w:rsidRPr="00196D6B" w:rsidRDefault="006021CA" w:rsidP="00EB31A6">
      <w:pPr>
        <w:pStyle w:val="RKnormal"/>
      </w:pPr>
      <w:r w:rsidRPr="00196D6B">
        <w:t>Kommissionen presenterade i oktober 2009 sitt förslag till förordning. I förslaget finns bestämmelser om vilken domstol som ska vara be</w:t>
      </w:r>
      <w:r w:rsidRPr="00196D6B">
        <w:softHyphen/>
        <w:t>hörig att handlägga gränsöverskridande arvsfrågor och vilket lands lag som ska tillämpas. Vidare innehåller förlaget bestämmelser om erkännande och verk</w:t>
      </w:r>
      <w:r w:rsidRPr="00196D6B">
        <w:softHyphen/>
        <w:t>ställighet av</w:t>
      </w:r>
      <w:r w:rsidR="005A5A8F" w:rsidRPr="00196D6B">
        <w:t xml:space="preserve"> arvsrättsliga avgöranden</w:t>
      </w:r>
      <w:r w:rsidRPr="00196D6B">
        <w:t>, som bygger på de bestämmel</w:t>
      </w:r>
      <w:r w:rsidRPr="00196D6B">
        <w:softHyphen/>
        <w:t>ser som finns i Bryssel I-förordningen</w:t>
      </w:r>
      <w:r w:rsidRPr="00196D6B">
        <w:rPr>
          <w:rStyle w:val="Fotnotsreferens"/>
          <w:szCs w:val="24"/>
        </w:rPr>
        <w:footnoteReference w:id="1"/>
      </w:r>
      <w:r w:rsidRPr="00196D6B">
        <w:t>. Förslaget innehåller också bestäm</w:t>
      </w:r>
      <w:r w:rsidRPr="00196D6B">
        <w:softHyphen/>
      </w:r>
      <w:r w:rsidR="005A5A8F" w:rsidRPr="00196D6B">
        <w:softHyphen/>
      </w:r>
      <w:r w:rsidRPr="00196D6B">
        <w:t>melser om inrättandet av ett europeiskt arvsintyg, en legitima</w:t>
      </w:r>
      <w:r w:rsidR="005A5A8F" w:rsidRPr="00196D6B">
        <w:softHyphen/>
      </w:r>
      <w:r w:rsidRPr="00196D6B">
        <w:t>tions</w:t>
      </w:r>
      <w:r w:rsidRPr="00196D6B">
        <w:softHyphen/>
        <w:t>handling som visar vilka som ärver en viss person eller har rätt att ta hand om egen</w:t>
      </w:r>
      <w:r w:rsidRPr="00196D6B">
        <w:softHyphen/>
        <w:t xml:space="preserve">domen och som ska gälla inom EU. </w:t>
      </w:r>
    </w:p>
    <w:p w:rsidR="00A13C34" w:rsidRPr="00196D6B" w:rsidRDefault="00A13C34" w:rsidP="00EB31A6">
      <w:r w:rsidRPr="00196D6B">
        <w:lastRenderedPageBreak/>
        <w:t>I dag finns det inte något EU-instrument om gränsöver</w:t>
      </w:r>
      <w:r w:rsidRPr="00196D6B">
        <w:softHyphen/>
        <w:t>skridande arvs</w:t>
      </w:r>
      <w:r w:rsidRPr="00196D6B">
        <w:softHyphen/>
        <w:t xml:space="preserve">frågor. </w:t>
      </w:r>
      <w:r w:rsidR="007F195C" w:rsidRPr="00196D6B">
        <w:t>Medlemsstaterna</w:t>
      </w:r>
      <w:r w:rsidRPr="00196D6B">
        <w:t xml:space="preserve"> tillämpar olika regler om bl.a. vilken lag som ska tillämpas och vilken domstol som är behörig. Olikheterna leder till pro</w:t>
      </w:r>
      <w:r w:rsidRPr="00196D6B">
        <w:softHyphen/>
        <w:t xml:space="preserve">blem när myndigheter i flera </w:t>
      </w:r>
      <w:r w:rsidR="007F195C" w:rsidRPr="00196D6B">
        <w:t>medlemsstater</w:t>
      </w:r>
      <w:r w:rsidRPr="00196D6B">
        <w:t xml:space="preserve"> är inblandade i samma ärende. Det är vanligt att det sker parallella för</w:t>
      </w:r>
      <w:r w:rsidRPr="00196D6B">
        <w:softHyphen/>
        <w:t>faranden i flera medlemsstater, vilket är både tids- och kostnads</w:t>
      </w:r>
      <w:r w:rsidRPr="00196D6B">
        <w:softHyphen/>
        <w:t>krävande. Mot</w:t>
      </w:r>
      <w:r w:rsidR="00477010" w:rsidRPr="00196D6B">
        <w:t xml:space="preserve"> den bakgrunden har flertalet medlemsstater</w:t>
      </w:r>
      <w:r w:rsidRPr="00196D6B">
        <w:t xml:space="preserve">, inklusive Sverige, ansett att det finns ett reellt praktiskt behov av EU-regler och därför välkomnat att initiativ tagits på området. </w:t>
      </w:r>
    </w:p>
    <w:p w:rsidR="00A13C34" w:rsidRPr="00196D6B" w:rsidRDefault="00A13C34" w:rsidP="00EB31A6"/>
    <w:p w:rsidR="00B0673E" w:rsidRPr="00196D6B" w:rsidRDefault="00B0673E" w:rsidP="00EB31A6">
      <w:pPr>
        <w:pStyle w:val="RKnormal"/>
      </w:pPr>
      <w:r w:rsidRPr="00196D6B">
        <w:t>Förslaget har hittills behandlats i flera rådsarbetsgruppsmöten. Det spanska ordförandeskapet har under förhandlingarnas gång tagit fram textförslag angående viss</w:t>
      </w:r>
      <w:r w:rsidR="00CF075A" w:rsidRPr="00196D6B">
        <w:t>a delar av förslaget.</w:t>
      </w:r>
    </w:p>
    <w:p w:rsidR="00B0673E" w:rsidRPr="00196D6B" w:rsidRDefault="00B0673E" w:rsidP="00EB31A6">
      <w:pPr>
        <w:pStyle w:val="RKnormal"/>
      </w:pPr>
    </w:p>
    <w:p w:rsidR="00B0673E" w:rsidRPr="00196D6B" w:rsidRDefault="00B0673E" w:rsidP="00EB31A6">
      <w:pPr>
        <w:pStyle w:val="RKnormal"/>
      </w:pPr>
      <w:r w:rsidRPr="00196D6B">
        <w:t>Det spanska ordförandeskapet vill nu att förslage</w:t>
      </w:r>
      <w:r w:rsidR="00477010" w:rsidRPr="00196D6B">
        <w:t xml:space="preserve">t ska diskuteras vid RIF-rådet </w:t>
      </w:r>
      <w:r w:rsidR="004B475D" w:rsidRPr="00196D6B">
        <w:t>för att nå politisk</w:t>
      </w:r>
      <w:r w:rsidRPr="00196D6B">
        <w:t xml:space="preserve"> överenskommelse om vissa riktlinjer för det fortsatta förhandlingsarbetet. </w:t>
      </w:r>
    </w:p>
    <w:p w:rsidR="001D63FD" w:rsidRPr="00196D6B" w:rsidRDefault="001D63FD" w:rsidP="00EB31A6">
      <w:pPr>
        <w:pStyle w:val="RKrubrik"/>
      </w:pPr>
      <w:r w:rsidRPr="00196D6B">
        <w:t>Rättslig grund och beslutsförfarande</w:t>
      </w:r>
    </w:p>
    <w:p w:rsidR="001D63FD" w:rsidRPr="00196D6B" w:rsidRDefault="00B0673E" w:rsidP="00EB31A6">
      <w:bookmarkStart w:id="1" w:name="Text8"/>
      <w:r w:rsidRPr="00196D6B">
        <w:t>Den rättsliga grunden för förslaget är artiklarna 67 och 81 i fördraget om EU:s funktionssätt, EUF-fördraget (artiklarna 61 c och 67.5 EG). Kommis</w:t>
      </w:r>
      <w:r w:rsidRPr="00196D6B">
        <w:softHyphen/>
        <w:t>sionen anser inte att förslaget till förordning utgör åtgärder som rör familje</w:t>
      </w:r>
      <w:r w:rsidRPr="00196D6B">
        <w:softHyphen/>
        <w:t>rätten. Det innebär att rådet inte ska besluta med enhällighet utan förslaget är föremål för medbeslutande</w:t>
      </w:r>
      <w:r w:rsidRPr="00196D6B">
        <w:softHyphen/>
        <w:t>förfarande mellan Europa</w:t>
      </w:r>
      <w:r w:rsidRPr="00196D6B">
        <w:softHyphen/>
        <w:t xml:space="preserve">parlamentet och rådet (kvalificerad majoritet) i enlighet med artikel 294 i EUF-fördraget (tidigare artikel 251 EG). Enligt den svenska regeringen kan det ifrågasättas om den rättsliga grunden är korrekt eftersom vissa delar av arvsrätten har familjerättslig betydelse. Frågan om rättslig grund har ännu inte blivit föremål för några diskussioner. </w:t>
      </w:r>
      <w:bookmarkEnd w:id="1"/>
    </w:p>
    <w:p w:rsidR="001D63FD" w:rsidRPr="00196D6B" w:rsidRDefault="001D63FD" w:rsidP="00EB31A6">
      <w:pPr>
        <w:pStyle w:val="RKrubrik"/>
        <w:rPr>
          <w:i/>
          <w:iCs/>
        </w:rPr>
      </w:pPr>
      <w:r w:rsidRPr="00196D6B">
        <w:rPr>
          <w:i/>
          <w:iCs/>
        </w:rPr>
        <w:t>Svensk ståndpunkt</w:t>
      </w:r>
    </w:p>
    <w:p w:rsidR="00995787" w:rsidRPr="00196D6B" w:rsidRDefault="00995787" w:rsidP="00EB31A6">
      <w:pPr>
        <w:pStyle w:val="RKnormal"/>
        <w:rPr>
          <w:i/>
        </w:rPr>
      </w:pPr>
      <w:r w:rsidRPr="00196D6B">
        <w:rPr>
          <w:i/>
        </w:rPr>
        <w:t>Förslaget till förordning</w:t>
      </w:r>
    </w:p>
    <w:p w:rsidR="00A13C34" w:rsidRPr="00196D6B" w:rsidRDefault="00A13C34" w:rsidP="00EB31A6">
      <w:pPr>
        <w:pStyle w:val="RKnormal"/>
      </w:pPr>
      <w:r w:rsidRPr="00196D6B">
        <w:t>Sverige välkomnar att ett förslag till ett EU-instrument om gränsöver</w:t>
      </w:r>
      <w:r w:rsidRPr="00196D6B">
        <w:softHyphen/>
        <w:t xml:space="preserve">skridande arvsfrågor har lagts fram då det finns ett reellt praktiskt behov av EU-regler på området. </w:t>
      </w:r>
    </w:p>
    <w:p w:rsidR="00A13C34" w:rsidRPr="00196D6B" w:rsidRDefault="00A13C34" w:rsidP="00EB31A6">
      <w:pPr>
        <w:pStyle w:val="RKnormal"/>
      </w:pPr>
    </w:p>
    <w:p w:rsidR="00A13C34" w:rsidRPr="00196D6B" w:rsidRDefault="00FA767D" w:rsidP="00EB31A6">
      <w:pPr>
        <w:pStyle w:val="RKnormal"/>
      </w:pPr>
      <w:r w:rsidRPr="00196D6B">
        <w:t xml:space="preserve">Sverige </w:t>
      </w:r>
      <w:r w:rsidR="00A13C34" w:rsidRPr="00196D6B">
        <w:t>avser verka för lösningar som motsvarar de behov som finns och som leder till att syftet med förslaget uppnås, dvs. att förenkla hanter</w:t>
      </w:r>
      <w:r w:rsidR="00A13C34" w:rsidRPr="00196D6B">
        <w:softHyphen/>
        <w:t>ingen av gränsöver</w:t>
      </w:r>
      <w:r w:rsidR="00A13C34" w:rsidRPr="00196D6B">
        <w:softHyphen/>
        <w:t>skridande arvsärenden och öka förutse</w:t>
      </w:r>
      <w:r w:rsidR="00A13C34" w:rsidRPr="00196D6B">
        <w:softHyphen/>
        <w:t>barheten och rätts</w:t>
      </w:r>
      <w:r w:rsidR="00A13C34" w:rsidRPr="00196D6B">
        <w:softHyphen/>
        <w:t>säker</w:t>
      </w:r>
      <w:r w:rsidR="00A13C34" w:rsidRPr="00196D6B">
        <w:softHyphen/>
        <w:t>heten för de som berörs av sådana ärenden.</w:t>
      </w:r>
      <w:r w:rsidRPr="00196D6B">
        <w:t xml:space="preserve"> </w:t>
      </w:r>
      <w:r w:rsidR="00A13C34" w:rsidRPr="00196D6B">
        <w:t>Förslaget rör gränsöverskridande arvsfrågor och utgångspunkten för arbe</w:t>
      </w:r>
      <w:r w:rsidR="00A13C34" w:rsidRPr="00196D6B">
        <w:softHyphen/>
        <w:t>tet med förslaget bör vara att medlemsstaternas materiella rätt inte ska påver</w:t>
      </w:r>
      <w:r w:rsidR="00A13C34" w:rsidRPr="00196D6B">
        <w:softHyphen/>
        <w:t xml:space="preserve">kas. </w:t>
      </w:r>
    </w:p>
    <w:p w:rsidR="006D1E9A" w:rsidRPr="00196D6B" w:rsidRDefault="006D1E9A" w:rsidP="00EB31A6">
      <w:pPr>
        <w:pStyle w:val="RKnormal"/>
      </w:pPr>
    </w:p>
    <w:p w:rsidR="00A13C34" w:rsidRPr="00196D6B" w:rsidRDefault="00A13C34" w:rsidP="00EB31A6">
      <w:pPr>
        <w:pStyle w:val="RKnormal"/>
      </w:pPr>
      <w:r w:rsidRPr="00196D6B">
        <w:t>Förslaget utgår från hemvistprincipen, medan svenska regler, såvitt avser utomnordiska förhållanden, i huvudsak bygger på nationalitets</w:t>
      </w:r>
      <w:r w:rsidRPr="00196D6B">
        <w:softHyphen/>
        <w:t>principen. Den nordiska ordningen bygger däremot på hemvistprincipen. Ut</w:t>
      </w:r>
      <w:r w:rsidRPr="00196D6B">
        <w:softHyphen/>
        <w:t>vecklingen inom den internationella privaträtten har gått mot att hem</w:t>
      </w:r>
      <w:r w:rsidRPr="00196D6B">
        <w:softHyphen/>
        <w:t>vistet är avgörande för vilken domstol som ska vara behörig eller vilken lag som ska till</w:t>
      </w:r>
      <w:r w:rsidRPr="00196D6B">
        <w:softHyphen/>
        <w:t>ämpas. En enskilds person</w:t>
      </w:r>
      <w:r w:rsidRPr="00196D6B">
        <w:softHyphen/>
        <w:t>liga förhållanden anses ofta ha en starkare anknytning till det land i vilket han eller hon lever än till medborgar</w:t>
      </w:r>
      <w:r w:rsidRPr="00196D6B">
        <w:softHyphen/>
        <w:t xml:space="preserve">skapslandet. </w:t>
      </w:r>
      <w:r w:rsidR="00FA767D" w:rsidRPr="00196D6B">
        <w:t>Sverige</w:t>
      </w:r>
      <w:r w:rsidRPr="00196D6B">
        <w:t xml:space="preserve"> kan godta att för</w:t>
      </w:r>
      <w:r w:rsidRPr="00196D6B">
        <w:softHyphen/>
        <w:t>slaget utgår från hem</w:t>
      </w:r>
      <w:r w:rsidR="00477010" w:rsidRPr="00196D6B">
        <w:softHyphen/>
      </w:r>
      <w:r w:rsidRPr="00196D6B">
        <w:t>vistprincipen.</w:t>
      </w:r>
    </w:p>
    <w:p w:rsidR="00FA767D" w:rsidRPr="00196D6B" w:rsidRDefault="00FA767D" w:rsidP="00EB31A6">
      <w:pPr>
        <w:pStyle w:val="RKnormal"/>
      </w:pPr>
    </w:p>
    <w:p w:rsidR="00FA767D" w:rsidRPr="00196D6B" w:rsidRDefault="00A13C34" w:rsidP="00EB31A6">
      <w:pPr>
        <w:pStyle w:val="RKnormal"/>
      </w:pPr>
      <w:r w:rsidRPr="00196D6B">
        <w:t>Förslaget rymmer flera komplicerade frågeställningar som kommer att kräva närmare granskning och över</w:t>
      </w:r>
      <w:r w:rsidRPr="00196D6B">
        <w:softHyphen/>
        <w:t>väganden. Bland annat bör det analyseras om hemvistbe</w:t>
      </w:r>
      <w:r w:rsidRPr="00196D6B">
        <w:softHyphen/>
        <w:t>greppet behöver förtydligas för att vara ett lämpligt anknyt</w:t>
      </w:r>
      <w:r w:rsidRPr="00196D6B">
        <w:softHyphen/>
        <w:t>ningskriterium i sammanhanget. Vidare bör regleringen om ett europeiskt arvsintyg när</w:t>
      </w:r>
      <w:r w:rsidRPr="00196D6B">
        <w:softHyphen/>
        <w:t>mare analyseras, bl.a. för att klarlägga förhållandet till nation</w:t>
      </w:r>
      <w:r w:rsidRPr="00196D6B">
        <w:softHyphen/>
        <w:t>ella förfaran</w:t>
      </w:r>
      <w:r w:rsidRPr="00196D6B">
        <w:softHyphen/>
        <w:t xml:space="preserve">den. </w:t>
      </w:r>
    </w:p>
    <w:p w:rsidR="00A13C34" w:rsidRPr="00196D6B" w:rsidRDefault="00A13C34" w:rsidP="00EB31A6">
      <w:pPr>
        <w:pStyle w:val="RKnormal"/>
      </w:pPr>
      <w:r w:rsidRPr="00196D6B">
        <w:t xml:space="preserve"> </w:t>
      </w:r>
    </w:p>
    <w:p w:rsidR="00995787" w:rsidRPr="00196D6B" w:rsidRDefault="00A13C34" w:rsidP="00EB31A6">
      <w:pPr>
        <w:pStyle w:val="RKnormal"/>
      </w:pPr>
      <w:r w:rsidRPr="00196D6B">
        <w:t>I förh</w:t>
      </w:r>
      <w:r w:rsidR="00FA767D" w:rsidRPr="00196D6B">
        <w:t xml:space="preserve">andlingsarbetet avser Sverige </w:t>
      </w:r>
      <w:r w:rsidRPr="00196D6B">
        <w:t>att bevaka viktiga nordiska intressen.</w:t>
      </w:r>
    </w:p>
    <w:p w:rsidR="00995787" w:rsidRPr="00196D6B" w:rsidRDefault="00995787" w:rsidP="00EB31A6">
      <w:pPr>
        <w:pStyle w:val="RKnormal"/>
      </w:pPr>
    </w:p>
    <w:p w:rsidR="00995787" w:rsidRPr="00196D6B" w:rsidRDefault="00995787" w:rsidP="00EB31A6">
      <w:pPr>
        <w:pStyle w:val="RKnormal"/>
        <w:rPr>
          <w:i/>
        </w:rPr>
      </w:pPr>
      <w:r w:rsidRPr="00196D6B">
        <w:rPr>
          <w:i/>
        </w:rPr>
        <w:t>Ordförandeskapets förslag till politiska riktlinjer</w:t>
      </w:r>
    </w:p>
    <w:p w:rsidR="00995787" w:rsidRPr="00196D6B" w:rsidRDefault="00995787" w:rsidP="00EB31A6">
      <w:pPr>
        <w:pStyle w:val="RKnormal"/>
      </w:pPr>
      <w:r w:rsidRPr="00196D6B">
        <w:t xml:space="preserve">Sverige kan godta ordförandeskapets förslag till politiska riktlinjer för det fortsatta förhandlingsarbetet. </w:t>
      </w:r>
    </w:p>
    <w:p w:rsidR="001D63FD" w:rsidRPr="00196D6B" w:rsidRDefault="001D63FD" w:rsidP="00EB31A6">
      <w:pPr>
        <w:pStyle w:val="RKrubrik"/>
      </w:pPr>
      <w:r w:rsidRPr="00196D6B">
        <w:t>Europaparlamentets inställning</w:t>
      </w:r>
    </w:p>
    <w:p w:rsidR="001D63FD" w:rsidRPr="00196D6B" w:rsidRDefault="00FA767D" w:rsidP="00EB31A6">
      <w:pPr>
        <w:pStyle w:val="RKnormal"/>
      </w:pPr>
      <w:r w:rsidRPr="00196D6B">
        <w:t>Europaparlamentet har ännu inte yttrat sig över förslag</w:t>
      </w:r>
      <w:r w:rsidR="001A59DD" w:rsidRPr="00196D6B">
        <w:t>et</w:t>
      </w:r>
      <w:r w:rsidRPr="00196D6B">
        <w:t xml:space="preserve"> till förordning. </w:t>
      </w:r>
    </w:p>
    <w:p w:rsidR="001D63FD" w:rsidRPr="00196D6B" w:rsidRDefault="001D63FD" w:rsidP="00EB31A6">
      <w:pPr>
        <w:pStyle w:val="RKrubrik"/>
        <w:rPr>
          <w:i/>
          <w:iCs/>
        </w:rPr>
      </w:pPr>
      <w:r w:rsidRPr="00196D6B">
        <w:rPr>
          <w:i/>
          <w:iCs/>
        </w:rPr>
        <w:t>Förslaget</w:t>
      </w:r>
    </w:p>
    <w:p w:rsidR="00FA767D" w:rsidRPr="00196D6B" w:rsidRDefault="00FA767D" w:rsidP="00EB31A6">
      <w:pPr>
        <w:pStyle w:val="RKnormal"/>
      </w:pPr>
      <w:r w:rsidRPr="00196D6B">
        <w:t xml:space="preserve">Ordförandeskapet har sammanfattningsvis lämnat följande förslag till politiska riktlinjer för det fortsatta arbetet. </w:t>
      </w:r>
    </w:p>
    <w:p w:rsidR="00FA767D" w:rsidRPr="00196D6B" w:rsidRDefault="00FA767D" w:rsidP="00EB31A6">
      <w:pPr>
        <w:pStyle w:val="RKnormal"/>
      </w:pPr>
    </w:p>
    <w:p w:rsidR="00FA767D" w:rsidRPr="00196D6B" w:rsidRDefault="00FA767D" w:rsidP="00EB31A6">
      <w:pPr>
        <w:pStyle w:val="RKnormal"/>
      </w:pPr>
      <w:r w:rsidRPr="00196D6B">
        <w:t xml:space="preserve">a) Ett brett instrument – att rådet bekräftar målet att uppnå ett brett instrument. </w:t>
      </w:r>
    </w:p>
    <w:p w:rsidR="00FA767D" w:rsidRPr="00196D6B" w:rsidRDefault="00FA767D" w:rsidP="00EB31A6">
      <w:pPr>
        <w:pStyle w:val="RKnormal"/>
      </w:pPr>
    </w:p>
    <w:p w:rsidR="00FA767D" w:rsidRPr="00196D6B" w:rsidRDefault="00FA767D" w:rsidP="00EB31A6">
      <w:pPr>
        <w:pStyle w:val="RKnormal"/>
      </w:pPr>
      <w:r w:rsidRPr="00196D6B">
        <w:t>b) Ett enda förfarande – att rådet bekräftar åtagandet att fortsätta arbeta för att säkerställa den allmänna principen om ett enda förfarande.</w:t>
      </w:r>
    </w:p>
    <w:p w:rsidR="00FA767D" w:rsidRPr="00196D6B" w:rsidRDefault="00FA767D" w:rsidP="00EB31A6">
      <w:pPr>
        <w:pStyle w:val="RKnormal"/>
      </w:pPr>
    </w:p>
    <w:p w:rsidR="00FA767D" w:rsidRPr="00196D6B" w:rsidRDefault="00FA767D" w:rsidP="00EB31A6">
      <w:pPr>
        <w:pStyle w:val="RKnormal"/>
      </w:pPr>
      <w:r w:rsidRPr="00196D6B">
        <w:t>c) En tillämplig lag – att rådet bekräftar det allmänna åtagandet att verka för att en och samma lag ska vara tillämplig på hela kvar</w:t>
      </w:r>
      <w:r w:rsidRPr="00196D6B">
        <w:softHyphen/>
        <w:t xml:space="preserve">låtenskapen.    </w:t>
      </w:r>
    </w:p>
    <w:p w:rsidR="00FA767D" w:rsidRPr="00196D6B" w:rsidRDefault="00FA767D" w:rsidP="00EB31A6">
      <w:pPr>
        <w:pStyle w:val="RKnormal"/>
      </w:pPr>
    </w:p>
    <w:p w:rsidR="00FA767D" w:rsidRPr="00196D6B" w:rsidRDefault="00FA767D" w:rsidP="00EB31A6">
      <w:pPr>
        <w:pStyle w:val="RKnormal"/>
      </w:pPr>
      <w:r w:rsidRPr="00196D6B">
        <w:t xml:space="preserve">d) Hemvist som anknytningskriterium för behörigheten – att rådet bekräftar valet av hemvist som anknytningsfaktor för den allmänna behörigheten, även om ytterligare överväganden krävs. </w:t>
      </w:r>
    </w:p>
    <w:p w:rsidR="00FA767D" w:rsidRPr="00196D6B" w:rsidRDefault="00FA767D" w:rsidP="00EB31A6">
      <w:pPr>
        <w:pStyle w:val="RKnormal"/>
      </w:pPr>
    </w:p>
    <w:p w:rsidR="00FA767D" w:rsidRPr="00196D6B" w:rsidRDefault="00FA767D" w:rsidP="00EB31A6">
      <w:pPr>
        <w:pStyle w:val="RKnormal"/>
      </w:pPr>
      <w:r w:rsidRPr="00196D6B">
        <w:t>e) Behörighetsregler – att rådet bekräftar tillväga</w:t>
      </w:r>
      <w:r w:rsidRPr="00196D6B">
        <w:softHyphen/>
        <w:t>gångssättet i fråga om behörighet, dvs. att regler om överlämnande till annan domstol, subsidi</w:t>
      </w:r>
      <w:r w:rsidR="00477010" w:rsidRPr="00196D6B">
        <w:softHyphen/>
      </w:r>
      <w:r w:rsidRPr="00196D6B">
        <w:t>ära behörighetsregler samt regler om forum necess</w:t>
      </w:r>
      <w:r w:rsidRPr="00196D6B">
        <w:softHyphen/>
        <w:t>itatis</w:t>
      </w:r>
      <w:r w:rsidR="00477010" w:rsidRPr="00196D6B">
        <w:t xml:space="preserve"> diskuterats</w:t>
      </w:r>
      <w:r w:rsidRPr="00196D6B">
        <w:t>, även om ytterligare arbete med frågorna krävs.</w:t>
      </w:r>
    </w:p>
    <w:p w:rsidR="00FA767D" w:rsidRPr="00196D6B" w:rsidRDefault="00FA767D" w:rsidP="00EB31A6">
      <w:pPr>
        <w:pStyle w:val="RKnormal"/>
      </w:pPr>
    </w:p>
    <w:p w:rsidR="00FA767D" w:rsidRPr="00196D6B" w:rsidRDefault="00FA767D" w:rsidP="00EB31A6">
      <w:pPr>
        <w:pStyle w:val="RKnormal"/>
      </w:pPr>
      <w:r w:rsidRPr="00196D6B">
        <w:t xml:space="preserve">f) Val av tillämplig lag – att rådet bekräftar principen om att tillåta en begränsad partsautonomi i arvsrättsliga frågor.            </w:t>
      </w:r>
    </w:p>
    <w:p w:rsidR="00ED5A71" w:rsidRPr="00196D6B" w:rsidRDefault="001D63FD" w:rsidP="00EB31A6">
      <w:pPr>
        <w:pStyle w:val="RKrubrik"/>
        <w:rPr>
          <w:i/>
          <w:iCs/>
        </w:rPr>
      </w:pPr>
      <w:r w:rsidRPr="00196D6B">
        <w:t>Gällande svenska regler och förslagets effekter på dessa</w:t>
      </w:r>
    </w:p>
    <w:p w:rsidR="001D63FD" w:rsidRPr="00196D6B" w:rsidRDefault="00ED5A71" w:rsidP="00EB31A6">
      <w:pPr>
        <w:pStyle w:val="RKnormal"/>
      </w:pPr>
      <w:r w:rsidRPr="00196D6B">
        <w:t xml:space="preserve">För en beskrivning av </w:t>
      </w:r>
      <w:r w:rsidR="00881090" w:rsidRPr="00196D6B">
        <w:t xml:space="preserve">gällande svenska regler och hur de förhåller sig till förslaget till förordning </w:t>
      </w:r>
      <w:r w:rsidRPr="00196D6B">
        <w:t>hänvisa</w:t>
      </w:r>
      <w:r w:rsidR="00477010" w:rsidRPr="00196D6B">
        <w:t>s</w:t>
      </w:r>
      <w:r w:rsidRPr="00196D6B">
        <w:t xml:space="preserve"> till faktapromemoria 2009/10:FPM55. </w:t>
      </w:r>
    </w:p>
    <w:p w:rsidR="001D63FD" w:rsidRPr="00196D6B" w:rsidRDefault="001D63FD" w:rsidP="00EB31A6">
      <w:pPr>
        <w:pStyle w:val="RKrubrik"/>
      </w:pPr>
      <w:r w:rsidRPr="00196D6B">
        <w:t>Ekonomiska konsekvenser</w:t>
      </w:r>
    </w:p>
    <w:p w:rsidR="00ED5A71" w:rsidRPr="00196D6B" w:rsidRDefault="00ED5A71" w:rsidP="00EB31A6">
      <w:pPr>
        <w:pStyle w:val="RKnormal"/>
      </w:pPr>
      <w:r w:rsidRPr="00196D6B">
        <w:t>De slutliga ekonomiska effekterna av förslaget kan i detta skede inte be</w:t>
      </w:r>
      <w:r w:rsidRPr="00196D6B">
        <w:softHyphen/>
        <w:t xml:space="preserve">dömas med säkerhet. Eventuella budgetära konsekvenser bör dock kunna finansieras inom befintliga ramar (också för EU-budgeten).  </w:t>
      </w:r>
    </w:p>
    <w:p w:rsidR="001D63FD" w:rsidRPr="00196D6B" w:rsidRDefault="001D63FD" w:rsidP="00EB31A6">
      <w:pPr>
        <w:pStyle w:val="RKnormal"/>
      </w:pPr>
    </w:p>
    <w:p w:rsidR="001D63FD" w:rsidRPr="00196D6B" w:rsidRDefault="001D63FD" w:rsidP="00EB31A6">
      <w:pPr>
        <w:pStyle w:val="RKnormal"/>
        <w:rPr>
          <w:i/>
          <w:iCs/>
        </w:rPr>
      </w:pPr>
    </w:p>
    <w:p w:rsidR="001D63FD" w:rsidRPr="00196D6B" w:rsidRDefault="001D63FD" w:rsidP="00EB31A6">
      <w:pPr>
        <w:pStyle w:val="RKnormal"/>
        <w:ind w:left="-1134"/>
      </w:pPr>
    </w:p>
    <w:p w:rsidR="006E4E11" w:rsidRPr="00196D6B" w:rsidRDefault="006E4E11" w:rsidP="00EB31A6">
      <w:pPr>
        <w:pStyle w:val="RKrubrik"/>
        <w:spacing w:before="0" w:after="0"/>
      </w:pPr>
    </w:p>
    <w:p w:rsidR="006E4E11" w:rsidRPr="00196D6B" w:rsidRDefault="006E4E11" w:rsidP="00EB31A6">
      <w:pPr>
        <w:pStyle w:val="RKnormal"/>
      </w:pPr>
    </w:p>
    <w:p w:rsidR="001D63FD" w:rsidRPr="00196D6B" w:rsidRDefault="001D63FD" w:rsidP="00EB31A6">
      <w:pPr>
        <w:pStyle w:val="RKnormal"/>
      </w:pPr>
    </w:p>
    <w:sectPr w:rsidR="001D63FD" w:rsidRPr="00196D6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B4A" w:rsidRPr="00196D6B" w:rsidRDefault="00855B4A">
      <w:r w:rsidRPr="00196D6B">
        <w:separator/>
      </w:r>
    </w:p>
  </w:endnote>
  <w:endnote w:type="continuationSeparator" w:id="0">
    <w:p w:rsidR="00855B4A" w:rsidRPr="00196D6B" w:rsidRDefault="00855B4A">
      <w:r w:rsidRPr="00196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B4A" w:rsidRPr="00196D6B" w:rsidRDefault="00855B4A">
      <w:r w:rsidRPr="00196D6B">
        <w:separator/>
      </w:r>
    </w:p>
  </w:footnote>
  <w:footnote w:type="continuationSeparator" w:id="0">
    <w:p w:rsidR="00855B4A" w:rsidRPr="00196D6B" w:rsidRDefault="00855B4A">
      <w:r w:rsidRPr="00196D6B">
        <w:continuationSeparator/>
      </w:r>
    </w:p>
  </w:footnote>
  <w:footnote w:id="1">
    <w:p w:rsidR="007F195C" w:rsidRPr="00196D6B" w:rsidRDefault="007F195C" w:rsidP="006021CA">
      <w:pPr>
        <w:pStyle w:val="Fotnotstext"/>
      </w:pPr>
      <w:r w:rsidRPr="00196D6B">
        <w:rPr>
          <w:rStyle w:val="Fotnotsreferens"/>
        </w:rPr>
        <w:footnoteRef/>
      </w:r>
      <w:r w:rsidRPr="00196D6B">
        <w:t xml:space="preserve"> Rådets förordning (EG) nr 44/2001 av den 22 december 2000 om domstols behörighet och om erkännande och verkställighet av domar på privaträttens område (EGT L 12, 16.1.2001, s.1, Celex 32001R0044).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5C" w:rsidRPr="00196D6B" w:rsidRDefault="007F195C">
    <w:pPr>
      <w:pStyle w:val="Sidhuvud"/>
      <w:framePr w:wrap="around" w:vAnchor="text" w:hAnchor="margin" w:xAlign="right" w:y="1"/>
      <w:rPr>
        <w:rStyle w:val="Sidnummer"/>
      </w:rPr>
    </w:pPr>
    <w:r w:rsidRPr="00196D6B">
      <w:rPr>
        <w:rStyle w:val="Sidnummer"/>
      </w:rPr>
      <w:fldChar w:fldCharType="begin" w:fldLock="1"/>
    </w:r>
    <w:r w:rsidRPr="00196D6B">
      <w:rPr>
        <w:rStyle w:val="Sidnummer"/>
      </w:rPr>
      <w:instrText xml:space="preserve">PAGE  </w:instrText>
    </w:r>
    <w:r w:rsidRPr="00196D6B">
      <w:rPr>
        <w:rStyle w:val="Sidnummer"/>
      </w:rPr>
      <w:fldChar w:fldCharType="separate"/>
    </w:r>
    <w:r w:rsidR="00236AE5" w:rsidRPr="00196D6B">
      <w:rPr>
        <w:rStyle w:val="Sidnummer"/>
      </w:rPr>
      <w:t>4</w:t>
    </w:r>
    <w:r w:rsidRPr="00196D6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195C" w:rsidRPr="00196D6B">
      <w:tblPrEx>
        <w:tblCellMar>
          <w:top w:w="0" w:type="dxa"/>
          <w:bottom w:w="0" w:type="dxa"/>
        </w:tblCellMar>
      </w:tblPrEx>
      <w:trPr>
        <w:cantSplit/>
      </w:trPr>
      <w:tc>
        <w:tcPr>
          <w:tcW w:w="3119" w:type="dxa"/>
        </w:tcPr>
        <w:p w:rsidR="007F195C" w:rsidRPr="00196D6B" w:rsidRDefault="007F195C">
          <w:pPr>
            <w:pStyle w:val="Sidhuvud"/>
            <w:spacing w:line="200" w:lineRule="atLeast"/>
            <w:ind w:right="357"/>
            <w:rPr>
              <w:rFonts w:ascii="TradeGothic" w:hAnsi="TradeGothic"/>
              <w:b/>
              <w:bCs/>
              <w:sz w:val="16"/>
            </w:rPr>
          </w:pPr>
        </w:p>
      </w:tc>
      <w:tc>
        <w:tcPr>
          <w:tcW w:w="4111" w:type="dxa"/>
          <w:tcMar>
            <w:left w:w="567" w:type="dxa"/>
          </w:tcMar>
        </w:tcPr>
        <w:p w:rsidR="007F195C" w:rsidRPr="00196D6B" w:rsidRDefault="007F195C">
          <w:pPr>
            <w:pStyle w:val="Sidhuvud"/>
            <w:ind w:right="360"/>
          </w:pPr>
        </w:p>
      </w:tc>
      <w:tc>
        <w:tcPr>
          <w:tcW w:w="1525" w:type="dxa"/>
        </w:tcPr>
        <w:p w:rsidR="007F195C" w:rsidRPr="00196D6B" w:rsidRDefault="007F195C">
          <w:pPr>
            <w:pStyle w:val="Sidhuvud"/>
            <w:ind w:right="360"/>
          </w:pPr>
        </w:p>
      </w:tc>
    </w:tr>
  </w:tbl>
  <w:p w:rsidR="007F195C" w:rsidRPr="00196D6B" w:rsidRDefault="007F195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5C" w:rsidRPr="00196D6B" w:rsidRDefault="007F195C">
    <w:pPr>
      <w:pStyle w:val="Sidhuvud"/>
      <w:framePr w:wrap="around" w:vAnchor="text" w:hAnchor="margin" w:xAlign="right" w:y="1"/>
      <w:rPr>
        <w:rStyle w:val="Sidnummer"/>
      </w:rPr>
    </w:pPr>
    <w:r w:rsidRPr="00196D6B">
      <w:rPr>
        <w:rStyle w:val="Sidnummer"/>
      </w:rPr>
      <w:fldChar w:fldCharType="begin" w:fldLock="1"/>
    </w:r>
    <w:r w:rsidRPr="00196D6B">
      <w:rPr>
        <w:rStyle w:val="Sidnummer"/>
      </w:rPr>
      <w:instrText xml:space="preserve">PAGE  </w:instrText>
    </w:r>
    <w:r w:rsidRPr="00196D6B">
      <w:rPr>
        <w:rStyle w:val="Sidnummer"/>
      </w:rPr>
      <w:fldChar w:fldCharType="separate"/>
    </w:r>
    <w:r w:rsidR="00236AE5" w:rsidRPr="00196D6B">
      <w:rPr>
        <w:rStyle w:val="Sidnummer"/>
      </w:rPr>
      <w:t>3</w:t>
    </w:r>
    <w:r w:rsidRPr="00196D6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195C" w:rsidRPr="00196D6B">
      <w:tblPrEx>
        <w:tblCellMar>
          <w:top w:w="0" w:type="dxa"/>
          <w:bottom w:w="0" w:type="dxa"/>
        </w:tblCellMar>
      </w:tblPrEx>
      <w:trPr>
        <w:cantSplit/>
      </w:trPr>
      <w:tc>
        <w:tcPr>
          <w:tcW w:w="3119" w:type="dxa"/>
        </w:tcPr>
        <w:p w:rsidR="007F195C" w:rsidRPr="00196D6B" w:rsidRDefault="007F195C">
          <w:pPr>
            <w:pStyle w:val="Sidhuvud"/>
            <w:spacing w:line="200" w:lineRule="atLeast"/>
            <w:ind w:right="357"/>
            <w:rPr>
              <w:rFonts w:ascii="TradeGothic" w:hAnsi="TradeGothic"/>
              <w:b/>
              <w:bCs/>
              <w:sz w:val="16"/>
            </w:rPr>
          </w:pPr>
        </w:p>
      </w:tc>
      <w:tc>
        <w:tcPr>
          <w:tcW w:w="4111" w:type="dxa"/>
          <w:tcMar>
            <w:left w:w="567" w:type="dxa"/>
          </w:tcMar>
        </w:tcPr>
        <w:p w:rsidR="007F195C" w:rsidRPr="00196D6B" w:rsidRDefault="007F195C">
          <w:pPr>
            <w:pStyle w:val="Sidhuvud"/>
            <w:ind w:right="360"/>
          </w:pPr>
        </w:p>
      </w:tc>
      <w:tc>
        <w:tcPr>
          <w:tcW w:w="1525" w:type="dxa"/>
        </w:tcPr>
        <w:p w:rsidR="007F195C" w:rsidRPr="00196D6B" w:rsidRDefault="007F195C">
          <w:pPr>
            <w:pStyle w:val="Sidhuvud"/>
            <w:ind w:right="360"/>
          </w:pPr>
        </w:p>
      </w:tc>
    </w:tr>
  </w:tbl>
  <w:p w:rsidR="007F195C" w:rsidRPr="00196D6B" w:rsidRDefault="007F195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5C" w:rsidRPr="00196D6B" w:rsidRDefault="00196D6B">
    <w:pPr>
      <w:framePr w:w="2948" w:h="1321" w:hRule="exact" w:wrap="notBeside" w:vAnchor="page" w:hAnchor="page" w:x="1362" w:y="653"/>
    </w:pPr>
    <w:r w:rsidRPr="00196D6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F195C" w:rsidRPr="00196D6B" w:rsidRDefault="007F195C">
    <w:pPr>
      <w:pStyle w:val="RKrubrik"/>
      <w:keepNext w:val="0"/>
      <w:tabs>
        <w:tab w:val="clear" w:pos="1134"/>
        <w:tab w:val="clear" w:pos="2835"/>
      </w:tabs>
      <w:spacing w:before="0" w:after="0" w:line="320" w:lineRule="atLeast"/>
      <w:rPr>
        <w:bCs/>
      </w:rPr>
    </w:pPr>
  </w:p>
  <w:p w:rsidR="007F195C" w:rsidRPr="00196D6B" w:rsidRDefault="007F195C">
    <w:pPr>
      <w:rPr>
        <w:rFonts w:ascii="TradeGothic" w:hAnsi="TradeGothic"/>
        <w:b/>
        <w:bCs/>
        <w:spacing w:val="12"/>
        <w:sz w:val="22"/>
      </w:rPr>
    </w:pPr>
  </w:p>
  <w:p w:rsidR="007F195C" w:rsidRPr="00196D6B" w:rsidRDefault="007F195C">
    <w:pPr>
      <w:pStyle w:val="RKrubrik"/>
      <w:keepNext w:val="0"/>
      <w:tabs>
        <w:tab w:val="clear" w:pos="1134"/>
        <w:tab w:val="clear" w:pos="2835"/>
      </w:tabs>
      <w:spacing w:before="0" w:after="0" w:line="320" w:lineRule="atLeast"/>
      <w:rPr>
        <w:bCs/>
      </w:rPr>
    </w:pPr>
  </w:p>
  <w:p w:rsidR="007F195C" w:rsidRPr="00196D6B" w:rsidRDefault="007F195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5C35"/>
    <w:rsid w:val="00036BC0"/>
    <w:rsid w:val="000D3C4B"/>
    <w:rsid w:val="00100E05"/>
    <w:rsid w:val="00115B7F"/>
    <w:rsid w:val="00150384"/>
    <w:rsid w:val="001805B7"/>
    <w:rsid w:val="001950D5"/>
    <w:rsid w:val="00196D6B"/>
    <w:rsid w:val="001A3B53"/>
    <w:rsid w:val="001A59DD"/>
    <w:rsid w:val="001D4C6E"/>
    <w:rsid w:val="001D63FD"/>
    <w:rsid w:val="00236AE5"/>
    <w:rsid w:val="003C380C"/>
    <w:rsid w:val="00414FA9"/>
    <w:rsid w:val="0041585C"/>
    <w:rsid w:val="00477010"/>
    <w:rsid w:val="004A328D"/>
    <w:rsid w:val="004B475D"/>
    <w:rsid w:val="0055261A"/>
    <w:rsid w:val="005A5A8F"/>
    <w:rsid w:val="006021CA"/>
    <w:rsid w:val="00680534"/>
    <w:rsid w:val="006D1E9A"/>
    <w:rsid w:val="006E4E11"/>
    <w:rsid w:val="007242A3"/>
    <w:rsid w:val="007F195C"/>
    <w:rsid w:val="00855B4A"/>
    <w:rsid w:val="00881090"/>
    <w:rsid w:val="008C0B3F"/>
    <w:rsid w:val="008D0EB3"/>
    <w:rsid w:val="00977D95"/>
    <w:rsid w:val="00995787"/>
    <w:rsid w:val="00A13C34"/>
    <w:rsid w:val="00A85854"/>
    <w:rsid w:val="00B0673E"/>
    <w:rsid w:val="00B73862"/>
    <w:rsid w:val="00BB2F8D"/>
    <w:rsid w:val="00C24409"/>
    <w:rsid w:val="00C87805"/>
    <w:rsid w:val="00CE438C"/>
    <w:rsid w:val="00CF075A"/>
    <w:rsid w:val="00D66F7F"/>
    <w:rsid w:val="00EB31A6"/>
    <w:rsid w:val="00EC25F9"/>
    <w:rsid w:val="00ED5A71"/>
    <w:rsid w:val="00F9198F"/>
    <w:rsid w:val="00FA767D"/>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323520-00D8-4932-B778-5029235F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6021CA"/>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6021CA"/>
    <w:rPr>
      <w:vertAlign w:val="superscript"/>
    </w:rPr>
  </w:style>
  <w:style w:type="paragraph" w:styleId="Fotnotstext">
    <w:name w:val="footnote text"/>
    <w:basedOn w:val="Normal"/>
    <w:semiHidden/>
    <w:rsid w:val="006021CA"/>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5829</Characters>
  <Application>Microsoft Office Word</Application>
  <DocSecurity>4</DocSecurity>
  <Lines>161</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2010-05-18T14:07:00Z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