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20D0" w:rsidRPr="00095522" w:rsidRDefault="008820D0" w:rsidP="008B03FA">
      <w:pPr>
        <w:pStyle w:val="Hemstlrubrik"/>
      </w:pPr>
      <w:r w:rsidRPr="00095522">
        <w:t>Förslag till riksdagsbeslut</w:t>
      </w:r>
    </w:p>
    <w:p w:rsidR="008820D0" w:rsidRPr="00095522" w:rsidRDefault="008820D0" w:rsidP="008820D0">
      <w:pPr>
        <w:pStyle w:val="Hemstlatt"/>
      </w:pPr>
      <w:r w:rsidRPr="00095522">
        <w:t xml:space="preserve">Riksdagen tillkännager för regeringen som sin mening </w:t>
      </w:r>
      <w:r w:rsidR="00246305" w:rsidRPr="00095522">
        <w:t xml:space="preserve">vad i motionen anförs om </w:t>
      </w:r>
      <w:r w:rsidRPr="00095522">
        <w:t>att skapa lagliga förutsättningar att omhänderta unga brott</w:t>
      </w:r>
      <w:r w:rsidRPr="00095522">
        <w:t>s</w:t>
      </w:r>
      <w:r w:rsidRPr="00095522">
        <w:t>lingar</w:t>
      </w:r>
      <w:r w:rsidR="00AB59F5" w:rsidRPr="00095522">
        <w:t>.</w:t>
      </w:r>
      <w:r w:rsidRPr="00095522">
        <w:t xml:space="preserve"> </w:t>
      </w:r>
    </w:p>
    <w:p w:rsidR="008820D0" w:rsidRPr="00095522" w:rsidRDefault="008820D0" w:rsidP="008820D0">
      <w:pPr>
        <w:pStyle w:val="Rubrik1"/>
      </w:pPr>
      <w:r w:rsidRPr="00095522">
        <w:t>Motivering</w:t>
      </w:r>
    </w:p>
    <w:p w:rsidR="008820D0" w:rsidRPr="00095522" w:rsidRDefault="008820D0" w:rsidP="008820D0">
      <w:r w:rsidRPr="00095522">
        <w:t>Ett problem som ökar bland unga idag är gängbildningar med mer eller min</w:t>
      </w:r>
      <w:r w:rsidRPr="00095522">
        <w:t>d</w:t>
      </w:r>
      <w:r w:rsidRPr="00095522">
        <w:t>re grov brottslig inriktning. De stjäl pengar och prylar företrädesvis från jämnåriga och förutom att de begår brott sprider de stor oro och ängslan o</w:t>
      </w:r>
      <w:r w:rsidRPr="00095522">
        <w:t>m</w:t>
      </w:r>
      <w:r w:rsidRPr="00095522">
        <w:t>kring sig. Många offer skräms till att ge ifrån sig ägodelar.</w:t>
      </w:r>
    </w:p>
    <w:p w:rsidR="008820D0" w:rsidRPr="00095522" w:rsidRDefault="008820D0" w:rsidP="008B03FA">
      <w:pPr>
        <w:pStyle w:val="Normaltindrag"/>
      </w:pPr>
      <w:r w:rsidRPr="00095522">
        <w:t>Brott är brott och ska naturligtvis polisanmälas. På många håll fungerar det också så att den som anmäler får stöd och skydd. Avsikten med anmälan är att få slut på brottsligheten.</w:t>
      </w:r>
    </w:p>
    <w:p w:rsidR="008820D0" w:rsidRPr="00095522" w:rsidRDefault="008820D0" w:rsidP="008B03FA">
      <w:pPr>
        <w:pStyle w:val="Normaltindrag"/>
      </w:pPr>
      <w:r w:rsidRPr="00095522">
        <w:t>Vi är övertygade om att det krävs mer än bara ”hårdare tag” för att komma till rätta med den här problematiken. Vi är medvetna om att ansvaret för att ingripa ligger hos polisen och i kommunerna. Men även i de fall där samarb</w:t>
      </w:r>
      <w:r w:rsidRPr="00095522">
        <w:t>e</w:t>
      </w:r>
      <w:r w:rsidRPr="00095522">
        <w:t>tet mellan polis, skola och socialtjänst fungerar bra kan det bli nödvändigt att rent bokstavligen skilja gärningsman och offer åt för att få ett önskat resultat. En erfarenhet som många gjort är att gängledaren spelar en avgörande roll och att mycket ändras med dennes närvaro eller frånvaro.</w:t>
      </w:r>
    </w:p>
    <w:p w:rsidR="008820D0" w:rsidRPr="00095522" w:rsidRDefault="008820D0" w:rsidP="008B03FA">
      <w:pPr>
        <w:pStyle w:val="Normaltindrag"/>
      </w:pPr>
      <w:r w:rsidRPr="00095522">
        <w:t xml:space="preserve">Vi menar att det måste vara möjligt för samhället </w:t>
      </w:r>
      <w:r w:rsidR="008B03FA" w:rsidRPr="00095522">
        <w:t xml:space="preserve">att </w:t>
      </w:r>
      <w:r w:rsidRPr="00095522">
        <w:t>handla och ingripa så att det inte regelmässigt är offret som måste flytta, gömma sig eller vara rädd för nya brott. Om det är polisen eller socialtjänsten som behöver utökade bef</w:t>
      </w:r>
      <w:r w:rsidRPr="00095522">
        <w:t>o</w:t>
      </w:r>
      <w:r w:rsidRPr="00095522">
        <w:t>genheter kan säkert variera från fall till fall. Redan gjorda erfarenheter kan, om de samlas in, säkert utgöra underlag för en samlad handlingsplan som tar fasta på både delarna och helheten, som kan ta hand om både offer och gä</w:t>
      </w:r>
      <w:r w:rsidRPr="00095522">
        <w:t>r</w:t>
      </w:r>
      <w:r w:rsidRPr="00095522">
        <w:t>ningsmän. Vi anser att det är bråttom.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B03FA" w:rsidRPr="00095522">
        <w:tblPrEx>
          <w:tblCellMar>
            <w:top w:w="0" w:type="dxa"/>
            <w:bottom w:w="0" w:type="dxa"/>
          </w:tblCellMar>
        </w:tblPrEx>
        <w:trPr>
          <w:cantSplit/>
        </w:trPr>
        <w:tc>
          <w:tcPr>
            <w:tcW w:w="3046" w:type="dxa"/>
          </w:tcPr>
          <w:p w:rsidR="008B03FA" w:rsidRPr="00095522" w:rsidRDefault="008B03FA" w:rsidP="008B03FA">
            <w:pPr>
              <w:pStyle w:val="UnderskriftDatum"/>
              <w:spacing w:before="0"/>
            </w:pPr>
            <w:r w:rsidRPr="00095522">
              <w:lastRenderedPageBreak/>
              <w:t>Stockholm den 5 oktober 2005</w:t>
            </w:r>
          </w:p>
        </w:tc>
        <w:tc>
          <w:tcPr>
            <w:tcW w:w="3047" w:type="dxa"/>
          </w:tcPr>
          <w:p w:rsidR="008B03FA" w:rsidRPr="00095522" w:rsidRDefault="008B03FA" w:rsidP="008B03FA">
            <w:pPr>
              <w:pStyle w:val="Underskrifter"/>
            </w:pPr>
          </w:p>
        </w:tc>
      </w:tr>
      <w:tr w:rsidR="008B03FA" w:rsidRPr="00095522">
        <w:tblPrEx>
          <w:tblCellMar>
            <w:top w:w="0" w:type="dxa"/>
            <w:bottom w:w="0" w:type="dxa"/>
          </w:tblCellMar>
        </w:tblPrEx>
        <w:trPr>
          <w:cantSplit/>
        </w:trPr>
        <w:tc>
          <w:tcPr>
            <w:tcW w:w="3046" w:type="dxa"/>
          </w:tcPr>
          <w:p w:rsidR="008B03FA" w:rsidRPr="00095522" w:rsidRDefault="008B03FA" w:rsidP="008B03FA">
            <w:pPr>
              <w:pStyle w:val="Underskrifter"/>
            </w:pPr>
            <w:r w:rsidRPr="00095522">
              <w:t>Tone Tingsgård (s)</w:t>
            </w:r>
          </w:p>
        </w:tc>
        <w:tc>
          <w:tcPr>
            <w:tcW w:w="3047" w:type="dxa"/>
          </w:tcPr>
          <w:p w:rsidR="008B03FA" w:rsidRPr="00095522" w:rsidRDefault="008B03FA" w:rsidP="008B03FA">
            <w:pPr>
              <w:pStyle w:val="Underskrifter"/>
            </w:pPr>
            <w:r w:rsidRPr="00095522">
              <w:t>Rezene Tesfazion (s)</w:t>
            </w:r>
          </w:p>
        </w:tc>
      </w:tr>
    </w:tbl>
    <w:p w:rsidR="008820D0" w:rsidRPr="00095522" w:rsidRDefault="008820D0" w:rsidP="008B03FA">
      <w:pPr>
        <w:pStyle w:val="Normaltindrag"/>
      </w:pPr>
    </w:p>
    <w:sectPr w:rsidR="008820D0" w:rsidRPr="00095522" w:rsidSect="008B03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FB4" w:rsidRPr="00095522" w:rsidRDefault="00D83FB4">
      <w:r w:rsidRPr="00095522">
        <w:separator/>
      </w:r>
    </w:p>
  </w:endnote>
  <w:endnote w:type="continuationSeparator" w:id="0">
    <w:p w:rsidR="00D83FB4" w:rsidRPr="00095522" w:rsidRDefault="00D83FB4">
      <w:r w:rsidRPr="000955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E1" w:rsidRPr="00095522" w:rsidRDefault="00095522" w:rsidP="008B03FA">
    <w:pPr>
      <w:pStyle w:val="Sidfot"/>
    </w:pPr>
    <w:r w:rsidRPr="000955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1517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3FA" w:rsidRDefault="008B03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03FA" w:rsidRDefault="008B03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1E2" w:rsidRPr="00095522" w:rsidRDefault="00095522" w:rsidP="008B03FA">
    <w:pPr>
      <w:pStyle w:val="Sidfot"/>
    </w:pPr>
    <w:r w:rsidRPr="000955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08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3FA" w:rsidRDefault="008B03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03FA" w:rsidRDefault="008B03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1E2" w:rsidRPr="00095522" w:rsidRDefault="00095522" w:rsidP="008B03FA">
    <w:pPr>
      <w:pStyle w:val="Sidfot"/>
    </w:pPr>
    <w:r w:rsidRPr="000955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575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3FA" w:rsidRDefault="008B03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03FA" w:rsidRDefault="008B03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FB4" w:rsidRPr="00095522" w:rsidRDefault="00D83FB4">
      <w:r w:rsidRPr="00095522">
        <w:separator/>
      </w:r>
    </w:p>
  </w:footnote>
  <w:footnote w:type="continuationSeparator" w:id="0">
    <w:p w:rsidR="00D83FB4" w:rsidRPr="00095522" w:rsidRDefault="00D83FB4">
      <w:r w:rsidRPr="000955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E1" w:rsidRPr="00095522" w:rsidRDefault="00095522" w:rsidP="008B03FA">
    <w:pPr>
      <w:pStyle w:val="Sidhuvud"/>
    </w:pPr>
    <w:r w:rsidRPr="000955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68361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3FA" w:rsidRDefault="008B03F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03FA" w:rsidRDefault="008B03F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1E2" w:rsidRPr="00095522" w:rsidRDefault="00095522" w:rsidP="008B03FA">
    <w:pPr>
      <w:pStyle w:val="Sidhuvud"/>
    </w:pPr>
    <w:r w:rsidRPr="000955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3414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3FA" w:rsidRDefault="008B03F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03FA" w:rsidRDefault="008B03F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3FA" w:rsidRPr="00095522" w:rsidRDefault="008B03FA">
    <w:pPr>
      <w:pStyle w:val="FSHNormal"/>
      <w:tabs>
        <w:tab w:val="right" w:pos="5840"/>
      </w:tabs>
    </w:pPr>
    <w:r w:rsidRPr="00095522">
      <w:br/>
    </w:r>
    <w:r w:rsidRPr="00095522">
      <w:fldChar w:fldCharType="begin" w:fldLock="1"/>
    </w:r>
    <w:r w:rsidRPr="00095522">
      <w:instrText xml:space="preserve"> DOCPROPERTY</w:instrText>
    </w:r>
    <w:r w:rsidRPr="00095522">
      <w:rPr>
        <w:sz w:val="18"/>
      </w:rPr>
      <w:instrText xml:space="preserve"> "YearUser" *\charformat </w:instrText>
    </w:r>
    <w:r w:rsidRPr="00095522">
      <w:fldChar w:fldCharType="separate"/>
    </w:r>
    <w:r w:rsidRPr="00095522">
      <w:t>2005/06</w:t>
    </w:r>
    <w:r w:rsidRPr="00095522">
      <w:fldChar w:fldCharType="end"/>
    </w:r>
    <w:r w:rsidRPr="00095522">
      <w:t xml:space="preserve"> </w:t>
    </w:r>
    <w:r w:rsidRPr="00095522">
      <w:tab/>
      <w:t xml:space="preserve">mnr: </w:t>
    </w:r>
    <w:r w:rsidRPr="00095522">
      <w:fldChar w:fldCharType="begin" w:fldLock="1"/>
    </w:r>
    <w:r w:rsidRPr="00095522">
      <w:instrText xml:space="preserve"> DOCPROPERTY</w:instrText>
    </w:r>
    <w:r w:rsidRPr="00095522">
      <w:rPr>
        <w:sz w:val="18"/>
      </w:rPr>
      <w:instrText xml:space="preserve"> "Motionsnummer" *\charformat </w:instrText>
    </w:r>
    <w:r w:rsidRPr="00095522">
      <w:fldChar w:fldCharType="separate"/>
    </w:r>
    <w:r w:rsidRPr="00095522">
      <w:t>Ju539</w:t>
    </w:r>
    <w:r w:rsidRPr="00095522">
      <w:fldChar w:fldCharType="end"/>
    </w:r>
    <w:r w:rsidRPr="00095522">
      <w:br/>
    </w:r>
    <w:r w:rsidRPr="00095522">
      <w:fldChar w:fldCharType="begin" w:fldLock="1"/>
    </w:r>
    <w:r w:rsidRPr="00095522">
      <w:instrText xml:space="preserve"> DOCPROPERTY</w:instrText>
    </w:r>
    <w:r w:rsidRPr="00095522">
      <w:rPr>
        <w:sz w:val="18"/>
      </w:rPr>
      <w:instrText xml:space="preserve"> "Samling" *\charformat </w:instrText>
    </w:r>
    <w:r w:rsidRPr="00095522">
      <w:fldChar w:fldCharType="end"/>
    </w:r>
    <w:r w:rsidRPr="00095522">
      <w:tab/>
      <w:t xml:space="preserve">pnr: </w:t>
    </w:r>
    <w:r w:rsidRPr="00095522">
      <w:fldChar w:fldCharType="begin" w:fldLock="1"/>
    </w:r>
    <w:r w:rsidRPr="00095522">
      <w:instrText xml:space="preserve"> DOCPROPERTY</w:instrText>
    </w:r>
    <w:r w:rsidRPr="00095522">
      <w:rPr>
        <w:sz w:val="18"/>
      </w:rPr>
      <w:instrText xml:space="preserve"> "Partinummer" *\charformat </w:instrText>
    </w:r>
    <w:r w:rsidRPr="00095522">
      <w:fldChar w:fldCharType="separate"/>
    </w:r>
    <w:r w:rsidRPr="00095522">
      <w:t>s3112</w:t>
    </w:r>
    <w:r w:rsidRPr="00095522">
      <w:fldChar w:fldCharType="end"/>
    </w:r>
  </w:p>
  <w:p w:rsidR="008B03FA" w:rsidRPr="00095522" w:rsidRDefault="008B03FA">
    <w:pPr>
      <w:pStyle w:val="FSHRub1"/>
    </w:pPr>
    <w:r w:rsidRPr="00095522">
      <w:t>Motion till riksdagen</w:t>
    </w:r>
    <w:r w:rsidRPr="00095522">
      <w:br/>
    </w:r>
    <w:r w:rsidRPr="00095522">
      <w:fldChar w:fldCharType="begin" w:fldLock="1"/>
    </w:r>
    <w:r w:rsidRPr="00095522">
      <w:instrText xml:space="preserve"> DOCPROPERTY "YearUser" *\charformat </w:instrText>
    </w:r>
    <w:r w:rsidRPr="00095522">
      <w:fldChar w:fldCharType="separate"/>
    </w:r>
    <w:r w:rsidRPr="00095522">
      <w:t>2005/06</w:t>
    </w:r>
    <w:r w:rsidRPr="00095522">
      <w:fldChar w:fldCharType="end"/>
    </w:r>
    <w:r w:rsidRPr="00095522">
      <w:t>:</w:t>
    </w:r>
    <w:r w:rsidRPr="00095522">
      <w:fldChar w:fldCharType="begin" w:fldLock="1"/>
    </w:r>
    <w:r w:rsidRPr="00095522">
      <w:instrText xml:space="preserve"> DOCPROPERTY "Motionsnummer" *\charformat </w:instrText>
    </w:r>
    <w:r w:rsidRPr="00095522">
      <w:fldChar w:fldCharType="separate"/>
    </w:r>
    <w:r w:rsidRPr="00095522">
      <w:t>Ju539</w:t>
    </w:r>
    <w:r w:rsidRPr="00095522">
      <w:fldChar w:fldCharType="end"/>
    </w:r>
  </w:p>
  <w:p w:rsidR="008B03FA" w:rsidRPr="00095522" w:rsidRDefault="008B03FA">
    <w:pPr>
      <w:pStyle w:val="FSHNormalS5"/>
    </w:pPr>
    <w:r w:rsidRPr="00095522">
      <w:fldChar w:fldCharType="begin" w:fldLock="1"/>
    </w:r>
    <w:r w:rsidRPr="00095522">
      <w:instrText xml:space="preserve"> DOCPROPERTY "MotionarText" *\charformat </w:instrText>
    </w:r>
    <w:r w:rsidRPr="00095522">
      <w:fldChar w:fldCharType="separate"/>
    </w:r>
    <w:r w:rsidRPr="00095522">
      <w:t>av Tone Tingsgård och Rezene Tesfazion (s)</w:t>
    </w:r>
    <w:r w:rsidRPr="00095522">
      <w:fldChar w:fldCharType="end"/>
    </w:r>
    <w:r w:rsidRPr="00095522">
      <w:br/>
    </w:r>
    <w:r w:rsidRPr="00095522">
      <w:fldChar w:fldCharType="begin" w:fldLock="1"/>
    </w:r>
    <w:r w:rsidRPr="00095522">
      <w:instrText xml:space="preserve"> DOCPROPERTY "SvarFrasKort" *\charformat </w:instrText>
    </w:r>
    <w:r w:rsidRPr="00095522">
      <w:fldChar w:fldCharType="end"/>
    </w:r>
  </w:p>
  <w:p w:rsidR="008B03FA" w:rsidRPr="00095522" w:rsidRDefault="008B03FA">
    <w:pPr>
      <w:pStyle w:val="FSHTitel"/>
    </w:pPr>
    <w:r w:rsidRPr="00095522">
      <w:fldChar w:fldCharType="begin" w:fldLock="1"/>
    </w:r>
    <w:r w:rsidRPr="00095522">
      <w:instrText xml:space="preserve"> DOCPROPERTY</w:instrText>
    </w:r>
    <w:r w:rsidRPr="00095522">
      <w:rPr>
        <w:sz w:val="18"/>
      </w:rPr>
      <w:instrText xml:space="preserve"> "RubrikSvar" *\charformat </w:instrText>
    </w:r>
    <w:r w:rsidRPr="00095522">
      <w:fldChar w:fldCharType="separate"/>
    </w:r>
    <w:r w:rsidRPr="00095522">
      <w:t>Unga brottslingar</w:t>
    </w:r>
    <w:r w:rsidRPr="00095522">
      <w:fldChar w:fldCharType="end"/>
    </w:r>
  </w:p>
  <w:p w:rsidR="008B03FA" w:rsidRPr="00095522" w:rsidRDefault="008B03FA" w:rsidP="008B03F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8048106">
    <w:abstractNumId w:val="13"/>
  </w:num>
  <w:num w:numId="2" w16cid:durableId="184562096">
    <w:abstractNumId w:val="10"/>
  </w:num>
  <w:num w:numId="3" w16cid:durableId="1984385749">
    <w:abstractNumId w:val="11"/>
  </w:num>
  <w:num w:numId="4" w16cid:durableId="2082556559">
    <w:abstractNumId w:val="12"/>
  </w:num>
  <w:num w:numId="5" w16cid:durableId="404030193">
    <w:abstractNumId w:val="8"/>
  </w:num>
  <w:num w:numId="6" w16cid:durableId="57899252">
    <w:abstractNumId w:val="3"/>
  </w:num>
  <w:num w:numId="7" w16cid:durableId="46494163">
    <w:abstractNumId w:val="2"/>
  </w:num>
  <w:num w:numId="8" w16cid:durableId="1805539800">
    <w:abstractNumId w:val="1"/>
  </w:num>
  <w:num w:numId="9" w16cid:durableId="1899633590">
    <w:abstractNumId w:val="0"/>
  </w:num>
  <w:num w:numId="10" w16cid:durableId="1064598851">
    <w:abstractNumId w:val="9"/>
  </w:num>
  <w:num w:numId="11" w16cid:durableId="1197231829">
    <w:abstractNumId w:val="7"/>
  </w:num>
  <w:num w:numId="12" w16cid:durableId="70278796">
    <w:abstractNumId w:val="6"/>
  </w:num>
  <w:num w:numId="13" w16cid:durableId="1619723885">
    <w:abstractNumId w:val="5"/>
  </w:num>
  <w:num w:numId="14" w16cid:durableId="761729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AB59F5"/>
    <w:rsid w:val="0004381F"/>
    <w:rsid w:val="00064BC3"/>
    <w:rsid w:val="00066775"/>
    <w:rsid w:val="00072FB9"/>
    <w:rsid w:val="00095522"/>
    <w:rsid w:val="00100531"/>
    <w:rsid w:val="00201DFB"/>
    <w:rsid w:val="00204A63"/>
    <w:rsid w:val="00212FF1"/>
    <w:rsid w:val="00230193"/>
    <w:rsid w:val="00246305"/>
    <w:rsid w:val="00250255"/>
    <w:rsid w:val="0025068A"/>
    <w:rsid w:val="002818D3"/>
    <w:rsid w:val="002D11A8"/>
    <w:rsid w:val="003753E1"/>
    <w:rsid w:val="00445271"/>
    <w:rsid w:val="004A0504"/>
    <w:rsid w:val="004E38D9"/>
    <w:rsid w:val="005B145B"/>
    <w:rsid w:val="00740D6D"/>
    <w:rsid w:val="0074394E"/>
    <w:rsid w:val="00794149"/>
    <w:rsid w:val="007B67A7"/>
    <w:rsid w:val="007C6092"/>
    <w:rsid w:val="008820D0"/>
    <w:rsid w:val="008B03FA"/>
    <w:rsid w:val="009C7CAB"/>
    <w:rsid w:val="00A053C6"/>
    <w:rsid w:val="00A831E2"/>
    <w:rsid w:val="00AB59F5"/>
    <w:rsid w:val="00AE4670"/>
    <w:rsid w:val="00B13BF0"/>
    <w:rsid w:val="00C1285C"/>
    <w:rsid w:val="00C27B7D"/>
    <w:rsid w:val="00CF7A43"/>
    <w:rsid w:val="00D1174F"/>
    <w:rsid w:val="00D83FB4"/>
    <w:rsid w:val="00DC6C70"/>
    <w:rsid w:val="00E22893"/>
    <w:rsid w:val="00E360DE"/>
    <w:rsid w:val="00E75D28"/>
    <w:rsid w:val="00E84F25"/>
    <w:rsid w:val="00FA3374"/>
    <w:rsid w:val="00FF68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F7C46F-6419-4932-A08E-51A91886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C7CAB"/>
    <w:rPr>
      <w:rFonts w:ascii="Tahoma" w:hAnsi="Tahoma" w:cs="Tahoma"/>
      <w:sz w:val="16"/>
      <w:szCs w:val="16"/>
    </w:rPr>
  </w:style>
  <w:style w:type="paragraph" w:customStyle="1" w:styleId="Hemstlrubrik">
    <w:name w:val="Hemstl_rubrik"/>
    <w:basedOn w:val="Rubrik1"/>
    <w:next w:val="Normal"/>
    <w:rsid w:val="008B03F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288</Words>
  <Characters>1460</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Ju539</vt:lpstr>
    </vt:vector>
  </TitlesOfParts>
  <Company>Riksdagen</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Ju539</dc:title>
  <dc:subject>Ju539</dc:subject>
  <dc:creator>Riksdagen</dc:creator>
  <cp:keywords>Riksdagen</cp:keywords>
  <dc:description/>
  <cp:lastModifiedBy>Lars Brink</cp:lastModifiedBy>
  <cp:revision>2</cp:revision>
  <cp:lastPrinted>2005-11-21T14:29:00Z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Unga brottslingar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brottslingar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Tone Tingsgård och Rezene Tesfazion (s)</vt:lpwstr>
  </property>
  <property fmtid="{D5CDD505-2E9C-101B-9397-08002B2CF9AE}" pid="26" name="MotionarLista">
    <vt:lpwstr>Tingsgård, Tone (s)\Tesfazion, Rezene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Tone Tingsgård (s), Rezene Tesfazion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Ju539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20052006000000000115000031120069</vt:lpwstr>
  </property>
  <property fmtid="{D5CDD505-2E9C-101B-9397-08002B2CF9AE}" pid="47" name="datum">
    <vt:lpwstr>051005</vt:lpwstr>
  </property>
  <property fmtid="{D5CDD505-2E9C-101B-9397-08002B2CF9AE}" pid="48" name="avsändar-e-post">
    <vt:lpwstr>madeleine.mjoberg.quanne@riksdagen.se</vt:lpwstr>
  </property>
  <property fmtid="{D5CDD505-2E9C-101B-9397-08002B2CF9AE}" pid="49" name="id">
    <vt:lpwstr>20052006000000000115000031120069</vt:lpwstr>
  </property>
  <property fmtid="{D5CDD505-2E9C-101B-9397-08002B2CF9AE}" pid="50" name="nummer">
    <vt:lpwstr>539</vt:lpwstr>
  </property>
  <property fmtid="{D5CDD505-2E9C-101B-9397-08002B2CF9AE}" pid="51" name="utskottsbeteckning">
    <vt:lpwstr>Ju</vt:lpwstr>
  </property>
</Properties>
</file>