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60E" w:rsidRPr="000E460E" w:rsidRDefault="000E460E">
      <w:pPr>
        <w:pStyle w:val="Hemstlrubrik"/>
        <w:shd w:val="clear" w:color="000000" w:fill="auto"/>
      </w:pPr>
      <w:r w:rsidRPr="000E460E">
        <w:t>Förslag till riksdagsbeslut</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att Vattenfall ska ha en ledande roll i energiomställningen i Sverige.</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att Vattenfall ska vara en strategisk partner till basindustrin.</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att regeringen ska klarlägga och förtydliga i</w:t>
      </w:r>
      <w:r w:rsidRPr="000E460E">
        <w:t>n</w:t>
      </w:r>
      <w:r w:rsidRPr="000E460E">
        <w:t>nebörden i Vattenfall AB:s uppdrag och därigenom minska utrymmet för olika tolkningar.</w:t>
      </w:r>
    </w:p>
    <w:p w:rsidR="000E460E" w:rsidRPr="000E460E" w:rsidRDefault="000E460E">
      <w:pPr>
        <w:pStyle w:val="Hemstlatt"/>
        <w:numPr>
          <w:ilvl w:val="0"/>
          <w:numId w:val="1"/>
        </w:numPr>
        <w:shd w:val="clear" w:color="000000" w:fill="auto"/>
      </w:pPr>
      <w:r w:rsidRPr="000E460E">
        <w:t xml:space="preserve">Riksdagen tillkännager för regeringen som sin mening vad som anförs i motionen om att höja målet för minskad energianvändning i boendet till år 2020. </w:t>
      </w:r>
      <w:r w:rsidRPr="000E460E">
        <w:rPr>
          <w:vertAlign w:val="superscript"/>
        </w:rPr>
        <w:t>1</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vita certifikat.</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drivmedelscertifikat.</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åtgärder för ökad energieffektivis</w:t>
      </w:r>
      <w:r w:rsidRPr="000E460E">
        <w:t>e</w:t>
      </w:r>
      <w:r w:rsidRPr="000E460E">
        <w:t>ring.</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ett branschprogram för vindkraftsind</w:t>
      </w:r>
      <w:r w:rsidRPr="000E460E">
        <w:t>u</w:t>
      </w:r>
      <w:r w:rsidRPr="000E460E">
        <w:t>strin.</w:t>
      </w:r>
    </w:p>
    <w:p w:rsidR="000E460E" w:rsidRPr="000E460E" w:rsidRDefault="000E460E">
      <w:pPr>
        <w:pStyle w:val="Hemstlatt"/>
        <w:numPr>
          <w:ilvl w:val="0"/>
          <w:numId w:val="1"/>
        </w:numPr>
        <w:shd w:val="clear" w:color="000000" w:fill="auto"/>
      </w:pPr>
      <w:r w:rsidRPr="000E460E">
        <w:t xml:space="preserve">Riksdagen begär att regeringen </w:t>
      </w:r>
      <w:r w:rsidRPr="000E460E">
        <w:rPr>
          <w:color w:val="000000"/>
        </w:rPr>
        <w:t>återkommer till riksdagen med förslag till åtgärder för att stärka elöverföringskapaciteten.</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åtgärder för att öka konkurrensen på elmar</w:t>
      </w:r>
      <w:r w:rsidRPr="000E460E">
        <w:t>k</w:t>
      </w:r>
      <w:r w:rsidRPr="000E460E">
        <w:t>naden.</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inrättandet av en elombudsman.</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att utbyggnad av överföringskapacitet ska koncentreras till den nordiska elmarknaden.</w:t>
      </w:r>
    </w:p>
    <w:p w:rsidR="000E460E" w:rsidRPr="000E460E" w:rsidRDefault="000E460E">
      <w:pPr>
        <w:pStyle w:val="Hemstlatt"/>
        <w:numPr>
          <w:ilvl w:val="0"/>
          <w:numId w:val="1"/>
        </w:numPr>
        <w:shd w:val="clear" w:color="000000" w:fill="auto"/>
      </w:pPr>
      <w:r w:rsidRPr="000E460E">
        <w:lastRenderedPageBreak/>
        <w:t>Riksdagen tillkännager för regeringen som sin mening vad som anförs i motionen om att Fjärrvärmenämnden ska pröva fjärrvärmeprisets skälighet.</w:t>
      </w:r>
    </w:p>
    <w:p w:rsidR="000E460E" w:rsidRPr="000E460E" w:rsidRDefault="000E460E">
      <w:pPr>
        <w:pStyle w:val="Hemstlatt"/>
        <w:numPr>
          <w:ilvl w:val="0"/>
          <w:numId w:val="1"/>
        </w:numPr>
        <w:shd w:val="clear" w:color="000000" w:fill="auto"/>
      </w:pPr>
      <w:r w:rsidRPr="000E460E">
        <w:t>Riksdagen tillkännager för regeringen som sin mening vad som anförs i motionen om att tillsätta en utredning i syfte att se över möjligheterna till att skynda på sammankopplingen av olika fjärrvärmesystem.</w:t>
      </w:r>
    </w:p>
    <w:p w:rsidR="000E460E" w:rsidRPr="000E460E" w:rsidRDefault="000E460E">
      <w:pPr>
        <w:pStyle w:val="Hemstlatt"/>
        <w:numPr>
          <w:ilvl w:val="0"/>
          <w:numId w:val="1"/>
        </w:numPr>
        <w:shd w:val="clear" w:color="000000" w:fill="auto"/>
      </w:pPr>
      <w:r w:rsidRPr="000E460E">
        <w:t xml:space="preserve">Riksdagen tillkännager för regeringen som sin mening vad som anförs i motionen om användningen av torv i energisystemet. </w:t>
      </w:r>
    </w:p>
    <w:p w:rsidR="000E460E" w:rsidRPr="000E460E" w:rsidRDefault="000E460E">
      <w:pPr>
        <w:pStyle w:val="Hemstlatt"/>
        <w:numPr>
          <w:ilvl w:val="0"/>
          <w:numId w:val="1"/>
        </w:numPr>
        <w:shd w:val="clear" w:color="000000" w:fill="auto"/>
      </w:pPr>
      <w:r w:rsidRPr="000E460E">
        <w:t>Riksdagen anvisar med följande ändringar i förhållande till regeringens förslag anslagen under utgiftsområde 21 Energi enligt uppställning:</w:t>
      </w:r>
    </w:p>
    <w:tbl>
      <w:tblPr>
        <w:tblW w:w="5953" w:type="dxa"/>
        <w:tblInd w:w="57" w:type="dxa"/>
        <w:tblLayout w:type="fixed"/>
        <w:tblCellMar>
          <w:left w:w="0" w:type="dxa"/>
          <w:right w:w="0" w:type="dxa"/>
        </w:tblCellMar>
        <w:tblLook w:val="0000" w:firstRow="0" w:lastRow="0" w:firstColumn="0" w:lastColumn="0" w:noHBand="0" w:noVBand="0"/>
      </w:tblPr>
      <w:tblGrid>
        <w:gridCol w:w="3889"/>
        <w:gridCol w:w="1033"/>
        <w:gridCol w:w="1031"/>
      </w:tblGrid>
      <w:tr w:rsidR="00000000" w:rsidRPr="000E460E">
        <w:trPr>
          <w:trHeight w:val="20"/>
        </w:trPr>
        <w:tc>
          <w:tcPr>
            <w:tcW w:w="3266" w:type="pct"/>
            <w:tcBorders>
              <w:top w:val="single" w:sz="4" w:space="0" w:color="auto"/>
              <w:bottom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rPr>
                <w:b/>
                <w:bCs/>
                <w:sz w:val="16"/>
              </w:rPr>
            </w:pPr>
            <w:r w:rsidRPr="000E460E">
              <w:rPr>
                <w:b/>
                <w:bCs/>
                <w:sz w:val="16"/>
              </w:rPr>
              <w:t>Anslag</w:t>
            </w:r>
          </w:p>
        </w:tc>
        <w:tc>
          <w:tcPr>
            <w:tcW w:w="868" w:type="pct"/>
            <w:tcBorders>
              <w:top w:val="single" w:sz="4" w:space="0" w:color="auto"/>
              <w:bottom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jc w:val="right"/>
              <w:rPr>
                <w:b/>
                <w:bCs/>
                <w:sz w:val="16"/>
              </w:rPr>
            </w:pPr>
            <w:r w:rsidRPr="000E460E">
              <w:rPr>
                <w:b/>
                <w:bCs/>
                <w:sz w:val="16"/>
              </w:rPr>
              <w:t>Regeringens förslag</w:t>
            </w:r>
          </w:p>
        </w:tc>
        <w:tc>
          <w:tcPr>
            <w:tcW w:w="866" w:type="pct"/>
            <w:tcBorders>
              <w:top w:val="single" w:sz="4" w:space="0" w:color="auto"/>
              <w:bottom w:val="single" w:sz="4" w:space="0" w:color="auto"/>
            </w:tcBorders>
          </w:tcPr>
          <w:p w:rsidR="000E460E" w:rsidRPr="000E460E" w:rsidRDefault="000E460E">
            <w:pPr>
              <w:shd w:val="clear" w:color="000000" w:fill="auto"/>
              <w:spacing w:before="60" w:line="200" w:lineRule="atLeast"/>
              <w:jc w:val="right"/>
              <w:rPr>
                <w:b/>
                <w:bCs/>
                <w:sz w:val="16"/>
              </w:rPr>
            </w:pPr>
            <w:r w:rsidRPr="000E460E">
              <w:rPr>
                <w:b/>
                <w:bCs/>
                <w:sz w:val="16"/>
              </w:rPr>
              <w:t>Anslags</w:t>
            </w:r>
            <w:r w:rsidRPr="000E460E">
              <w:rPr>
                <w:b/>
                <w:bCs/>
                <w:sz w:val="16"/>
              </w:rPr>
              <w:softHyphen/>
              <w:t>förändring</w:t>
            </w:r>
          </w:p>
        </w:tc>
      </w:tr>
      <w:tr w:rsidR="00000000" w:rsidRPr="000E460E">
        <w:trPr>
          <w:trHeight w:val="20"/>
        </w:trPr>
        <w:tc>
          <w:tcPr>
            <w:tcW w:w="3266" w:type="pct"/>
            <w:tcBorders>
              <w:top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rPr>
                <w:color w:val="000000"/>
                <w:sz w:val="16"/>
              </w:rPr>
            </w:pPr>
            <w:r w:rsidRPr="000E460E">
              <w:rPr>
                <w:color w:val="000000"/>
                <w:sz w:val="16"/>
              </w:rPr>
              <w:t xml:space="preserve">Utgiftsområdesram </w:t>
            </w:r>
          </w:p>
        </w:tc>
        <w:tc>
          <w:tcPr>
            <w:tcW w:w="868" w:type="pct"/>
            <w:tcBorders>
              <w:top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p>
        </w:tc>
        <w:tc>
          <w:tcPr>
            <w:tcW w:w="866" w:type="pct"/>
            <w:tcBorders>
              <w:top w:val="single" w:sz="4" w:space="0" w:color="auto"/>
            </w:tcBorders>
          </w:tcPr>
          <w:p w:rsidR="000E460E" w:rsidRPr="000E460E" w:rsidRDefault="000E460E">
            <w:pPr>
              <w:shd w:val="clear" w:color="000000" w:fill="auto"/>
              <w:spacing w:before="60" w:line="200" w:lineRule="atLeast"/>
              <w:jc w:val="right"/>
              <w:rPr>
                <w:color w:val="000000"/>
                <w:sz w:val="16"/>
              </w:rPr>
            </w:pPr>
            <w:r w:rsidRPr="000E460E">
              <w:rPr>
                <w:color w:val="000000"/>
                <w:sz w:val="16"/>
              </w:rPr>
              <w:t>+320</w:t>
            </w:r>
          </w:p>
        </w:tc>
      </w:tr>
      <w:tr w:rsidR="00000000" w:rsidRPr="000E460E">
        <w:trPr>
          <w:trHeight w:val="20"/>
        </w:trPr>
        <w:tc>
          <w:tcPr>
            <w:tcW w:w="3266" w:type="pct"/>
            <w:tcMar>
              <w:top w:w="0" w:type="dxa"/>
              <w:left w:w="57" w:type="dxa"/>
              <w:bottom w:w="0" w:type="dxa"/>
              <w:right w:w="57" w:type="dxa"/>
            </w:tcMar>
            <w:vAlign w:val="bottom"/>
          </w:tcPr>
          <w:p w:rsidR="000E460E" w:rsidRPr="000E460E" w:rsidRDefault="000E460E">
            <w:pPr>
              <w:shd w:val="clear" w:color="000000" w:fill="auto"/>
              <w:spacing w:before="60" w:line="200" w:lineRule="atLeast"/>
              <w:rPr>
                <w:sz w:val="16"/>
              </w:rPr>
            </w:pPr>
            <w:r w:rsidRPr="000E460E">
              <w:rPr>
                <w:sz w:val="16"/>
              </w:rPr>
              <w:t>1:2 Regionala och lokala insatser för energieffektivisering</w:t>
            </w:r>
          </w:p>
        </w:tc>
        <w:tc>
          <w:tcPr>
            <w:tcW w:w="868" w:type="pct"/>
            <w:tcMar>
              <w:top w:w="0" w:type="dxa"/>
              <w:left w:w="57" w:type="dxa"/>
              <w:bottom w:w="0" w:type="dxa"/>
              <w:right w:w="57" w:type="dxa"/>
            </w:tcMar>
            <w:vAlign w:val="bottom"/>
          </w:tcPr>
          <w:p w:rsidR="000E460E" w:rsidRPr="000E460E" w:rsidRDefault="000E460E">
            <w:pPr>
              <w:shd w:val="clear" w:color="000000" w:fill="auto"/>
              <w:spacing w:before="60" w:line="200" w:lineRule="atLeast"/>
              <w:jc w:val="right"/>
              <w:rPr>
                <w:color w:val="000000"/>
                <w:sz w:val="16"/>
              </w:rPr>
            </w:pPr>
          </w:p>
        </w:tc>
        <w:tc>
          <w:tcPr>
            <w:tcW w:w="866" w:type="pct"/>
            <w:vAlign w:val="bottom"/>
          </w:tcPr>
          <w:p w:rsidR="000E460E" w:rsidRPr="000E460E" w:rsidRDefault="000E460E">
            <w:pPr>
              <w:shd w:val="clear" w:color="000000" w:fill="auto"/>
              <w:spacing w:before="60" w:line="200" w:lineRule="atLeast"/>
              <w:jc w:val="right"/>
              <w:rPr>
                <w:color w:val="000000"/>
                <w:sz w:val="16"/>
              </w:rPr>
            </w:pPr>
            <w:r w:rsidRPr="000E460E">
              <w:rPr>
                <w:color w:val="000000"/>
                <w:sz w:val="16"/>
              </w:rPr>
              <w:t>+100</w:t>
            </w:r>
          </w:p>
        </w:tc>
      </w:tr>
      <w:tr w:rsidR="00000000" w:rsidRPr="000E460E">
        <w:trPr>
          <w:trHeight w:val="20"/>
        </w:trPr>
        <w:tc>
          <w:tcPr>
            <w:tcW w:w="3266" w:type="pct"/>
            <w:tcMar>
              <w:top w:w="0" w:type="dxa"/>
              <w:left w:w="57" w:type="dxa"/>
              <w:bottom w:w="0" w:type="dxa"/>
              <w:right w:w="57" w:type="dxa"/>
            </w:tcMar>
          </w:tcPr>
          <w:p w:rsidR="000E460E" w:rsidRPr="000E460E" w:rsidRDefault="000E460E">
            <w:pPr>
              <w:shd w:val="clear" w:color="000000" w:fill="auto"/>
              <w:spacing w:before="60" w:line="200" w:lineRule="atLeast"/>
              <w:rPr>
                <w:sz w:val="16"/>
              </w:rPr>
            </w:pPr>
            <w:r w:rsidRPr="000E460E">
              <w:rPr>
                <w:sz w:val="16"/>
              </w:rPr>
              <w:t>1:3 Insatser för uthållig energianvändning</w:t>
            </w:r>
          </w:p>
        </w:tc>
        <w:tc>
          <w:tcPr>
            <w:tcW w:w="868" w:type="pct"/>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p>
        </w:tc>
        <w:tc>
          <w:tcPr>
            <w:tcW w:w="866" w:type="pct"/>
          </w:tcPr>
          <w:p w:rsidR="000E460E" w:rsidRPr="000E460E" w:rsidRDefault="000E460E">
            <w:pPr>
              <w:shd w:val="clear" w:color="000000" w:fill="auto"/>
              <w:spacing w:before="60" w:line="200" w:lineRule="atLeast"/>
              <w:jc w:val="right"/>
              <w:rPr>
                <w:color w:val="000000"/>
                <w:sz w:val="16"/>
              </w:rPr>
            </w:pPr>
            <w:r w:rsidRPr="000E460E">
              <w:rPr>
                <w:color w:val="000000"/>
                <w:sz w:val="16"/>
              </w:rPr>
              <w:t>–115</w:t>
            </w:r>
          </w:p>
        </w:tc>
      </w:tr>
      <w:tr w:rsidR="00000000" w:rsidRPr="000E460E">
        <w:trPr>
          <w:trHeight w:val="20"/>
        </w:trPr>
        <w:tc>
          <w:tcPr>
            <w:tcW w:w="3266" w:type="pct"/>
            <w:tcMar>
              <w:top w:w="0" w:type="dxa"/>
              <w:left w:w="57" w:type="dxa"/>
              <w:bottom w:w="0" w:type="dxa"/>
              <w:right w:w="57" w:type="dxa"/>
            </w:tcMar>
          </w:tcPr>
          <w:p w:rsidR="000E460E" w:rsidRPr="000E460E" w:rsidRDefault="000E460E">
            <w:pPr>
              <w:shd w:val="clear" w:color="000000" w:fill="auto"/>
              <w:spacing w:before="60" w:line="200" w:lineRule="atLeast"/>
              <w:rPr>
                <w:color w:val="000000"/>
                <w:sz w:val="16"/>
              </w:rPr>
            </w:pPr>
            <w:r w:rsidRPr="000E460E">
              <w:rPr>
                <w:sz w:val="16"/>
              </w:rPr>
              <w:t>1:5 Energiforskning</w:t>
            </w:r>
          </w:p>
        </w:tc>
        <w:tc>
          <w:tcPr>
            <w:tcW w:w="868" w:type="pct"/>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r w:rsidRPr="000E460E">
              <w:rPr>
                <w:color w:val="000000"/>
                <w:sz w:val="16"/>
              </w:rPr>
              <w:t>255</w:t>
            </w:r>
          </w:p>
        </w:tc>
        <w:tc>
          <w:tcPr>
            <w:tcW w:w="866" w:type="pct"/>
          </w:tcPr>
          <w:p w:rsidR="000E460E" w:rsidRPr="000E460E" w:rsidRDefault="000E460E">
            <w:pPr>
              <w:shd w:val="clear" w:color="000000" w:fill="auto"/>
              <w:spacing w:before="60" w:line="200" w:lineRule="atLeast"/>
              <w:jc w:val="right"/>
              <w:rPr>
                <w:color w:val="000000"/>
                <w:sz w:val="16"/>
              </w:rPr>
            </w:pPr>
            <w:r w:rsidRPr="000E460E">
              <w:rPr>
                <w:color w:val="000000"/>
                <w:sz w:val="16"/>
              </w:rPr>
              <w:t>+200</w:t>
            </w:r>
          </w:p>
        </w:tc>
      </w:tr>
      <w:tr w:rsidR="00000000" w:rsidRPr="000E460E">
        <w:trPr>
          <w:trHeight w:val="20"/>
        </w:trPr>
        <w:tc>
          <w:tcPr>
            <w:tcW w:w="3266" w:type="pct"/>
            <w:tcMar>
              <w:top w:w="0" w:type="dxa"/>
              <w:left w:w="57" w:type="dxa"/>
              <w:bottom w:w="0" w:type="dxa"/>
              <w:right w:w="57" w:type="dxa"/>
            </w:tcMar>
          </w:tcPr>
          <w:p w:rsidR="000E460E" w:rsidRPr="000E460E" w:rsidRDefault="000E460E">
            <w:pPr>
              <w:shd w:val="clear" w:color="000000" w:fill="auto"/>
              <w:spacing w:before="60" w:line="200" w:lineRule="atLeast"/>
              <w:rPr>
                <w:sz w:val="16"/>
              </w:rPr>
            </w:pPr>
            <w:r w:rsidRPr="000E460E">
              <w:rPr>
                <w:sz w:val="16"/>
              </w:rPr>
              <w:t>1:13 Energiteknik</w:t>
            </w:r>
          </w:p>
        </w:tc>
        <w:tc>
          <w:tcPr>
            <w:tcW w:w="868" w:type="pct"/>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r w:rsidRPr="000E460E">
              <w:rPr>
                <w:color w:val="000000"/>
                <w:sz w:val="16"/>
              </w:rPr>
              <w:t>100</w:t>
            </w:r>
          </w:p>
        </w:tc>
        <w:tc>
          <w:tcPr>
            <w:tcW w:w="866" w:type="pct"/>
          </w:tcPr>
          <w:p w:rsidR="000E460E" w:rsidRPr="000E460E" w:rsidRDefault="000E460E">
            <w:pPr>
              <w:shd w:val="clear" w:color="000000" w:fill="auto"/>
              <w:spacing w:before="60" w:line="200" w:lineRule="atLeast"/>
              <w:jc w:val="right"/>
              <w:rPr>
                <w:color w:val="000000"/>
                <w:sz w:val="16"/>
              </w:rPr>
            </w:pPr>
            <w:r w:rsidRPr="000E460E">
              <w:rPr>
                <w:color w:val="000000"/>
                <w:sz w:val="16"/>
              </w:rPr>
              <w:t>–100</w:t>
            </w:r>
          </w:p>
        </w:tc>
      </w:tr>
      <w:tr w:rsidR="00000000" w:rsidRPr="000E460E">
        <w:trPr>
          <w:trHeight w:val="20"/>
        </w:trPr>
        <w:tc>
          <w:tcPr>
            <w:tcW w:w="3266" w:type="pct"/>
            <w:tcMar>
              <w:top w:w="0" w:type="dxa"/>
              <w:left w:w="57" w:type="dxa"/>
              <w:bottom w:w="0" w:type="dxa"/>
              <w:right w:w="57" w:type="dxa"/>
            </w:tcMar>
          </w:tcPr>
          <w:p w:rsidR="000E460E" w:rsidRPr="000E460E" w:rsidRDefault="000E460E">
            <w:pPr>
              <w:shd w:val="clear" w:color="000000" w:fill="auto"/>
              <w:spacing w:before="60" w:line="200" w:lineRule="atLeast"/>
              <w:rPr>
                <w:color w:val="000000"/>
                <w:sz w:val="16"/>
              </w:rPr>
            </w:pPr>
            <w:r w:rsidRPr="000E460E">
              <w:rPr>
                <w:sz w:val="16"/>
              </w:rPr>
              <w:t>(Nytt anslag) Fasa ut olja och kol i industrin</w:t>
            </w:r>
            <w:r w:rsidRPr="000E460E">
              <w:rPr>
                <w:color w:val="000000"/>
                <w:sz w:val="16"/>
              </w:rPr>
              <w:t xml:space="preserve"> </w:t>
            </w:r>
          </w:p>
        </w:tc>
        <w:tc>
          <w:tcPr>
            <w:tcW w:w="868" w:type="pct"/>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p>
        </w:tc>
        <w:tc>
          <w:tcPr>
            <w:tcW w:w="866" w:type="pct"/>
          </w:tcPr>
          <w:p w:rsidR="000E460E" w:rsidRPr="000E460E" w:rsidRDefault="000E460E">
            <w:pPr>
              <w:shd w:val="clear" w:color="000000" w:fill="auto"/>
              <w:spacing w:before="60" w:line="200" w:lineRule="atLeast"/>
              <w:jc w:val="right"/>
              <w:rPr>
                <w:color w:val="000000"/>
                <w:sz w:val="16"/>
              </w:rPr>
            </w:pPr>
            <w:r w:rsidRPr="000E460E">
              <w:rPr>
                <w:color w:val="000000"/>
                <w:sz w:val="16"/>
              </w:rPr>
              <w:t>+100</w:t>
            </w:r>
          </w:p>
        </w:tc>
      </w:tr>
      <w:tr w:rsidR="00000000" w:rsidRPr="000E460E">
        <w:trPr>
          <w:trHeight w:val="20"/>
        </w:trPr>
        <w:tc>
          <w:tcPr>
            <w:tcW w:w="3266" w:type="pct"/>
            <w:tcBorders>
              <w:bottom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rPr>
                <w:sz w:val="16"/>
              </w:rPr>
            </w:pPr>
            <w:r w:rsidRPr="000E460E">
              <w:rPr>
                <w:sz w:val="16"/>
              </w:rPr>
              <w:t>(Nytt anslag) Testmarknader för ny energiteknik</w:t>
            </w:r>
          </w:p>
        </w:tc>
        <w:tc>
          <w:tcPr>
            <w:tcW w:w="868" w:type="pct"/>
            <w:tcBorders>
              <w:bottom w:val="single" w:sz="4" w:space="0" w:color="auto"/>
            </w:tcBorders>
            <w:tcMar>
              <w:top w:w="0" w:type="dxa"/>
              <w:left w:w="57" w:type="dxa"/>
              <w:bottom w:w="0" w:type="dxa"/>
              <w:right w:w="57" w:type="dxa"/>
            </w:tcMar>
          </w:tcPr>
          <w:p w:rsidR="000E460E" w:rsidRPr="000E460E" w:rsidRDefault="000E460E">
            <w:pPr>
              <w:shd w:val="clear" w:color="000000" w:fill="auto"/>
              <w:spacing w:before="60" w:line="200" w:lineRule="atLeast"/>
              <w:jc w:val="right"/>
              <w:rPr>
                <w:color w:val="000000"/>
                <w:sz w:val="16"/>
              </w:rPr>
            </w:pPr>
          </w:p>
        </w:tc>
        <w:tc>
          <w:tcPr>
            <w:tcW w:w="866" w:type="pct"/>
            <w:tcBorders>
              <w:bottom w:val="single" w:sz="4" w:space="0" w:color="auto"/>
            </w:tcBorders>
          </w:tcPr>
          <w:p w:rsidR="000E460E" w:rsidRPr="000E460E" w:rsidRDefault="000E460E">
            <w:pPr>
              <w:shd w:val="clear" w:color="000000" w:fill="auto"/>
              <w:spacing w:before="60" w:line="200" w:lineRule="atLeast"/>
              <w:jc w:val="right"/>
              <w:rPr>
                <w:color w:val="000000"/>
                <w:sz w:val="16"/>
              </w:rPr>
            </w:pPr>
            <w:r w:rsidRPr="000E460E">
              <w:rPr>
                <w:color w:val="000000"/>
                <w:sz w:val="16"/>
              </w:rPr>
              <w:t>+135</w:t>
            </w:r>
          </w:p>
        </w:tc>
      </w:tr>
    </w:tbl>
    <w:p w:rsidR="000E460E" w:rsidRPr="000E460E" w:rsidRDefault="000E460E">
      <w:pPr>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pStyle w:val="Normaltindrag"/>
        <w:shd w:val="clear" w:color="000000" w:fill="auto"/>
      </w:pPr>
    </w:p>
    <w:p w:rsidR="000E460E" w:rsidRPr="000E460E" w:rsidRDefault="000E460E">
      <w:pPr>
        <w:shd w:val="clear" w:color="000000" w:fill="auto"/>
      </w:pPr>
      <w:r w:rsidRPr="000E460E">
        <w:rPr>
          <w:vertAlign w:val="superscript"/>
        </w:rPr>
        <w:t>1</w:t>
      </w:r>
      <w:r w:rsidRPr="000E460E">
        <w:t xml:space="preserve"> Yrkande 4 hänvisat till CU.</w:t>
      </w:r>
    </w:p>
    <w:p w:rsidR="000E460E" w:rsidRPr="000E460E" w:rsidRDefault="000E460E">
      <w:pPr>
        <w:pStyle w:val="Rubrik1"/>
        <w:pageBreakBefore/>
        <w:shd w:val="clear" w:color="000000" w:fill="auto"/>
        <w:spacing w:before="0"/>
      </w:pPr>
      <w:r w:rsidRPr="000E460E">
        <w:t>Motivering</w:t>
      </w:r>
    </w:p>
    <w:p w:rsidR="000E460E" w:rsidRPr="000E460E" w:rsidRDefault="000E460E">
      <w:pPr>
        <w:shd w:val="clear" w:color="000000" w:fill="auto"/>
      </w:pPr>
      <w:r w:rsidRPr="000E460E">
        <w:t>Jordens klimat har under årmiljonerna alltid växlat, genom naturens egen dynamik. Det dramatiskt nya för vår tid är att mänskligheten påverkar dessa storskaliga skeenden. Den globala medeltemperaturen har höjts med cirka 0,8 grader Celsius mellan år 1900 och år 2006 och den stiger nu med knappt 0,2 grader per årtionde. Orsaken till klimatkrisen är framförallt människans u</w:t>
      </w:r>
      <w:r w:rsidRPr="000E460E">
        <w:t>t</w:t>
      </w:r>
      <w:r w:rsidRPr="000E460E">
        <w:t xml:space="preserve">släpp av växthusgaser, men också skövling av skog och förändringar av markanvändning. </w:t>
      </w:r>
    </w:p>
    <w:p w:rsidR="000E460E" w:rsidRPr="000E460E" w:rsidRDefault="000E460E">
      <w:pPr>
        <w:pStyle w:val="Normaltindrag"/>
        <w:shd w:val="clear" w:color="000000" w:fill="auto"/>
      </w:pPr>
      <w:r w:rsidRPr="000E460E">
        <w:t>Klimatfrågan är vår tids ödesfråga. Om temperaturen fortsätter att stiga i samma takt som nu kommer det att leda till allvarliga konsekvenser för livet på jorden. Smältande glaciärer, stigande havsvattennivåer och ökad torka, regn eller blåst hotar många av världens ekosystem. Djur- och växtarter risk</w:t>
      </w:r>
      <w:r w:rsidRPr="000E460E">
        <w:t>e</w:t>
      </w:r>
      <w:r w:rsidRPr="000E460E">
        <w:t xml:space="preserve">rar att dö ut och människors möjligheter till försörjning riskerar att försvinna. </w:t>
      </w:r>
      <w:r w:rsidRPr="000E460E">
        <w:rPr>
          <w:spacing w:val="-2"/>
        </w:rPr>
        <w:t xml:space="preserve">Redan nu minskar skördarna på många håll i redan fattiga och utsatta regioner. </w:t>
      </w:r>
    </w:p>
    <w:p w:rsidR="000E460E" w:rsidRPr="000E460E" w:rsidRDefault="000E460E">
      <w:pPr>
        <w:pStyle w:val="Normaltindrag"/>
        <w:shd w:val="clear" w:color="000000" w:fill="auto"/>
      </w:pPr>
      <w:r w:rsidRPr="000E460E">
        <w:t>Forskare har visat att världen – för att undvika att klimatförändringarna skenar iväg – måste hejda den globala medeltemperaturökningen till max</w:t>
      </w:r>
      <w:r w:rsidRPr="000E460E">
        <w:t>i</w:t>
      </w:r>
      <w:r w:rsidRPr="000E460E">
        <w:t xml:space="preserve">malt två grader i förhållande till förindustriell nivå. FN:s klimatpanel IPCC visar att om det målet ska nås så måste de globala utsläppen börja minska senast år 2015. Till 2050 måste de globala utsläppen halveras. Vi behöver agera nu. </w:t>
      </w:r>
    </w:p>
    <w:p w:rsidR="000E460E" w:rsidRPr="000E460E" w:rsidRDefault="000E460E">
      <w:pPr>
        <w:pStyle w:val="Normaltindrag"/>
        <w:shd w:val="clear" w:color="000000" w:fill="auto"/>
      </w:pPr>
      <w:r w:rsidRPr="000E460E">
        <w:t>Flera studier, däribland den internationellt erkända Sternrapporten, har dessutom visat på de ekonomiska vinsterna av att inte vänta. Det blir betydligt mer kostsamt i längden om vi skjuter upp de nödvändiga åtgärderna.</w:t>
      </w:r>
    </w:p>
    <w:p w:rsidR="000E460E" w:rsidRPr="000E460E" w:rsidRDefault="000E460E">
      <w:pPr>
        <w:pStyle w:val="Normaltindrag"/>
        <w:shd w:val="clear" w:color="000000" w:fill="auto"/>
      </w:pPr>
      <w:r w:rsidRPr="000E460E">
        <w:t>Vi socialdemokrater vill bygga ett ekonomiskt, socialt och ekologiskt hål</w:t>
      </w:r>
      <w:r w:rsidRPr="000E460E">
        <w:t>l</w:t>
      </w:r>
      <w:r w:rsidRPr="000E460E">
        <w:t>bart samhälle, där människors livskvalitet kan öka utan att det skadar vår gemensamma miljö. Vi vill stimulera en dynamisk tillväxt som samtidigt är hållbar. Dagens tillväxt ska inte ske på bekostnad av framtida generationers möjligheter att leva ett gott liv. Välfärd och möjligheter ska komma alla till del. Det kräver solidaritet mellan människor och mellan generationer.</w:t>
      </w:r>
    </w:p>
    <w:p w:rsidR="000E460E" w:rsidRPr="000E460E" w:rsidRDefault="000E460E">
      <w:pPr>
        <w:pStyle w:val="Normaltindrag"/>
        <w:shd w:val="clear" w:color="000000" w:fill="auto"/>
      </w:pPr>
      <w:r w:rsidRPr="000E460E">
        <w:t xml:space="preserve">Solidariteten måste också vara global. Det är de rika länderna som står för den absoluta merparten av utsläppen av växthusgaser och det </w:t>
      </w:r>
      <w:r w:rsidRPr="000E460E">
        <w:t xml:space="preserve">är de fattiga länderna som drabbas hårdast av klimatförändringarna. </w:t>
      </w:r>
    </w:p>
    <w:p w:rsidR="000E460E" w:rsidRPr="000E460E" w:rsidRDefault="000E460E">
      <w:pPr>
        <w:pStyle w:val="Normaltindrag"/>
        <w:shd w:val="clear" w:color="000000" w:fill="auto"/>
      </w:pPr>
      <w:r w:rsidRPr="000E460E">
        <w:t>I genomsnitt släppte länderna i den industrialiserade världen år 2004 ut växthusgaser motsvarande cirka 16 ton koldioxid per person och år; siffran för utvecklingsländerna var cirka fyra ton, alltså fyra gånger lägre. Om hela världen hade den resursförbrukning som vi har i Sverige skulle det behövas 3,4 jordklot för att försörja jordens befolkning. Om resursförbrukningen i stället låg på den amerikanska nivån skulle det krävas fem jordklot</w:t>
      </w:r>
      <w:r w:rsidRPr="000E460E">
        <w:t>. Det är alltså uppenbart att de rika länderna måste ta det största ansvaret för att min</w:t>
      </w:r>
      <w:r w:rsidRPr="000E460E">
        <w:t>s</w:t>
      </w:r>
      <w:r w:rsidRPr="000E460E">
        <w:t xml:space="preserve">ka klimatutsläppen.  </w:t>
      </w:r>
    </w:p>
    <w:p w:rsidR="000E460E" w:rsidRPr="000E460E" w:rsidRDefault="000E460E">
      <w:pPr>
        <w:pStyle w:val="Normaltindrag"/>
        <w:shd w:val="clear" w:color="000000" w:fill="auto"/>
      </w:pPr>
      <w:r w:rsidRPr="000E460E">
        <w:t>Omställningen kommer att ställa krav på oss. Den blir inte enkel. Det krävs förändringar i det sätt vi lever och det krävs en tydlig och radikal pol</w:t>
      </w:r>
      <w:r w:rsidRPr="000E460E">
        <w:t>i</w:t>
      </w:r>
      <w:r w:rsidRPr="000E460E">
        <w:t xml:space="preserve">tik. Vi behöver göra av med mindre energi, använda nya miljövänliga och effektiva bränslen och tekniker och återvinna det vi förbrukar. Vi behöver se över hur vi reser, bor och handlar. </w:t>
      </w:r>
    </w:p>
    <w:p w:rsidR="000E460E" w:rsidRPr="000E460E" w:rsidRDefault="000E460E">
      <w:pPr>
        <w:pStyle w:val="Normaltindrag"/>
        <w:shd w:val="clear" w:color="000000" w:fill="auto"/>
      </w:pPr>
      <w:r w:rsidRPr="000E460E">
        <w:t>Förändringarna rymmer samtidigt stora möjligheter. De kan fungera som drivkrafter för en positiv utveckling, inte minst ekonomiskt. Investeringar i ny effektiv miljö- och klimatvänlig teknik stärker företagens konkurrenskraft, skapar nya företag och ökad potential för handel och exportintäkter. Genom att Sverige går före i</w:t>
      </w:r>
      <w:r w:rsidRPr="000E460E">
        <w:t xml:space="preserve"> omställningen kan våra företag bli världsledande i att utveckla den teknik och företagsstyrning som världen efterfrågar i kampen mot klimatförändringarna. Det land som sist genomför de nödvändiga energ</w:t>
      </w:r>
      <w:r w:rsidRPr="000E460E">
        <w:t>i</w:t>
      </w:r>
      <w:r w:rsidRPr="000E460E">
        <w:t>omställningarna är det som förlorar. Det måste köpa sin teknik och erfarenh</w:t>
      </w:r>
      <w:r w:rsidRPr="000E460E">
        <w:t>e</w:t>
      </w:r>
      <w:r w:rsidRPr="000E460E">
        <w:t>ter dyrt från andra.</w:t>
      </w:r>
    </w:p>
    <w:p w:rsidR="000E460E" w:rsidRPr="000E460E" w:rsidRDefault="000E460E">
      <w:pPr>
        <w:pStyle w:val="Normaltindrag"/>
        <w:shd w:val="clear" w:color="000000" w:fill="auto"/>
      </w:pPr>
      <w:r w:rsidRPr="000E460E">
        <w:t>Vi vill klara omställningen genom investeringar. Med ambitiösa klimati</w:t>
      </w:r>
      <w:r w:rsidRPr="000E460E">
        <w:t>n</w:t>
      </w:r>
      <w:r w:rsidRPr="000E460E">
        <w:t>vesteringsprogram jämte kostnadseffektiva ekonomiska styrmedel och tydlig lagstiftning kommer vi inte enbart att klara klimatmålen, vi kommer också att kunna utveckla svenskt näringsliv.</w:t>
      </w:r>
    </w:p>
    <w:p w:rsidR="000E460E" w:rsidRPr="000E460E" w:rsidRDefault="000E460E">
      <w:pPr>
        <w:pStyle w:val="Normaltindrag"/>
        <w:shd w:val="clear" w:color="000000" w:fill="auto"/>
      </w:pPr>
      <w:r w:rsidRPr="000E460E">
        <w:t>För oss är det uppenbart att marknaden ensam inte klarar klimatomstäl</w:t>
      </w:r>
      <w:r w:rsidRPr="000E460E">
        <w:t>l</w:t>
      </w:r>
      <w:r w:rsidRPr="000E460E">
        <w:t xml:space="preserve">ningen. Med rätt styrinstrument kan marknaden utgöra en positiv kraft i att utveckla ny teknik och bygga ett hållbart samhälle. </w:t>
      </w:r>
    </w:p>
    <w:p w:rsidR="000E460E" w:rsidRPr="000E460E" w:rsidRDefault="000E460E">
      <w:pPr>
        <w:pStyle w:val="Normaltindrag"/>
        <w:shd w:val="clear" w:color="000000" w:fill="auto"/>
      </w:pPr>
      <w:r w:rsidRPr="000E460E">
        <w:t>Klimatomställningen rymmer också ett viktigt fördelningspolitiskt pe</w:t>
      </w:r>
      <w:r w:rsidRPr="000E460E">
        <w:t>r</w:t>
      </w:r>
      <w:r w:rsidRPr="000E460E">
        <w:t>spektiv. Det är gruppen med de högsta inkomsterna som står för de största utsläppen per person. För oss socialdemokrater är det viktigt att klimato</w:t>
      </w:r>
      <w:r w:rsidRPr="000E460E">
        <w:t>m</w:t>
      </w:r>
      <w:r w:rsidRPr="000E460E">
        <w:t>ställningen sker efter bärkraft.</w:t>
      </w:r>
    </w:p>
    <w:p w:rsidR="000E460E" w:rsidRPr="000E460E" w:rsidRDefault="000E460E">
      <w:pPr>
        <w:pStyle w:val="Normaltindrag"/>
        <w:shd w:val="clear" w:color="000000" w:fill="auto"/>
      </w:pPr>
      <w:r w:rsidRPr="000E460E">
        <w:t>Den europeiska unionen är ett unikt samarbete där länderna gemensamt kan fatta bindande beslut om klimat och miljö. Vi socialdemokrater vill driva på politiken i EU för att unionen på alla politikområden ska ta ett större kl</w:t>
      </w:r>
      <w:r w:rsidRPr="000E460E">
        <w:t>i</w:t>
      </w:r>
      <w:r w:rsidRPr="000E460E">
        <w:t>matansvar. EU ska gå före i omställningen och vara en drivande kraft i de internationella klimatförhandlingarna.</w:t>
      </w:r>
    </w:p>
    <w:p w:rsidR="000E460E" w:rsidRPr="000E460E" w:rsidRDefault="000E460E">
      <w:pPr>
        <w:pStyle w:val="Rubrik2"/>
        <w:shd w:val="clear" w:color="000000" w:fill="auto"/>
      </w:pPr>
      <w:r w:rsidRPr="000E460E">
        <w:t>Regeringens passivitet hotar energiomställningen</w:t>
      </w:r>
    </w:p>
    <w:p w:rsidR="000E460E" w:rsidRPr="000E460E" w:rsidRDefault="000E460E">
      <w:pPr>
        <w:shd w:val="clear" w:color="000000" w:fill="auto"/>
      </w:pPr>
      <w:r w:rsidRPr="000E460E">
        <w:t>För att värna vårt klimat och säkra vår energiförsörjning vill vi socialdem</w:t>
      </w:r>
      <w:r w:rsidRPr="000E460E">
        <w:t>o</w:t>
      </w:r>
      <w:r w:rsidRPr="000E460E">
        <w:t>krater bryta Sveriges oljeberoende till år 2020. Då ska inte olja behövas för att värma våra hus och ingen bil ska vara ensidigt hänvisad till bensin eller di</w:t>
      </w:r>
      <w:r w:rsidRPr="000E460E">
        <w:t>e</w:t>
      </w:r>
      <w:r w:rsidRPr="000E460E">
        <w:t>sel. Då ska vi kraftigt ha ökat vår förnybara energiproduktion och förbättrat vår förmåga att effektivt använda vår energi. De två största utmaningarna är att generellt öka energieffektiviseringen i samhället och samtidigt bryta olj</w:t>
      </w:r>
      <w:r w:rsidRPr="000E460E">
        <w:t>e</w:t>
      </w:r>
      <w:r w:rsidRPr="000E460E">
        <w:t>beroendet i vägtrafiksektorn, som till 97 procent är oljebaserad. Därför vill vi fortsätta föra en aktiv och framtidsin</w:t>
      </w:r>
      <w:r w:rsidRPr="000E460E">
        <w:t>riktad energi- och klimatpolitik.</w:t>
      </w:r>
    </w:p>
    <w:p w:rsidR="000E460E" w:rsidRPr="000E460E" w:rsidRDefault="000E460E">
      <w:pPr>
        <w:pStyle w:val="Normaltindrag"/>
        <w:shd w:val="clear" w:color="000000" w:fill="auto"/>
      </w:pPr>
      <w:r w:rsidRPr="000E460E">
        <w:t>En fortsatt progressiv energi- och klimatpolitik är också en förutsättning för att Sverige ska behålla sin goda konkurrenskraft. Energianvändningen måste i ännu högre grad bygga på förnybara energikällor och energianvän</w:t>
      </w:r>
      <w:r w:rsidRPr="000E460E">
        <w:t>d</w:t>
      </w:r>
      <w:r w:rsidRPr="000E460E">
        <w:t>ningen effektiviseras ytterligare.</w:t>
      </w:r>
    </w:p>
    <w:p w:rsidR="000E460E" w:rsidRPr="000E460E" w:rsidRDefault="000E460E">
      <w:pPr>
        <w:pStyle w:val="Normaltindrag"/>
        <w:shd w:val="clear" w:color="000000" w:fill="auto"/>
      </w:pPr>
      <w:r w:rsidRPr="000E460E">
        <w:t>Mot den bakgrunden ser vi socialdemokrater med oro på regeringens ovilja till en aktiv energi- och klimatpolitik och nationella åtgärder. Istället för nö</w:t>
      </w:r>
      <w:r w:rsidRPr="000E460E">
        <w:t>d</w:t>
      </w:r>
      <w:r w:rsidRPr="000E460E">
        <w:t>vändiga initiativ avslöjade årets statsbudget ytterligare en klimatbluff från regeringen. Anslag döps om och pengar flyttas mellan olika poster i syfte att få dem att framstå som nysatsningar. Det är oseriöst. Det krävs nya resurser om Sverige ska behålla ledartröjan i energiomställningen. Anslagen till ene</w:t>
      </w:r>
      <w:r w:rsidRPr="000E460E">
        <w:t>r</w:t>
      </w:r>
      <w:r w:rsidRPr="000E460E">
        <w:t xml:space="preserve">gipolitik minskar jämfört med 2008 års nivåer med sammanlagt 797 miljoner kronor de kommande tre åren. Energieffektiviseringen i form av stöd och rådgivning åt hushåll och företag permanentas på en låg </w:t>
      </w:r>
      <w:r w:rsidRPr="000E460E">
        <w:t>nivå, 30 miljoner kronor under vad som gällde 2006. Det nyvaknade intresset för kommersial</w:t>
      </w:r>
      <w:r w:rsidRPr="000E460E">
        <w:t>i</w:t>
      </w:r>
      <w:r w:rsidRPr="000E460E">
        <w:t>seringen av energiteknik motsvaras tyvärr inte heller av ett resurstillskott som skulle kunna kompensera två års passivitet. Sammantaget är det tydligt att regeringen inte förmår att prioritera energipolitiken långsiktigt. Nu krävs istället kraftfulla åtgärder och tydliga besked om riktningen framöver.</w:t>
      </w:r>
    </w:p>
    <w:p w:rsidR="000E460E" w:rsidRPr="000E460E" w:rsidRDefault="000E460E">
      <w:pPr>
        <w:pStyle w:val="Rubrik2"/>
        <w:shd w:val="clear" w:color="000000" w:fill="auto"/>
      </w:pPr>
      <w:r w:rsidRPr="000E460E">
        <w:t>Energipolitik för konkurrenskraft och nya jobb</w:t>
      </w:r>
    </w:p>
    <w:p w:rsidR="000E460E" w:rsidRPr="000E460E" w:rsidRDefault="000E460E">
      <w:pPr>
        <w:shd w:val="clear" w:color="000000" w:fill="auto"/>
        <w:autoSpaceDE w:val="0"/>
        <w:autoSpaceDN w:val="0"/>
        <w:adjustRightInd w:val="0"/>
        <w:rPr>
          <w:i/>
          <w:iCs/>
          <w:color w:val="000000"/>
        </w:rPr>
      </w:pPr>
      <w:r w:rsidRPr="000E460E">
        <w:rPr>
          <w:color w:val="000000"/>
        </w:rPr>
        <w:t>Vår långsiktiga vision är att hela vår energiförsörjning ska baseras på förn</w:t>
      </w:r>
      <w:r w:rsidRPr="000E460E">
        <w:rPr>
          <w:color w:val="000000"/>
        </w:rPr>
        <w:t>y</w:t>
      </w:r>
      <w:r w:rsidRPr="000E460E">
        <w:rPr>
          <w:color w:val="000000"/>
        </w:rPr>
        <w:t>bar energi. För detta krävs långsiktiga styrmedel och en kraftig satsning på energiforskning och investeringar i ny energiteknik. En fortsatt satsning på den förnybara energin är nödvändig och ambitionen för de gröna certifikaten måste utökas för att ge plats för bland annat vindkraftsutbyggnaden. På sikt vill vi också införa ett system med drivmedelscertifikat för att stimulera pr</w:t>
      </w:r>
      <w:r w:rsidRPr="000E460E">
        <w:rPr>
          <w:color w:val="000000"/>
        </w:rPr>
        <w:t>o</w:t>
      </w:r>
      <w:r w:rsidRPr="000E460E">
        <w:rPr>
          <w:color w:val="000000"/>
        </w:rPr>
        <w:t>duktionen av andra generationens förnybara drivmedel</w:t>
      </w:r>
      <w:r w:rsidRPr="000E460E">
        <w:rPr>
          <w:i/>
          <w:iCs/>
          <w:color w:val="000000"/>
        </w:rPr>
        <w:t xml:space="preserve">. </w:t>
      </w:r>
    </w:p>
    <w:p w:rsidR="000E460E" w:rsidRPr="000E460E" w:rsidRDefault="000E460E">
      <w:pPr>
        <w:pStyle w:val="Normaltindrag"/>
        <w:shd w:val="clear" w:color="000000" w:fill="auto"/>
      </w:pPr>
      <w:r w:rsidRPr="000E460E">
        <w:t>Våra förslag innebär en kraftigt accelererad takt i energieffektiviseri</w:t>
      </w:r>
      <w:r w:rsidRPr="000E460E">
        <w:t>ngsa</w:t>
      </w:r>
      <w:r w:rsidRPr="000E460E">
        <w:t>r</w:t>
      </w:r>
      <w:r w:rsidRPr="000E460E">
        <w:t>betet. Det innebär en kraftigt ökad efterfrågan på energitjänster av olika slag. Detta minskar inte bara energiförbrukningen utan skapar också kvalificerade arbetstillfällen.</w:t>
      </w:r>
    </w:p>
    <w:p w:rsidR="000E460E" w:rsidRPr="000E460E" w:rsidRDefault="000E460E">
      <w:pPr>
        <w:pStyle w:val="Normaltindrag"/>
        <w:shd w:val="clear" w:color="000000" w:fill="auto"/>
      </w:pPr>
      <w:r w:rsidRPr="000E460E">
        <w:t>Den moderatstyrda regeringens passivitet är oroande. Den moderatstyrda energikompromissen har lamslagit istället för att ge långsiktighet. En bloc</w:t>
      </w:r>
      <w:r w:rsidRPr="000E460E">
        <w:t>k</w:t>
      </w:r>
      <w:r w:rsidRPr="000E460E">
        <w:t>överskridande överenskommelse är nödvändig och vi har därför bjudit in samtliga riksdagspartier till breda energisamtal.</w:t>
      </w:r>
    </w:p>
    <w:p w:rsidR="000E460E" w:rsidRPr="000E460E" w:rsidRDefault="000E460E">
      <w:pPr>
        <w:pStyle w:val="Normaltindrag"/>
        <w:shd w:val="clear" w:color="000000" w:fill="auto"/>
      </w:pPr>
      <w:r w:rsidRPr="000E460E">
        <w:rPr>
          <w:b/>
          <w:iCs/>
        </w:rPr>
        <w:t>Ökat utrymme för ny förnybar energi i elcertifikatssystemet</w:t>
      </w:r>
      <w:r w:rsidRPr="000E460E">
        <w:rPr>
          <w:b/>
          <w:bCs/>
        </w:rPr>
        <w:t xml:space="preserve">. </w:t>
      </w:r>
      <w:r w:rsidRPr="000E460E">
        <w:t>För att möjliggöra utbyggnaden av förnybar el är det nödvändigt med en successivt höjd ambition i elcertifikatssystemet. En bedömning är att 30 TWh ny förn</w:t>
      </w:r>
      <w:r w:rsidRPr="000E460E">
        <w:t>y</w:t>
      </w:r>
      <w:r w:rsidRPr="000E460E">
        <w:t>bar el kan tillföras energisystemet till 2020 och för att möjliggöra detta skulle kvoterna i certifikatsystemet behöva höjas till cirka 25 procent år 2020.</w:t>
      </w:r>
    </w:p>
    <w:p w:rsidR="000E460E" w:rsidRPr="000E460E" w:rsidRDefault="000E460E">
      <w:pPr>
        <w:pStyle w:val="Normaltindrag"/>
        <w:shd w:val="clear" w:color="000000" w:fill="auto"/>
      </w:pPr>
      <w:r w:rsidRPr="000E460E">
        <w:rPr>
          <w:b/>
          <w:iCs/>
        </w:rPr>
        <w:t>Forsknings- och investeringsprogram</w:t>
      </w:r>
      <w:r w:rsidRPr="000E460E">
        <w:rPr>
          <w:b/>
          <w:bCs/>
        </w:rPr>
        <w:t xml:space="preserve">. </w:t>
      </w:r>
      <w:r w:rsidRPr="000E460E">
        <w:t>Energiforskningen måste öka kraftigt. Avgörande är också att forskningen i större utsträckning kan ko</w:t>
      </w:r>
      <w:r w:rsidRPr="000E460E">
        <w:t>m</w:t>
      </w:r>
      <w:r w:rsidRPr="000E460E">
        <w:t>mersialiseras och resulterar i nya produkter, exportmöjligheter och arbetstil</w:t>
      </w:r>
      <w:r w:rsidRPr="000E460E">
        <w:t>l</w:t>
      </w:r>
      <w:r w:rsidRPr="000E460E">
        <w:t>fällen. Steget mellan pilot- och demonstrationsanläggningar och fullskalig produktion av exempelvis andra generationens biodrivmedel ska därför u</w:t>
      </w:r>
      <w:r w:rsidRPr="000E460E">
        <w:t>n</w:t>
      </w:r>
      <w:r w:rsidRPr="000E460E">
        <w:t>derlättas. Här ska staten ta ett större ansvar. Projekt som kan komma ifråga för statligt riskkapitalengagemang är till exempel vågkraftsprojekt, anläg</w:t>
      </w:r>
      <w:r w:rsidRPr="000E460E">
        <w:t>g</w:t>
      </w:r>
      <w:r w:rsidRPr="000E460E">
        <w:t>ningar för andra generationens f</w:t>
      </w:r>
      <w:r w:rsidRPr="000E460E">
        <w:t>örnybara drivmedel eller utvecklingen av nya solceller, elöverföringsteknik eller alternativ motorutveckling. Vi föreslår genomförande av ett nytt biogasprogram samt ett återinförande av klimati</w:t>
      </w:r>
      <w:r w:rsidRPr="000E460E">
        <w:t>n</w:t>
      </w:r>
      <w:r w:rsidRPr="000E460E">
        <w:t>vesteringsstöden i syfte att dels skynda på klimatomställningen, dels stimulera efterfrågan på ny klimateffektiv teknik.</w:t>
      </w:r>
    </w:p>
    <w:p w:rsidR="000E460E" w:rsidRPr="000E460E" w:rsidRDefault="000E460E">
      <w:pPr>
        <w:pStyle w:val="Normaltindrag"/>
        <w:shd w:val="clear" w:color="000000" w:fill="auto"/>
      </w:pPr>
      <w:r w:rsidRPr="000E460E">
        <w:rPr>
          <w:b/>
          <w:iCs/>
        </w:rPr>
        <w:t>Kommersialiseringen av miljöteknik ska underlättas.</w:t>
      </w:r>
      <w:r w:rsidRPr="000E460E">
        <w:rPr>
          <w:b/>
          <w:bCs/>
        </w:rPr>
        <w:t xml:space="preserve"> </w:t>
      </w:r>
      <w:r w:rsidRPr="000E460E">
        <w:t>Tillgången på riskkapital inom energisektorn måste förbättras. Steget från forskning till färdig produkt underlättas. Affärsutvecklings- och energikompetens ska giftas samman. Ett viktigt komplement är också tillskapandet av teknikdrivande testmarknader för andra generationens biodrivmedel, fordonsteknik för hybr</w:t>
      </w:r>
      <w:r w:rsidRPr="000E460E">
        <w:t>i</w:t>
      </w:r>
      <w:r w:rsidRPr="000E460E">
        <w:t>der samt utprovning av exempelvis laddnings- och tankningsinfrastruktur.</w:t>
      </w:r>
    </w:p>
    <w:p w:rsidR="000E460E" w:rsidRPr="000E460E" w:rsidRDefault="000E460E">
      <w:pPr>
        <w:pStyle w:val="Normaltindrag"/>
        <w:shd w:val="clear" w:color="000000" w:fill="auto"/>
        <w:rPr>
          <w:color w:val="000000"/>
        </w:rPr>
      </w:pPr>
      <w:r w:rsidRPr="000E460E">
        <w:rPr>
          <w:b/>
          <w:iCs/>
          <w:color w:val="000000"/>
        </w:rPr>
        <w:t>Stärk Sveriges export av miljöteknik</w:t>
      </w:r>
      <w:r w:rsidRPr="000E460E">
        <w:rPr>
          <w:b/>
          <w:color w:val="000000"/>
        </w:rPr>
        <w:t>.</w:t>
      </w:r>
      <w:r w:rsidRPr="000E460E">
        <w:rPr>
          <w:color w:val="000000"/>
        </w:rPr>
        <w:t xml:space="preserve"> Det finns en stor potential för ökad svensk miljöteknikexport inom många tillväxtmarknader. Vi vill att staten, i samarbete med företagen inom miljötekniksektorn, ska främja svensk miljöteknikexport. På så sätt kan vi dra fördel av att Sverige går före i klima</w:t>
      </w:r>
      <w:r w:rsidRPr="000E460E">
        <w:rPr>
          <w:color w:val="000000"/>
        </w:rPr>
        <w:t>t</w:t>
      </w:r>
      <w:r w:rsidRPr="000E460E">
        <w:rPr>
          <w:color w:val="000000"/>
        </w:rPr>
        <w:t>omställningen och skapa nya jobb. Satsningarna bör göras inom bioenergi, vattenrening, uppvärmning och avfallshantering – fyra områden där svenska företag redan ligger i framkant. Vi avsätter 15 miljoner kronor till denna sä</w:t>
      </w:r>
      <w:r w:rsidRPr="000E460E">
        <w:rPr>
          <w:color w:val="000000"/>
        </w:rPr>
        <w:t>r</w:t>
      </w:r>
      <w:r w:rsidRPr="000E460E">
        <w:rPr>
          <w:color w:val="000000"/>
        </w:rPr>
        <w:t>skilda exportsatsning.</w:t>
      </w:r>
    </w:p>
    <w:p w:rsidR="000E460E" w:rsidRPr="000E460E" w:rsidRDefault="000E460E">
      <w:pPr>
        <w:pStyle w:val="Normaltindrag"/>
        <w:shd w:val="clear" w:color="000000" w:fill="auto"/>
        <w:rPr>
          <w:color w:val="000000"/>
        </w:rPr>
      </w:pPr>
      <w:r w:rsidRPr="000E460E">
        <w:rPr>
          <w:b/>
          <w:iCs/>
          <w:color w:val="000000"/>
        </w:rPr>
        <w:t>S</w:t>
      </w:r>
      <w:r w:rsidRPr="000E460E">
        <w:rPr>
          <w:b/>
          <w:iCs/>
          <w:color w:val="000000"/>
        </w:rPr>
        <w:t>läpp vindkraften loss!</w:t>
      </w:r>
      <w:r w:rsidRPr="000E460E">
        <w:rPr>
          <w:color w:val="000000"/>
        </w:rPr>
        <w:t xml:space="preserve"> Vi vill genomföra ett branschprogram för vin</w:t>
      </w:r>
      <w:r w:rsidRPr="000E460E">
        <w:rPr>
          <w:color w:val="000000"/>
        </w:rPr>
        <w:t>d</w:t>
      </w:r>
      <w:r w:rsidRPr="000E460E">
        <w:rPr>
          <w:color w:val="000000"/>
        </w:rPr>
        <w:t>kraftsindustrin tillsammans med forskare, näringsliv, myndigheter och fackl</w:t>
      </w:r>
      <w:r w:rsidRPr="000E460E">
        <w:rPr>
          <w:color w:val="000000"/>
        </w:rPr>
        <w:t>i</w:t>
      </w:r>
      <w:r w:rsidRPr="000E460E">
        <w:rPr>
          <w:color w:val="000000"/>
        </w:rPr>
        <w:t>ga företrädare. Målet är en rejäl tempohöjning för vindkraftsutbygganden både på land och till havs. Men det förutsätter också kraftfulla politiska åtgä</w:t>
      </w:r>
      <w:r w:rsidRPr="000E460E">
        <w:rPr>
          <w:color w:val="000000"/>
        </w:rPr>
        <w:t>r</w:t>
      </w:r>
      <w:r w:rsidRPr="000E460E">
        <w:rPr>
          <w:color w:val="000000"/>
        </w:rPr>
        <w:t>der för att undanröja kvarvarande hinder för vindkraftsutbyggnad. Bland annat är en enklare tillståndsprocess för vindkraft en nödvändighet. Vin</w:t>
      </w:r>
      <w:r w:rsidRPr="000E460E">
        <w:rPr>
          <w:color w:val="000000"/>
        </w:rPr>
        <w:t>d</w:t>
      </w:r>
      <w:r w:rsidRPr="000E460E">
        <w:rPr>
          <w:color w:val="000000"/>
        </w:rPr>
        <w:t>kraftsetableringar ska inte samtidigt prövas gentemot både miljöbalken</w:t>
      </w:r>
      <w:r w:rsidRPr="000E460E">
        <w:rPr>
          <w:color w:val="000000"/>
        </w:rPr>
        <w:t xml:space="preserve"> och plan- och bygglagen. Ett första steg att underlätta för investerare och proje</w:t>
      </w:r>
      <w:r w:rsidRPr="000E460E">
        <w:rPr>
          <w:color w:val="000000"/>
        </w:rPr>
        <w:t>k</w:t>
      </w:r>
      <w:r w:rsidRPr="000E460E">
        <w:rPr>
          <w:color w:val="000000"/>
        </w:rPr>
        <w:t>törer kan vara en myndighetsgemensam webbportal. På sikt förutsätter vin</w:t>
      </w:r>
      <w:r w:rsidRPr="000E460E">
        <w:rPr>
          <w:color w:val="000000"/>
        </w:rPr>
        <w:t>d</w:t>
      </w:r>
      <w:r w:rsidRPr="000E460E">
        <w:rPr>
          <w:color w:val="000000"/>
        </w:rPr>
        <w:t>kraftsutbyggnaden också en förstärkt överföringskapacitet. Vi anser därför att regeringen ska återkomma till riksdagen med förslag till åtgärder för att stärka denna.</w:t>
      </w:r>
    </w:p>
    <w:p w:rsidR="000E460E" w:rsidRPr="000E460E" w:rsidRDefault="000E460E">
      <w:pPr>
        <w:pStyle w:val="Rubrik1"/>
        <w:shd w:val="clear" w:color="000000" w:fill="auto"/>
      </w:pPr>
      <w:r w:rsidRPr="000E460E">
        <w:t>Energieffektivisering</w:t>
      </w:r>
    </w:p>
    <w:p w:rsidR="000E460E" w:rsidRPr="000E460E" w:rsidRDefault="000E460E">
      <w:pPr>
        <w:shd w:val="clear" w:color="000000" w:fill="auto"/>
        <w:autoSpaceDE w:val="0"/>
        <w:autoSpaceDN w:val="0"/>
        <w:adjustRightInd w:val="0"/>
        <w:rPr>
          <w:color w:val="000000"/>
        </w:rPr>
      </w:pPr>
      <w:r w:rsidRPr="000E460E">
        <w:rPr>
          <w:color w:val="000000"/>
        </w:rPr>
        <w:t>Fokus på effektivare användning vid sidan av tillförsel på elmarknaden ger bättre miljö, lägre elkostnader och bättre familjeekonomin. Socialdemokr</w:t>
      </w:r>
      <w:r w:rsidRPr="000E460E">
        <w:rPr>
          <w:color w:val="000000"/>
        </w:rPr>
        <w:t>a</w:t>
      </w:r>
      <w:r w:rsidRPr="000E460E">
        <w:rPr>
          <w:color w:val="000000"/>
        </w:rPr>
        <w:t>terna tog i regeringsställning viktiga steg för att stimulera alla samhällssekt</w:t>
      </w:r>
      <w:r w:rsidRPr="000E460E">
        <w:rPr>
          <w:color w:val="000000"/>
        </w:rPr>
        <w:t>o</w:t>
      </w:r>
      <w:r w:rsidRPr="000E460E">
        <w:rPr>
          <w:color w:val="000000"/>
        </w:rPr>
        <w:t>rer att arbeta med lönsam energieffektivisering. Men detta arbete har inte fått någon fortsättning av den moderatstyrda regeringen, tvärtom har insatserna för energieffektivisering minskat och energieffektiviseringen har saktat in. Detta är mycket olyckligt då många åtgärder för energieffektivisering förblir ogenomförda trots att de betalar av sig redan på kort sikt. Till stor del beror detta på okunskap samt att energiförbrukn</w:t>
      </w:r>
      <w:r w:rsidRPr="000E460E">
        <w:rPr>
          <w:color w:val="000000"/>
        </w:rPr>
        <w:t xml:space="preserve">ingen för många ofta är en mindre del av de totala kostnaderna. </w:t>
      </w:r>
    </w:p>
    <w:p w:rsidR="000E460E" w:rsidRPr="000E460E" w:rsidRDefault="000E460E">
      <w:pPr>
        <w:pStyle w:val="Normaltindrag"/>
        <w:shd w:val="clear" w:color="000000" w:fill="auto"/>
      </w:pPr>
      <w:r w:rsidRPr="000E460E">
        <w:rPr>
          <w:b/>
          <w:iCs/>
        </w:rPr>
        <w:t>Klimatbonus för bostäder.</w:t>
      </w:r>
      <w:r w:rsidRPr="000E460E">
        <w:rPr>
          <w:i/>
          <w:iCs/>
        </w:rPr>
        <w:t xml:space="preserve"> </w:t>
      </w:r>
      <w:r w:rsidRPr="000E460E">
        <w:t>En stor del av energianvändningen sker i våra bostäder, och här har också den tekniska energieffektiviseringspotentialen bedömts vara mycket stor. Vi anser därför att såväl Sveriges generella nati</w:t>
      </w:r>
      <w:r w:rsidRPr="000E460E">
        <w:t>o</w:t>
      </w:r>
      <w:r w:rsidRPr="000E460E">
        <w:t>nella mål till 2020 som det mål som gäller energianvändningen i bostäder</w:t>
      </w:r>
      <w:r w:rsidRPr="000E460E">
        <w:rPr>
          <w:b/>
          <w:bCs/>
        </w:rPr>
        <w:t xml:space="preserve"> </w:t>
      </w:r>
      <w:r w:rsidRPr="000E460E">
        <w:t>bör höjas från 20 till 30 procent till år 2020 i förhållande till förbrukningen år 2006.</w:t>
      </w:r>
      <w:r w:rsidRPr="000E460E">
        <w:rPr>
          <w:b/>
          <w:bCs/>
        </w:rPr>
        <w:t xml:space="preserve"> </w:t>
      </w:r>
      <w:r w:rsidRPr="000E460E">
        <w:t>Utan styrmedel och en aktiv politik riskerar en mycket stor del av ene</w:t>
      </w:r>
      <w:r w:rsidRPr="000E460E">
        <w:t>r</w:t>
      </w:r>
      <w:r w:rsidRPr="000E460E">
        <w:t>gieffektiviseringarna dock att inte bli av. Högre krav måste ställas på nyby</w:t>
      </w:r>
      <w:r w:rsidRPr="000E460E">
        <w:t>g</w:t>
      </w:r>
      <w:r w:rsidRPr="000E460E">
        <w:t xml:space="preserve">gen </w:t>
      </w:r>
      <w:r w:rsidRPr="000E460E">
        <w:t>men förbättringar måste också göras i befintliga hus. Den socialdemokr</w:t>
      </w:r>
      <w:r w:rsidRPr="000E460E">
        <w:t>a</w:t>
      </w:r>
      <w:r w:rsidRPr="000E460E">
        <w:t>tiska regeringen införde flera styrmedel för att påskynda den processen. Nu vill vi gå vidare genom att ytterligare stödja investeringar i klimatsmarta lösningar för bostäder. Därför anslår vi 300 miljoner kronor per år i två år för att stödja investeringar i klimatsmarta lösningar för bostäder</w:t>
      </w:r>
      <w:r w:rsidRPr="000E460E">
        <w:rPr>
          <w:sz w:val="20"/>
        </w:rPr>
        <w:t xml:space="preserve"> </w:t>
      </w:r>
      <w:r w:rsidRPr="000E460E">
        <w:t>till ett nytt te</w:t>
      </w:r>
      <w:r w:rsidRPr="000E460E">
        <w:t>k</w:t>
      </w:r>
      <w:r w:rsidRPr="000E460E">
        <w:t>nikneutralt stöd där fastighetsägare ska kunna ansöka om en klimatbonus på 30 procent av investeringskostnaden för. Stödet ska g</w:t>
      </w:r>
      <w:r w:rsidRPr="000E460E">
        <w:t>es utöver redan befintl</w:t>
      </w:r>
      <w:r w:rsidRPr="000E460E">
        <w:t>i</w:t>
      </w:r>
      <w:r w:rsidRPr="000E460E">
        <w:t xml:space="preserve">ga stöd för att ytterligare förstärka incitamenten.  </w:t>
      </w:r>
    </w:p>
    <w:p w:rsidR="000E460E" w:rsidRPr="000E460E" w:rsidRDefault="000E460E">
      <w:pPr>
        <w:pStyle w:val="Normaltindrag"/>
        <w:shd w:val="clear" w:color="000000" w:fill="auto"/>
      </w:pPr>
      <w:r w:rsidRPr="000E460E">
        <w:rPr>
          <w:b/>
          <w:iCs/>
        </w:rPr>
        <w:t>Klimatrådgivning åt hushåll och företag.</w:t>
      </w:r>
      <w:r w:rsidRPr="000E460E">
        <w:t xml:space="preserve"> Vi vill bygga ut energi- och klimatrådgivningen kraftigt. Verksamheten med kommunal energi- och kl</w:t>
      </w:r>
      <w:r w:rsidRPr="000E460E">
        <w:t>i</w:t>
      </w:r>
      <w:r w:rsidRPr="000E460E">
        <w:t>matrådgivning ska utökas. Fler hushåll och företag ska erbjudas hjälp. Fler energirådgivare ska utbildas. Fler utbildningar i energieffektivisering ska anordnas. Offentliga lokaler ska fungera som testmarknader för utprövningen av ny teknik. Nya verktyg och metoder för energieffektivisering ska tas fram. Men stöd och råd ska fler kunna minska sin energiförbrukning och få mer pengar över till annat. Oavsett va</w:t>
      </w:r>
      <w:r w:rsidRPr="000E460E">
        <w:t>r man bor ska man alltid ha tillgång till en kompetent och oberoende rådgivning. Även företag ska omfattas av denna service. Vi vill dessutom kraftsamla stödet till kommersialiseringen av ny energiteknik, teknikupphandling och testmarknader till ett anslag. Detta nya anslag kompletterar och ska samordnas med klimatbonusen, klimatinveste</w:t>
      </w:r>
      <w:r w:rsidRPr="000E460E">
        <w:t>r</w:t>
      </w:r>
      <w:r w:rsidRPr="000E460E">
        <w:t>ingsprogrammen, det nya biogasprogrammet samt de kraftigt ökade resurse</w:t>
      </w:r>
      <w:r w:rsidRPr="000E460E">
        <w:t>r</w:t>
      </w:r>
      <w:r w:rsidRPr="000E460E">
        <w:t xml:space="preserve">na till energiforskning. Vi vill också att den kraftigt utbyggda energi- och </w:t>
      </w:r>
      <w:r w:rsidRPr="000E460E">
        <w:rPr>
          <w:spacing w:val="-2"/>
        </w:rPr>
        <w:t xml:space="preserve">klimatrådgivning som vi </w:t>
      </w:r>
      <w:r w:rsidRPr="000E460E">
        <w:rPr>
          <w:spacing w:val="-2"/>
        </w:rPr>
        <w:t>föreslår särskilt ska främja ny energiteknik. Samma</w:t>
      </w:r>
      <w:r w:rsidRPr="000E460E">
        <w:rPr>
          <w:spacing w:val="-2"/>
        </w:rPr>
        <w:t>n</w:t>
      </w:r>
      <w:r w:rsidRPr="000E460E">
        <w:rPr>
          <w:spacing w:val="-2"/>
        </w:rPr>
        <w:t>taget innebär detta en ökad efterfrågan på ny energiteknik och skapande av viktiga referensmarknader för nya klimatsmarta produkter och svenska företag.</w:t>
      </w:r>
    </w:p>
    <w:p w:rsidR="000E460E" w:rsidRPr="000E460E" w:rsidRDefault="000E460E">
      <w:pPr>
        <w:pStyle w:val="Normaltindrag"/>
        <w:shd w:val="clear" w:color="000000" w:fill="auto"/>
      </w:pPr>
      <w:r w:rsidRPr="000E460E">
        <w:rPr>
          <w:b/>
          <w:iCs/>
        </w:rPr>
        <w:t>Vita certifikat ska införas senast 2012</w:t>
      </w:r>
      <w:r w:rsidRPr="000E460E">
        <w:rPr>
          <w:b/>
          <w:bCs/>
        </w:rPr>
        <w:t>.</w:t>
      </w:r>
      <w:r w:rsidRPr="000E460E">
        <w:t xml:space="preserve"> Vi vill ge elkunderna återbäring på de höga energipriserna och att den som vill investera i klimatsmart up</w:t>
      </w:r>
      <w:r w:rsidRPr="000E460E">
        <w:t>p</w:t>
      </w:r>
      <w:r w:rsidRPr="000E460E">
        <w:t>värmning eller i att minska sin förbrukning ska få stöd med det. Därför vill vi införa vita certifikat. Genom dessa åläggs elleverantörer att effektivisera mo</w:t>
      </w:r>
      <w:r w:rsidRPr="000E460E">
        <w:t>t</w:t>
      </w:r>
      <w:r w:rsidRPr="000E460E">
        <w:t xml:space="preserve">svarande en viss procent av den mängd el de säljer. Företaget kan antingen genomföra åtgärderna själva eller köpa intyg, vita certifikat, av någon annan, till exempel ett bostadsbolag, som har minskat elanvändningen i motsvarande grad. De vita </w:t>
      </w:r>
      <w:r w:rsidRPr="000E460E">
        <w:t>certifikaten ska minska onödig energianvändning och utnyttja den nya energismarta tekniken där möjligheterna finns. Det leder till ett sna</w:t>
      </w:r>
      <w:r w:rsidRPr="000E460E">
        <w:t>b</w:t>
      </w:r>
      <w:r w:rsidRPr="000E460E">
        <w:t xml:space="preserve">bare effektiviseringsarbete. Investeringarna i effektivare och klimatvänligare </w:t>
      </w:r>
      <w:r w:rsidRPr="000E460E">
        <w:rPr>
          <w:spacing w:val="-2"/>
        </w:rPr>
        <w:t>elanvändning kommer att ta fart och hushållens förbrukning kommer därmed att sjunka. Fastighetsbolagen får starka incitament att minska elförbrukningen.</w:t>
      </w:r>
    </w:p>
    <w:p w:rsidR="000E460E" w:rsidRPr="000E460E" w:rsidRDefault="000E460E">
      <w:pPr>
        <w:pStyle w:val="Normaltindrag"/>
        <w:shd w:val="clear" w:color="000000" w:fill="auto"/>
      </w:pPr>
      <w:r w:rsidRPr="000E460E">
        <w:rPr>
          <w:b/>
          <w:iCs/>
        </w:rPr>
        <w:t>Fasa ut kol och olja i industrin.</w:t>
      </w:r>
      <w:r w:rsidRPr="000E460E">
        <w:rPr>
          <w:i/>
          <w:iCs/>
        </w:rPr>
        <w:t xml:space="preserve"> </w:t>
      </w:r>
      <w:r w:rsidRPr="000E460E">
        <w:t>Fortfarande används betydande mängder kol och olja i industriella processer och uppvärmning av industrilokaler. För att stimulera övergången till miljövänligare energikällor vill vi att staten ska inrätta ett nytt investeringsprogram hos Energimyndigheten, ett program för minskad oljeanvändning inom industrin (PFO). Programmet ska utformas enligt samma modell som det framgångsrika programmet energieffektivis</w:t>
      </w:r>
      <w:r w:rsidRPr="000E460E">
        <w:t>e</w:t>
      </w:r>
      <w:r w:rsidRPr="000E460E">
        <w:t xml:space="preserve">ring inom energiintensiv industri (PFE). Genom programmet kan rådgivning och maximalt en tredjedel </w:t>
      </w:r>
      <w:r w:rsidRPr="000E460E">
        <w:t>av företagens investeringskostnader finansieras. Under 2009 kommer vi att avsätta 100 miljoner kronor till PFO.</w:t>
      </w:r>
    </w:p>
    <w:p w:rsidR="000E460E" w:rsidRPr="000E460E" w:rsidRDefault="000E460E">
      <w:pPr>
        <w:pStyle w:val="Rubrik2"/>
        <w:shd w:val="clear" w:color="000000" w:fill="auto"/>
      </w:pPr>
      <w:r w:rsidRPr="000E460E">
        <w:t>En väl fungerande elmarknad med konsumenten i centrum</w:t>
      </w:r>
    </w:p>
    <w:p w:rsidR="000E460E" w:rsidRPr="000E460E" w:rsidRDefault="000E460E">
      <w:pPr>
        <w:shd w:val="clear" w:color="000000" w:fill="auto"/>
      </w:pPr>
      <w:r w:rsidRPr="000E460E">
        <w:t>Hur väl elmarknaden fungerar är en avgörande faktor för energiomställningen – men också för ekonomin i stort, för jobben, konkurrenskraften och ind</w:t>
      </w:r>
      <w:r w:rsidRPr="000E460E">
        <w:t>u</w:t>
      </w:r>
      <w:r w:rsidRPr="000E460E">
        <w:t xml:space="preserve">strin. Tillförsel av ny, förnybar, energi verkar prispressande på sikt. Insatserna för ökad energieffektivisering förbättrar likaså elmarknadens funktion. Den koncentration och konkurrensbrist Sverige upplever på elmarknaden måste brytas. Även elmarknadens aktörer mår väl av tydliga spelregler. </w:t>
      </w:r>
      <w:r w:rsidRPr="000E460E">
        <w:rPr>
          <w:color w:val="000000"/>
        </w:rPr>
        <w:t>Därför är det nu också hög tid för nya initiativ för att komma till rätta med elmarkn</w:t>
      </w:r>
      <w:r w:rsidRPr="000E460E">
        <w:rPr>
          <w:color w:val="000000"/>
        </w:rPr>
        <w:t>a</w:t>
      </w:r>
      <w:r w:rsidRPr="000E460E">
        <w:rPr>
          <w:color w:val="000000"/>
        </w:rPr>
        <w:t>dens brister. Vi vill därför inom ramen för våra energiforskningsanslag inte</w:t>
      </w:r>
      <w:r w:rsidRPr="000E460E">
        <w:rPr>
          <w:color w:val="000000"/>
        </w:rPr>
        <w:t>n</w:t>
      </w:r>
      <w:r w:rsidRPr="000E460E">
        <w:rPr>
          <w:color w:val="000000"/>
        </w:rPr>
        <w:t>sifiera forskningen kring elmarknadens funktionssätt</w:t>
      </w:r>
      <w:r w:rsidRPr="000E460E">
        <w:rPr>
          <w:color w:val="000000"/>
        </w:rPr>
        <w:t xml:space="preserve"> i syfte att föreslå ver</w:t>
      </w:r>
      <w:r w:rsidRPr="000E460E">
        <w:rPr>
          <w:color w:val="000000"/>
        </w:rPr>
        <w:t>k</w:t>
      </w:r>
      <w:r w:rsidRPr="000E460E">
        <w:rPr>
          <w:color w:val="000000"/>
        </w:rPr>
        <w:t>samma åtgärder. Vi vill också inrätta en elkundsombudsman som ett</w:t>
      </w:r>
      <w:r w:rsidRPr="000E460E">
        <w:t xml:space="preserve"> effektivt och oberoende ombud som företräder kunderna med råd och vid tvister. </w:t>
      </w:r>
      <w:r w:rsidRPr="000E460E">
        <w:rPr>
          <w:color w:val="000000"/>
        </w:rPr>
        <w:t>Vi vill också, om nödvändigt via lagstiftning, b</w:t>
      </w:r>
      <w:r w:rsidRPr="000E460E">
        <w:t xml:space="preserve">egränsa elbolagens möjligheter att teckna dyra tillsvidareavtal, förenkla fakturorna och ge kunderna ökat inflytande över sin egen konsumtion. </w:t>
      </w:r>
      <w:r w:rsidRPr="000E460E">
        <w:rPr>
          <w:color w:val="000000"/>
        </w:rPr>
        <w:t>Vi vill begränsa samägandet av kär</w:t>
      </w:r>
      <w:r w:rsidRPr="000E460E">
        <w:rPr>
          <w:color w:val="000000"/>
        </w:rPr>
        <w:t>n</w:t>
      </w:r>
      <w:r w:rsidRPr="000E460E">
        <w:rPr>
          <w:color w:val="000000"/>
        </w:rPr>
        <w:t>kraften och åtgärda konkurrensproblemen inom vattenkraften. Vi vill unde</w:t>
      </w:r>
      <w:r w:rsidRPr="000E460E">
        <w:rPr>
          <w:color w:val="000000"/>
        </w:rPr>
        <w:t>r</w:t>
      </w:r>
      <w:r w:rsidRPr="000E460E">
        <w:rPr>
          <w:color w:val="000000"/>
        </w:rPr>
        <w:t xml:space="preserve">lätta för </w:t>
      </w:r>
      <w:r w:rsidRPr="000E460E">
        <w:t>nya aktörer att komma in på elmar</w:t>
      </w:r>
      <w:r w:rsidRPr="000E460E">
        <w:t>knaden genom en effektiv och tydlig tillståndsprocess och vi vill effektivisera elbörsen genom en uppdelning i två marknader. Vi vill också skärpa övervakningen av elmarknaden genom bättre samarbete över landgränserna och genom bättre dialog mellan ansvar</w:t>
      </w:r>
      <w:r w:rsidRPr="000E460E">
        <w:t>i</w:t>
      </w:r>
      <w:r w:rsidRPr="000E460E">
        <w:t>ga myndigheter. Ytterligare utbyggnad av överföringskapacitet ska koncentr</w:t>
      </w:r>
      <w:r w:rsidRPr="000E460E">
        <w:t>e</w:t>
      </w:r>
      <w:r w:rsidRPr="000E460E">
        <w:t>ras till den nordiska elmarknaden. Sammankoppling med övriga europeiska marknader förutsätter ett elöverskott genom betydande satsningar på förnybar energi samt ytterligare sammanko</w:t>
      </w:r>
      <w:r w:rsidRPr="000E460E">
        <w:t>ppling mellan marknaderna på kontinenten.</w:t>
      </w:r>
    </w:p>
    <w:p w:rsidR="000E460E" w:rsidRPr="000E460E" w:rsidRDefault="000E460E">
      <w:pPr>
        <w:pStyle w:val="Rubrik2"/>
        <w:shd w:val="clear" w:color="000000" w:fill="auto"/>
      </w:pPr>
      <w:r w:rsidRPr="000E460E">
        <w:t>Fungerande fjärrvärmemarknader villkor för fortsatt omställning</w:t>
      </w:r>
    </w:p>
    <w:p w:rsidR="000E460E" w:rsidRPr="000E460E" w:rsidRDefault="000E460E">
      <w:pPr>
        <w:shd w:val="clear" w:color="000000" w:fill="auto"/>
      </w:pPr>
      <w:r w:rsidRPr="000E460E">
        <w:t>Fjärrvärmens utbyggnad inleddes i slutet av 1940-talet i Sverige och har s</w:t>
      </w:r>
      <w:r w:rsidRPr="000E460E">
        <w:t>e</w:t>
      </w:r>
      <w:r w:rsidRPr="000E460E">
        <w:t>dan dess pågått kontinuerligt. Under 2006 distribuerades drygt 47 TWh fjär</w:t>
      </w:r>
      <w:r w:rsidRPr="000E460E">
        <w:t>r</w:t>
      </w:r>
      <w:r w:rsidRPr="000E460E">
        <w:t>värme. Av denna mängd användes ungefär 60 procent för uppvärmning av bostäder, 30 procent för uppvärmning av servicesektorns lokaler och 10 pr</w:t>
      </w:r>
      <w:r w:rsidRPr="000E460E">
        <w:t>o</w:t>
      </w:r>
      <w:r w:rsidRPr="000E460E">
        <w:t>cent för värmebehov inom industrin. Fjärrvärme utgör i dag den dominerande uppvärmningsformen på centralorten i mer än 240 av totalt 290 kommuner i landet. Omkring 48 procent av det totala uppvärmningsbehovet för bostäder och lokaler tillgodoses av fjärrvärme. Den största utbyggnaden av fjärr</w:t>
      </w:r>
      <w:r w:rsidRPr="000E460E">
        <w:t>värme sker i dag i småhusområden. Ännu täcker fjärrvärme bara 9 procent av up</w:t>
      </w:r>
      <w:r w:rsidRPr="000E460E">
        <w:t>p</w:t>
      </w:r>
      <w:r w:rsidRPr="000E460E">
        <w:t>värmningsbehovet i småhus.</w:t>
      </w:r>
    </w:p>
    <w:p w:rsidR="000E460E" w:rsidRPr="000E460E" w:rsidRDefault="000E460E">
      <w:pPr>
        <w:pStyle w:val="Normaltindrag"/>
        <w:shd w:val="clear" w:color="000000" w:fill="auto"/>
      </w:pPr>
      <w:r w:rsidRPr="000E460E">
        <w:t>Det finns en stor potential för ökad elproduktion i fjärrvärmeanläggninga</w:t>
      </w:r>
      <w:r w:rsidRPr="000E460E">
        <w:t>r</w:t>
      </w:r>
      <w:r w:rsidRPr="000E460E">
        <w:t>na. Trots att nära hälften av all uppvärmning kommer från fjärrvärmen prod</w:t>
      </w:r>
      <w:r w:rsidRPr="000E460E">
        <w:t>u</w:t>
      </w:r>
      <w:r w:rsidRPr="000E460E">
        <w:t>ceras endast 6 procent av vår el i kraftvärme. Av de drygt 160 värmeverk som idag framställer fjärrvärme utnyttjar bara vart fjärde möjligheten att samtidigt producera el. Om vi skulle nå upp till den finska nivån skulle vi genom de redan befintliga fjärrvärmenäten, enligt Svensk Fjärrvärme, kunna öka kraf</w:t>
      </w:r>
      <w:r w:rsidRPr="000E460E">
        <w:t>t</w:t>
      </w:r>
      <w:r w:rsidRPr="000E460E">
        <w:t>värmeproduktionen från dagens cirka 7 TWh till drygt 20 TWh.</w:t>
      </w:r>
    </w:p>
    <w:p w:rsidR="000E460E" w:rsidRPr="000E460E" w:rsidRDefault="000E460E">
      <w:pPr>
        <w:pStyle w:val="Normaltindrag"/>
        <w:shd w:val="clear" w:color="000000" w:fill="auto"/>
      </w:pPr>
      <w:r w:rsidRPr="000E460E">
        <w:t>Fjärrvärme har en viktig roll i omställningen av energisystemet. De</w:t>
      </w:r>
      <w:r w:rsidRPr="000E460E">
        <w:t>n u</w:t>
      </w:r>
      <w:r w:rsidRPr="000E460E">
        <w:t>t</w:t>
      </w:r>
      <w:r w:rsidRPr="000E460E">
        <w:t>byggnad som skett av fjärrvärmen har bidragit till ett kraftigt minskat oljeb</w:t>
      </w:r>
      <w:r w:rsidRPr="000E460E">
        <w:t>e</w:t>
      </w:r>
      <w:r w:rsidRPr="000E460E">
        <w:t>roende, ett effektivare energiutnyttjande, en allt högre användning av förn</w:t>
      </w:r>
      <w:r w:rsidRPr="000E460E">
        <w:t>y</w:t>
      </w:r>
      <w:r w:rsidRPr="000E460E">
        <w:t>bara bränslen, en förbättrad tätortsmiljö och minskade utsläpp av klimatp</w:t>
      </w:r>
      <w:r w:rsidRPr="000E460E">
        <w:t>å</w:t>
      </w:r>
      <w:r w:rsidRPr="000E460E">
        <w:t xml:space="preserve">verkande gaser. Genom olika former av energipolitiska omställningsstöd främjas en utbyggnad av fjärrvärme. </w:t>
      </w:r>
    </w:p>
    <w:p w:rsidR="000E460E" w:rsidRPr="000E460E" w:rsidRDefault="000E460E">
      <w:pPr>
        <w:pStyle w:val="Normaltindrag"/>
        <w:shd w:val="clear" w:color="000000" w:fill="auto"/>
      </w:pPr>
      <w:r w:rsidRPr="000E460E">
        <w:t>Fjärrvärmen är en svensk framgångssaga som tack vare en mängd goda exempel i svenska kommuner nu även går på export till länder som bygger upp eller om sina energisystem. P</w:t>
      </w:r>
      <w:r w:rsidRPr="000E460E">
        <w:t xml:space="preserve">otentialen är stor. Även i Sverige fortsätter nu utbyggnaden med allt mer finförgrenade nät och de gröna certifikaten som </w:t>
      </w:r>
      <w:r w:rsidRPr="000E460E">
        <w:rPr>
          <w:spacing w:val="-2"/>
        </w:rPr>
        <w:t>den socialdemokratiska regeringen införde har också stimulerat en kraftig ö</w:t>
      </w:r>
      <w:r w:rsidRPr="000E460E">
        <w:rPr>
          <w:spacing w:val="-2"/>
        </w:rPr>
        <w:t>k</w:t>
      </w:r>
      <w:r w:rsidRPr="000E460E">
        <w:rPr>
          <w:spacing w:val="-2"/>
        </w:rPr>
        <w:t>ning av elproduktionen genom att värmeverk byggts om till kraftvärmeverk som förutom värme också producerar el. Men det finns också orosmoln, varav det faktum att prissättningen sker helt fritt på en monopolmarknad är det mest påtagliga.</w:t>
      </w:r>
    </w:p>
    <w:p w:rsidR="000E460E" w:rsidRPr="000E460E" w:rsidRDefault="000E460E">
      <w:pPr>
        <w:pStyle w:val="Normaltindrag"/>
        <w:shd w:val="clear" w:color="000000" w:fill="auto"/>
      </w:pPr>
      <w:r w:rsidRPr="000E460E">
        <w:t>Eftersom fjärrvärmeföretagen alla har monopol på sin respektive lokala fjärr</w:t>
      </w:r>
      <w:r w:rsidRPr="000E460E">
        <w:t>värmemarknad finns alltid en risk för att prissättningen inte är optimal. Oavsett om prissättningen går rätt till eller inte är själva misstanken om att priset skulle kunna vara eller komma att bli oskäligt tillräckligt för att a</w:t>
      </w:r>
      <w:r w:rsidRPr="000E460E">
        <w:t>v</w:t>
      </w:r>
      <w:r w:rsidRPr="000E460E">
        <w:t>skräcka nya kunder från att investera fast sig hos en monopolleverantör. Kombinationen av monopol med fri prissättning och i vissa fall mycket gen</w:t>
      </w:r>
      <w:r w:rsidRPr="000E460E">
        <w:t>e</w:t>
      </w:r>
      <w:r w:rsidRPr="000E460E">
        <w:t>rösa bonusprogram leder dessutom till att förtroendet för fjärrvärmeföretagen riskerar att försvagas. De senaste årens prisutveckling h</w:t>
      </w:r>
      <w:r w:rsidRPr="000E460E">
        <w:t>ar också varit kraftig, vilket redovisas tydligt i den s.k. Nils Holgersson-undersökningen som b</w:t>
      </w:r>
      <w:r w:rsidRPr="000E460E">
        <w:t>o</w:t>
      </w:r>
      <w:r w:rsidRPr="000E460E">
        <w:t>stadsorganisationerna Sabo, HSB, Fastighetsägarna, Riksbyggen och Hyre</w:t>
      </w:r>
      <w:r w:rsidRPr="000E460E">
        <w:t>s</w:t>
      </w:r>
      <w:r w:rsidRPr="000E460E">
        <w:t>gästföreningen genomfört. Konkurrensverkets rapport om konkurrensen i Sverige 2006 understryker också indikationer på att företagen utnyttjar sin dominerande ställning. Tillsammans riskerar detta att hota den fortsatta u</w:t>
      </w:r>
      <w:r w:rsidRPr="000E460E">
        <w:t>t</w:t>
      </w:r>
      <w:r w:rsidRPr="000E460E">
        <w:t>byggnaden av fjärrvärmen, vilket skulle vara ett allvarligt bakslag för klima</w:t>
      </w:r>
      <w:r w:rsidRPr="000E460E">
        <w:t>t</w:t>
      </w:r>
      <w:r w:rsidRPr="000E460E">
        <w:t>omställningen.</w:t>
      </w:r>
    </w:p>
    <w:p w:rsidR="000E460E" w:rsidRPr="000E460E" w:rsidRDefault="000E460E">
      <w:pPr>
        <w:pStyle w:val="Normaltindrag"/>
        <w:shd w:val="clear" w:color="000000" w:fill="auto"/>
      </w:pPr>
      <w:r w:rsidRPr="000E460E">
        <w:t>Därför vill vi låta Fjärrvärme</w:t>
      </w:r>
      <w:r w:rsidRPr="000E460E">
        <w:t>nämnden pröva också prissättningens skäli</w:t>
      </w:r>
      <w:r w:rsidRPr="000E460E">
        <w:t>g</w:t>
      </w:r>
      <w:r w:rsidRPr="000E460E">
        <w:t>het. Prisprövningen skulle till exempel kunna baseras på av parterna geme</w:t>
      </w:r>
      <w:r w:rsidRPr="000E460E">
        <w:t>n</w:t>
      </w:r>
      <w:r w:rsidRPr="000E460E">
        <w:t>samt fastställda principer samt likt prövningen av elnätsavgifternas skälighet göras i efterhand. Av stor vikt är också att prisprövningen också kopplas till sanktioner. Kriterier för dessa kan utvecklas i samråd med parterna. Fjärrvä</w:t>
      </w:r>
      <w:r w:rsidRPr="000E460E">
        <w:t>r</w:t>
      </w:r>
      <w:r w:rsidRPr="000E460E">
        <w:t>menämndens arbete med prisprövningen bör påbörjas skyndsamt – frånvaron av prisprövning riskerar att försämra förtroendet för fjärrvärmen och därmed förutsättnin</w:t>
      </w:r>
      <w:r w:rsidRPr="000E460E">
        <w:t>garna för angelägen fortsatt utbyggnad. Utvecklingen av Fjär</w:t>
      </w:r>
      <w:r w:rsidRPr="000E460E">
        <w:t>r</w:t>
      </w:r>
      <w:r w:rsidRPr="000E460E">
        <w:t>värmenämndens arbete bör dessutom följas noga av regeringen och inom ett år från fjärrvärmelagens ikraftträdande bör regeringen återkomma till riksd</w:t>
      </w:r>
      <w:r w:rsidRPr="000E460E">
        <w:t>a</w:t>
      </w:r>
      <w:r w:rsidRPr="000E460E">
        <w:t xml:space="preserve">gen med en redogörelse för utvecklingen. </w:t>
      </w:r>
    </w:p>
    <w:p w:rsidR="000E460E" w:rsidRPr="000E460E" w:rsidRDefault="000E460E">
      <w:pPr>
        <w:pStyle w:val="Rubrik2"/>
        <w:shd w:val="clear" w:color="000000" w:fill="auto"/>
      </w:pPr>
      <w:r w:rsidRPr="000E460E">
        <w:t>Vattenfall</w:t>
      </w:r>
    </w:p>
    <w:p w:rsidR="000E460E" w:rsidRPr="000E460E" w:rsidRDefault="000E460E">
      <w:pPr>
        <w:shd w:val="clear" w:color="000000" w:fill="auto"/>
        <w:rPr>
          <w:spacing w:val="-2"/>
        </w:rPr>
      </w:pPr>
      <w:r w:rsidRPr="000E460E">
        <w:rPr>
          <w:spacing w:val="-2"/>
        </w:rPr>
        <w:t>Vattenfall AB är statens största helägda bolag. Koncernen består av flera hundra bolag i bland annat Sverige, Danmark, Tyskland och Polen. Koncernen har cirka 32 000 anställda. År 2007 omsatte koncernen över 140 miljarder kronor.</w:t>
      </w:r>
    </w:p>
    <w:p w:rsidR="000E460E" w:rsidRPr="000E460E" w:rsidRDefault="000E460E">
      <w:pPr>
        <w:pStyle w:val="Normaltindrag"/>
        <w:shd w:val="clear" w:color="000000" w:fill="auto"/>
      </w:pPr>
      <w:r w:rsidRPr="000E460E">
        <w:t>Enligt regeringens ägarpolicy ska bolaget verka under marknadsmässiga villkor, vilket innebär att Vattenfall agerar på en konkurrensutsatt marknad. Samtidigt ställer staten som ägare bland annat krav på avkastningens och utdelningens storlek. Vid bolagsstämman i april 2005 förtydligade den socia</w:t>
      </w:r>
      <w:r w:rsidRPr="000E460E">
        <w:t>l</w:t>
      </w:r>
      <w:r w:rsidRPr="000E460E">
        <w:t>demokratiska regeringen tillsammans med samarbetspartierna Vänsterpartiet och Miljöpartiet Vattenfalls uppdrag genom ett tillägg i bolagsordningen. En bolagsordning är ett aktiebolagsrättsligt bindande styrdokument som en b</w:t>
      </w:r>
      <w:r w:rsidRPr="000E460E">
        <w:t>o</w:t>
      </w:r>
      <w:r w:rsidRPr="000E460E">
        <w:t xml:space="preserve">lagsstyrelse är förpliktad att lyda. Tillägget har följande lydelse: ”Bolaget ska </w:t>
      </w:r>
      <w:r w:rsidRPr="000E460E">
        <w:rPr>
          <w:spacing w:val="-2"/>
        </w:rPr>
        <w:t>inom ramen för kravet på affärsmässighet vara det ledande företaget i omstäl</w:t>
      </w:r>
      <w:r w:rsidRPr="000E460E">
        <w:rPr>
          <w:spacing w:val="-2"/>
        </w:rPr>
        <w:t>l</w:t>
      </w:r>
      <w:r w:rsidRPr="000E460E">
        <w:rPr>
          <w:spacing w:val="-2"/>
        </w:rPr>
        <w:t xml:space="preserve">ningen till en ekologisk och ekonomisk uthållig svensk energiförsörjning ...” </w:t>
      </w:r>
    </w:p>
    <w:p w:rsidR="000E460E" w:rsidRPr="000E460E" w:rsidRDefault="000E460E">
      <w:pPr>
        <w:pStyle w:val="Normaltindrag"/>
        <w:shd w:val="clear" w:color="000000" w:fill="auto"/>
      </w:pPr>
      <w:r w:rsidRPr="000E460E">
        <w:t>Vi vill att Vattenfall ska vara ett verktyg i ene</w:t>
      </w:r>
      <w:r w:rsidRPr="000E460E">
        <w:t>rgiomställningen. Vattenfall kan rätt använt kraftfullt bidra till omställningen av det svenska energisyst</w:t>
      </w:r>
      <w:r w:rsidRPr="000E460E">
        <w:t>e</w:t>
      </w:r>
      <w:r w:rsidRPr="000E460E">
        <w:t>met. Vi anser att de nuvarande ambitionerna för investeringar i förnybar ene</w:t>
      </w:r>
      <w:r w:rsidRPr="000E460E">
        <w:t>r</w:t>
      </w:r>
      <w:r w:rsidRPr="000E460E">
        <w:t>gi bör höjas samt att Vattenfall också tar ett större ansvar för investeringar i ny teknik, i pilot- och demonstrationsanläggningar för förnybara energikällor och i effektivare elöverföring. Vattenfall ska vidare enligt vår mening vara en strategisk partner till basindustrin och kunna erbjuda sina industrikunder konkurrenskraf</w:t>
      </w:r>
      <w:r w:rsidRPr="000E460E">
        <w:t>tiga energipriser. Det är i dag uppenbart att tillägget till b</w:t>
      </w:r>
      <w:r w:rsidRPr="000E460E">
        <w:t>o</w:t>
      </w:r>
      <w:r w:rsidRPr="000E460E">
        <w:t>lagsordningen kan tolkas på flera sätt.</w:t>
      </w:r>
    </w:p>
    <w:p w:rsidR="000E460E" w:rsidRPr="000E460E" w:rsidRDefault="000E460E">
      <w:pPr>
        <w:pStyle w:val="Normaltindrag"/>
        <w:shd w:val="clear" w:color="000000" w:fill="auto"/>
      </w:pPr>
      <w:r w:rsidRPr="000E460E">
        <w:t>Vattenfall tolkar idag, enligt en granskning från Riksrevisionen, begreppet ”ledande” i bolagsordningen som att bolaget ska vara den aktör som produc</w:t>
      </w:r>
      <w:r w:rsidRPr="000E460E">
        <w:t>e</w:t>
      </w:r>
      <w:r w:rsidRPr="000E460E">
        <w:t>rar mest förnybar energi. Vi vill därför här betona vikten av en bredare inn</w:t>
      </w:r>
      <w:r w:rsidRPr="000E460E">
        <w:t>e</w:t>
      </w:r>
      <w:r w:rsidRPr="000E460E">
        <w:t>börd av Vattenfalls uppdrag som gör att bolaget även ska minska sina totala koldioxidutsläpp och ligga i framkanten för forskning och teknikutveckling inom förnybar energi. Bolagsordningen bör därför förtydligas även i detta syfte.</w:t>
      </w:r>
    </w:p>
    <w:p w:rsidR="000E460E" w:rsidRPr="000E460E" w:rsidRDefault="000E460E">
      <w:pPr>
        <w:pStyle w:val="Rubrik2"/>
        <w:shd w:val="clear" w:color="000000" w:fill="auto"/>
      </w:pPr>
      <w:r w:rsidRPr="000E460E">
        <w:t>Torv</w:t>
      </w:r>
    </w:p>
    <w:p w:rsidR="000E460E" w:rsidRPr="000E460E" w:rsidRDefault="000E460E">
      <w:pPr>
        <w:shd w:val="clear" w:color="000000" w:fill="auto"/>
      </w:pPr>
      <w:r w:rsidRPr="000E460E">
        <w:t>Torv är en delvis fossil energikälla, men i Sverige finns redan stora arealer utdikade torvmossar som i dag läcker stora mängder växthusgaser. Dessa utdikade mossar bör kartläggas, och utifrån en bedömning av den totala p</w:t>
      </w:r>
      <w:r w:rsidRPr="000E460E">
        <w:t>å</w:t>
      </w:r>
      <w:r w:rsidRPr="000E460E">
        <w:t>verkan på klimatet användas i vårt energisystem under en övergångstid. Ytte</w:t>
      </w:r>
      <w:r w:rsidRPr="000E460E">
        <w:t>r</w:t>
      </w:r>
      <w:r w:rsidRPr="000E460E">
        <w:t>ligare utdikning har däremot en negativ miljöpåverkan och bör därför inte bli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60E">
        <w:trPr>
          <w:cantSplit/>
        </w:trPr>
        <w:tc>
          <w:tcPr>
            <w:tcW w:w="3046" w:type="dxa"/>
          </w:tcPr>
          <w:p w:rsidR="000E460E" w:rsidRPr="000E460E" w:rsidRDefault="000E460E">
            <w:pPr>
              <w:pStyle w:val="UnderskriftDatum"/>
              <w:shd w:val="clear" w:color="000000" w:fill="auto"/>
              <w:spacing w:before="240"/>
            </w:pPr>
            <w:r w:rsidRPr="000E460E">
              <w:t>Stockholm den 7 oktober 2008</w:t>
            </w:r>
          </w:p>
        </w:tc>
        <w:tc>
          <w:tcPr>
            <w:tcW w:w="3047" w:type="dxa"/>
          </w:tcPr>
          <w:p w:rsidR="000E460E" w:rsidRPr="000E460E" w:rsidRDefault="000E460E">
            <w:pPr>
              <w:pStyle w:val="Underskrifter"/>
              <w:shd w:val="clear" w:color="000000" w:fill="auto"/>
              <w:spacing w:before="240"/>
            </w:pPr>
          </w:p>
        </w:tc>
      </w:tr>
      <w:tr w:rsidR="00000000" w:rsidRPr="000E460E">
        <w:trPr>
          <w:cantSplit/>
        </w:trPr>
        <w:tc>
          <w:tcPr>
            <w:tcW w:w="3046" w:type="dxa"/>
          </w:tcPr>
          <w:p w:rsidR="000E460E" w:rsidRPr="000E460E" w:rsidRDefault="000E460E">
            <w:pPr>
              <w:pStyle w:val="Underskrifter"/>
              <w:shd w:val="clear" w:color="000000" w:fill="auto"/>
            </w:pPr>
            <w:r w:rsidRPr="000E460E">
              <w:t>Tomas Eneroth (s)</w:t>
            </w:r>
          </w:p>
        </w:tc>
        <w:tc>
          <w:tcPr>
            <w:tcW w:w="3046" w:type="dxa"/>
          </w:tcPr>
          <w:p w:rsidR="000E460E" w:rsidRPr="000E460E" w:rsidRDefault="000E460E">
            <w:pPr>
              <w:pStyle w:val="Underskrifter"/>
              <w:shd w:val="clear" w:color="000000" w:fill="auto"/>
            </w:pPr>
          </w:p>
        </w:tc>
      </w:tr>
      <w:tr w:rsidR="00000000" w:rsidRPr="000E460E">
        <w:trPr>
          <w:cantSplit/>
        </w:trPr>
        <w:tc>
          <w:tcPr>
            <w:tcW w:w="3046" w:type="dxa"/>
          </w:tcPr>
          <w:p w:rsidR="000E460E" w:rsidRPr="000E460E" w:rsidRDefault="000E460E">
            <w:pPr>
              <w:pStyle w:val="Underskrifter"/>
              <w:shd w:val="clear" w:color="000000" w:fill="auto"/>
            </w:pPr>
            <w:r w:rsidRPr="000E460E">
              <w:t>Carina Adolfsson Elgestam (s)</w:t>
            </w:r>
          </w:p>
        </w:tc>
        <w:tc>
          <w:tcPr>
            <w:tcW w:w="3046" w:type="dxa"/>
          </w:tcPr>
          <w:p w:rsidR="000E460E" w:rsidRPr="000E460E" w:rsidRDefault="000E460E">
            <w:pPr>
              <w:pStyle w:val="Underskrifter"/>
              <w:shd w:val="clear" w:color="000000" w:fill="auto"/>
            </w:pPr>
            <w:r w:rsidRPr="000E460E">
              <w:t>Alf Eriksson (s)</w:t>
            </w:r>
          </w:p>
        </w:tc>
      </w:tr>
      <w:tr w:rsidR="00000000" w:rsidRPr="000E460E">
        <w:trPr>
          <w:cantSplit/>
        </w:trPr>
        <w:tc>
          <w:tcPr>
            <w:tcW w:w="3046" w:type="dxa"/>
          </w:tcPr>
          <w:p w:rsidR="000E460E" w:rsidRPr="000E460E" w:rsidRDefault="000E460E">
            <w:pPr>
              <w:pStyle w:val="Underskrifter"/>
              <w:shd w:val="clear" w:color="000000" w:fill="auto"/>
            </w:pPr>
            <w:r w:rsidRPr="000E460E">
              <w:t>Eva-Lena Jansson (s)</w:t>
            </w:r>
          </w:p>
        </w:tc>
        <w:tc>
          <w:tcPr>
            <w:tcW w:w="3046" w:type="dxa"/>
          </w:tcPr>
          <w:p w:rsidR="000E460E" w:rsidRPr="000E460E" w:rsidRDefault="000E460E">
            <w:pPr>
              <w:pStyle w:val="Underskrifter"/>
              <w:shd w:val="clear" w:color="000000" w:fill="auto"/>
            </w:pPr>
            <w:r w:rsidRPr="000E460E">
              <w:t>Renée Jeryd (s)</w:t>
            </w:r>
          </w:p>
        </w:tc>
      </w:tr>
      <w:tr w:rsidR="00000000" w:rsidRPr="000E460E">
        <w:trPr>
          <w:cantSplit/>
        </w:trPr>
        <w:tc>
          <w:tcPr>
            <w:tcW w:w="3046" w:type="dxa"/>
          </w:tcPr>
          <w:p w:rsidR="000E460E" w:rsidRPr="000E460E" w:rsidRDefault="000E460E">
            <w:pPr>
              <w:pStyle w:val="Underskrifter"/>
              <w:shd w:val="clear" w:color="000000" w:fill="auto"/>
            </w:pPr>
            <w:r w:rsidRPr="000E460E">
              <w:t>Börje Vestlund (s)</w:t>
            </w:r>
          </w:p>
        </w:tc>
        <w:tc>
          <w:tcPr>
            <w:tcW w:w="3046" w:type="dxa"/>
          </w:tcPr>
          <w:p w:rsidR="000E460E" w:rsidRPr="000E460E" w:rsidRDefault="000E460E">
            <w:pPr>
              <w:pStyle w:val="Underskrifter"/>
              <w:shd w:val="clear" w:color="000000" w:fill="auto"/>
            </w:pPr>
            <w:r w:rsidRPr="000E460E">
              <w:t>Krister Örnfjäder (s)</w:t>
            </w:r>
          </w:p>
        </w:tc>
      </w:tr>
      <w:tr w:rsidR="00000000" w:rsidRPr="000E460E">
        <w:trPr>
          <w:cantSplit/>
        </w:trPr>
        <w:tc>
          <w:tcPr>
            <w:tcW w:w="3046" w:type="dxa"/>
          </w:tcPr>
          <w:p w:rsidR="000E460E" w:rsidRPr="000E460E" w:rsidRDefault="000E460E">
            <w:pPr>
              <w:pStyle w:val="Underskrifter"/>
              <w:shd w:val="clear" w:color="000000" w:fill="auto"/>
            </w:pPr>
            <w:r w:rsidRPr="000E460E">
              <w:t>Karin Åström (s)</w:t>
            </w:r>
          </w:p>
        </w:tc>
        <w:tc>
          <w:tcPr>
            <w:tcW w:w="3046" w:type="dxa"/>
          </w:tcPr>
          <w:p w:rsidR="000E460E" w:rsidRPr="000E460E" w:rsidRDefault="000E460E">
            <w:pPr>
              <w:pStyle w:val="Underskrifter"/>
              <w:shd w:val="clear" w:color="000000" w:fill="auto"/>
            </w:pPr>
          </w:p>
        </w:tc>
      </w:tr>
    </w:tbl>
    <w:p w:rsidR="000E460E" w:rsidRPr="000E460E" w:rsidRDefault="000E460E">
      <w:pPr>
        <w:pStyle w:val="Normaltindrag"/>
        <w:shd w:val="clear" w:color="000000" w:fill="auto"/>
      </w:pPr>
    </w:p>
    <w:sectPr w:rsidR="00000000" w:rsidRPr="000E4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60E" w:rsidRPr="000E460E" w:rsidRDefault="000E460E">
      <w:r w:rsidRPr="000E460E">
        <w:separator/>
      </w:r>
    </w:p>
  </w:endnote>
  <w:endnote w:type="continuationSeparator" w:id="0">
    <w:p w:rsidR="000E460E" w:rsidRPr="000E460E" w:rsidRDefault="000E460E">
      <w:r w:rsidRPr="000E4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Sidfot"/>
    </w:pPr>
    <w:r w:rsidRPr="000E4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688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0E" w:rsidRDefault="000E460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60E" w:rsidRDefault="000E460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Sidfot"/>
    </w:pPr>
    <w:r w:rsidRPr="000E4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391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0E" w:rsidRDefault="000E460E">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60E" w:rsidRDefault="000E460E">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Sidfot"/>
    </w:pPr>
    <w:r w:rsidRPr="000E4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574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0E" w:rsidRDefault="000E46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60E" w:rsidRDefault="000E46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60E" w:rsidRPr="000E460E" w:rsidRDefault="000E460E">
      <w:r w:rsidRPr="000E460E">
        <w:separator/>
      </w:r>
    </w:p>
  </w:footnote>
  <w:footnote w:type="continuationSeparator" w:id="0">
    <w:p w:rsidR="000E460E" w:rsidRPr="000E460E" w:rsidRDefault="000E460E">
      <w:r w:rsidRPr="000E4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Sidhuvud"/>
    </w:pPr>
    <w:r w:rsidRPr="000E4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655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0E" w:rsidRDefault="000E46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60E" w:rsidRDefault="000E46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Sidhuvud"/>
    </w:pPr>
    <w:r w:rsidRPr="000E4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430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0E" w:rsidRDefault="000E46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60E" w:rsidRDefault="000E46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0E" w:rsidRPr="000E460E" w:rsidRDefault="000E460E">
    <w:pPr>
      <w:pStyle w:val="FSHNormal"/>
      <w:tabs>
        <w:tab w:val="right" w:pos="5840"/>
      </w:tabs>
    </w:pPr>
    <w:r w:rsidRPr="000E460E">
      <w:br/>
    </w:r>
    <w:r w:rsidRPr="000E460E">
      <w:fldChar w:fldCharType="begin" w:fldLock="1"/>
    </w:r>
    <w:r w:rsidRPr="000E460E">
      <w:instrText xml:space="preserve"> DOCPROPERTY</w:instrText>
    </w:r>
    <w:r w:rsidRPr="000E460E">
      <w:rPr>
        <w:sz w:val="18"/>
      </w:rPr>
      <w:instrText xml:space="preserve"> "YearUser" *\charformat </w:instrText>
    </w:r>
    <w:r w:rsidRPr="000E460E">
      <w:fldChar w:fldCharType="separate"/>
    </w:r>
    <w:r w:rsidRPr="000E460E">
      <w:t>2008/09</w:t>
    </w:r>
    <w:r w:rsidRPr="000E460E">
      <w:fldChar w:fldCharType="end"/>
    </w:r>
    <w:r w:rsidRPr="000E460E">
      <w:t xml:space="preserve"> </w:t>
    </w:r>
    <w:r w:rsidRPr="000E460E">
      <w:tab/>
      <w:t xml:space="preserve">mnr: </w:t>
    </w:r>
    <w:r w:rsidRPr="000E460E">
      <w:fldChar w:fldCharType="begin" w:fldLock="1"/>
    </w:r>
    <w:r w:rsidRPr="000E460E">
      <w:instrText xml:space="preserve"> DOCPROPERTY</w:instrText>
    </w:r>
    <w:r w:rsidRPr="000E460E">
      <w:rPr>
        <w:sz w:val="18"/>
      </w:rPr>
      <w:instrText xml:space="preserve"> "Motionsnummer" *\charformat </w:instrText>
    </w:r>
    <w:r w:rsidRPr="000E460E">
      <w:fldChar w:fldCharType="separate"/>
    </w:r>
    <w:r w:rsidRPr="000E460E">
      <w:t>N430</w:t>
    </w:r>
    <w:r w:rsidRPr="000E460E">
      <w:fldChar w:fldCharType="end"/>
    </w:r>
    <w:r w:rsidRPr="000E460E">
      <w:br/>
    </w:r>
    <w:r w:rsidRPr="000E460E">
      <w:fldChar w:fldCharType="begin" w:fldLock="1"/>
    </w:r>
    <w:r w:rsidRPr="000E460E">
      <w:instrText xml:space="preserve"> DOCPROPERTY</w:instrText>
    </w:r>
    <w:r w:rsidRPr="000E460E">
      <w:rPr>
        <w:sz w:val="18"/>
      </w:rPr>
      <w:instrText xml:space="preserve"> "Samling" *\charformat </w:instrText>
    </w:r>
    <w:r w:rsidRPr="000E460E">
      <w:fldChar w:fldCharType="end"/>
    </w:r>
    <w:r w:rsidRPr="000E460E">
      <w:tab/>
      <w:t xml:space="preserve">pnr: </w:t>
    </w:r>
    <w:r w:rsidRPr="000E460E">
      <w:fldChar w:fldCharType="begin" w:fldLock="1"/>
    </w:r>
    <w:r w:rsidRPr="000E460E">
      <w:instrText xml:space="preserve"> DOCPROPERTY</w:instrText>
    </w:r>
    <w:r w:rsidRPr="000E460E">
      <w:rPr>
        <w:sz w:val="18"/>
      </w:rPr>
      <w:instrText xml:space="preserve"> "Partinummer" *\charformat </w:instrText>
    </w:r>
    <w:r w:rsidRPr="000E460E">
      <w:fldChar w:fldCharType="separate"/>
    </w:r>
    <w:r w:rsidRPr="000E460E">
      <w:t>s81003</w:t>
    </w:r>
    <w:r w:rsidRPr="000E460E">
      <w:fldChar w:fldCharType="end"/>
    </w:r>
  </w:p>
  <w:p w:rsidR="000E460E" w:rsidRPr="000E460E" w:rsidRDefault="000E460E">
    <w:pPr>
      <w:pStyle w:val="FSHRub1"/>
    </w:pPr>
    <w:r w:rsidRPr="000E460E">
      <w:t>Motion till riksdagen</w:t>
    </w:r>
    <w:r w:rsidRPr="000E460E">
      <w:br/>
    </w:r>
    <w:r w:rsidRPr="000E460E">
      <w:fldChar w:fldCharType="begin" w:fldLock="1"/>
    </w:r>
    <w:r w:rsidRPr="000E460E">
      <w:instrText xml:space="preserve"> DOCPROPERTY "YearUser" *\charformat </w:instrText>
    </w:r>
    <w:r w:rsidRPr="000E460E">
      <w:fldChar w:fldCharType="separate"/>
    </w:r>
    <w:r w:rsidRPr="000E460E">
      <w:t>2008/09</w:t>
    </w:r>
    <w:r w:rsidRPr="000E460E">
      <w:fldChar w:fldCharType="end"/>
    </w:r>
    <w:r w:rsidRPr="000E460E">
      <w:t>:</w:t>
    </w:r>
    <w:r w:rsidRPr="000E460E">
      <w:fldChar w:fldCharType="begin" w:fldLock="1"/>
    </w:r>
    <w:r w:rsidRPr="000E460E">
      <w:instrText xml:space="preserve"> DOCPROPERTY "Motionsnummer" *\charformat </w:instrText>
    </w:r>
    <w:r w:rsidRPr="000E460E">
      <w:fldChar w:fldCharType="separate"/>
    </w:r>
    <w:r w:rsidRPr="000E460E">
      <w:t>N430</w:t>
    </w:r>
    <w:r w:rsidRPr="000E460E">
      <w:fldChar w:fldCharType="end"/>
    </w:r>
  </w:p>
  <w:p w:rsidR="000E460E" w:rsidRPr="000E460E" w:rsidRDefault="000E460E">
    <w:pPr>
      <w:pStyle w:val="FSHNormalS5"/>
    </w:pPr>
    <w:r w:rsidRPr="000E460E">
      <w:fldChar w:fldCharType="begin" w:fldLock="1"/>
    </w:r>
    <w:r w:rsidRPr="000E460E">
      <w:instrText xml:space="preserve"> DOCPROPERTY "MotionarText" *\charformat </w:instrText>
    </w:r>
    <w:r w:rsidRPr="000E460E">
      <w:fldChar w:fldCharType="separate"/>
    </w:r>
    <w:r w:rsidRPr="000E460E">
      <w:t>av Tomas Eneroth m.fl. (s)</w:t>
    </w:r>
    <w:r w:rsidRPr="000E460E">
      <w:fldChar w:fldCharType="end"/>
    </w:r>
    <w:r w:rsidRPr="000E460E">
      <w:br/>
    </w:r>
    <w:r w:rsidRPr="000E460E">
      <w:fldChar w:fldCharType="begin" w:fldLock="1"/>
    </w:r>
    <w:r w:rsidRPr="000E460E">
      <w:instrText xml:space="preserve"> DOCPROPERTY "SvarFrasKort" *\charformat </w:instrText>
    </w:r>
    <w:r w:rsidRPr="000E460E">
      <w:fldChar w:fldCharType="end"/>
    </w:r>
  </w:p>
  <w:p w:rsidR="000E460E" w:rsidRPr="000E460E" w:rsidRDefault="000E460E">
    <w:pPr>
      <w:pStyle w:val="FSHTitel"/>
    </w:pPr>
    <w:r w:rsidRPr="000E460E">
      <w:fldChar w:fldCharType="begin" w:fldLock="1"/>
    </w:r>
    <w:r w:rsidRPr="000E460E">
      <w:instrText xml:space="preserve"> DOCPROPERTY</w:instrText>
    </w:r>
    <w:r w:rsidRPr="000E460E">
      <w:rPr>
        <w:sz w:val="18"/>
      </w:rPr>
      <w:instrText xml:space="preserve"> "RubrikSvar" *\charformat </w:instrText>
    </w:r>
    <w:r w:rsidRPr="000E460E">
      <w:fldChar w:fldCharType="separate"/>
    </w:r>
    <w:r w:rsidRPr="000E460E">
      <w:t>Utgiftsområde 21 Energi</w:t>
    </w:r>
    <w:r w:rsidRPr="000E460E">
      <w:fldChar w:fldCharType="end"/>
    </w:r>
  </w:p>
  <w:p w:rsidR="000E460E" w:rsidRPr="000E460E" w:rsidRDefault="000E460E">
    <w:pPr>
      <w:pStyle w:val="Normal00"/>
    </w:pPr>
  </w:p>
  <w:p w:rsidR="000E460E" w:rsidRPr="000E460E" w:rsidRDefault="000E46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3E7209"/>
    <w:multiLevelType w:val="hybridMultilevel"/>
    <w:tmpl w:val="274030F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A45410"/>
    <w:multiLevelType w:val="hybridMultilevel"/>
    <w:tmpl w:val="6C30F5E6"/>
    <w:lvl w:ilvl="0" w:tplc="2F8421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0549BF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037675">
    <w:abstractNumId w:val="8"/>
  </w:num>
  <w:num w:numId="2" w16cid:durableId="981617012">
    <w:abstractNumId w:val="9"/>
  </w:num>
  <w:num w:numId="3" w16cid:durableId="970742370">
    <w:abstractNumId w:val="8"/>
  </w:num>
  <w:num w:numId="4" w16cid:durableId="909274424">
    <w:abstractNumId w:val="9"/>
  </w:num>
  <w:num w:numId="5" w16cid:durableId="1162895612">
    <w:abstractNumId w:val="15"/>
  </w:num>
  <w:num w:numId="6" w16cid:durableId="1857185157">
    <w:abstractNumId w:val="10"/>
  </w:num>
  <w:num w:numId="7" w16cid:durableId="2116056681">
    <w:abstractNumId w:val="11"/>
  </w:num>
  <w:num w:numId="8" w16cid:durableId="1491367729">
    <w:abstractNumId w:val="14"/>
  </w:num>
  <w:num w:numId="9" w16cid:durableId="1663315274">
    <w:abstractNumId w:val="8"/>
  </w:num>
  <w:num w:numId="10" w16cid:durableId="681278993">
    <w:abstractNumId w:val="3"/>
  </w:num>
  <w:num w:numId="11" w16cid:durableId="718407799">
    <w:abstractNumId w:val="2"/>
  </w:num>
  <w:num w:numId="12" w16cid:durableId="1927379393">
    <w:abstractNumId w:val="1"/>
  </w:num>
  <w:num w:numId="13" w16cid:durableId="703287835">
    <w:abstractNumId w:val="0"/>
  </w:num>
  <w:num w:numId="14" w16cid:durableId="440682091">
    <w:abstractNumId w:val="9"/>
  </w:num>
  <w:num w:numId="15" w16cid:durableId="974872839">
    <w:abstractNumId w:val="7"/>
  </w:num>
  <w:num w:numId="16" w16cid:durableId="580677413">
    <w:abstractNumId w:val="6"/>
  </w:num>
  <w:num w:numId="17" w16cid:durableId="819007645">
    <w:abstractNumId w:val="5"/>
  </w:num>
  <w:num w:numId="18" w16cid:durableId="180710314">
    <w:abstractNumId w:val="4"/>
  </w:num>
  <w:num w:numId="19" w16cid:durableId="649213174">
    <w:abstractNumId w:val="12"/>
  </w:num>
  <w:num w:numId="20" w16cid:durableId="1898664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42520C7-60F5-4483-8053-858F5CC61EA2},{B5A71645-7CE9-4CF2-9B0D-B8EF37E8CE0F},{622BAC93-598F-4CA9-AD94-75479E0DCA7F},{B956ED79-82BF-4E87-9D1C-0C5F8EC760E3},{9CE1604A-7828-4758-B2FC-12AD948C363E},{F862D198-27F7-48B9-A0E6-F542C19DBB78},{D13B8A42-4E53-4123-8AC8-76C1986C47BF},{B3C0004F-CA55-4619-AE3B-5B534EAD0297}"/>
  </w:docVars>
  <w:rsids>
    <w:rsidRoot w:val="00263A22"/>
    <w:rsid w:val="000E460E"/>
    <w:rsid w:val="00263A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157B149-F044-4FAC-9EFC-6ECC6A9D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locked/>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3732</Words>
  <Characters>23219</Characters>
  <Application>Microsoft Office Word</Application>
  <DocSecurity>4</DocSecurity>
  <Lines>455</Lines>
  <Paragraphs>110</Paragraphs>
  <ScaleCrop>false</ScaleCrop>
  <HeadingPairs>
    <vt:vector size="2" baseType="variant">
      <vt:variant>
        <vt:lpstr>Rubrik</vt:lpstr>
      </vt:variant>
      <vt:variant>
        <vt:i4>1</vt:i4>
      </vt:variant>
    </vt:vector>
  </HeadingPairs>
  <TitlesOfParts>
    <vt:vector size="1" baseType="lpstr">
      <vt:lpstr>s81003</vt:lpstr>
    </vt:vector>
  </TitlesOfParts>
  <Company>Riksdagen</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s81003</dc:title>
  <dc:subject>s81003</dc:subject>
  <dc:creator>Riksdagen</dc:creator>
  <cp:keywords>Riksdagen</cp:keywords>
  <dc:description>TKG-ktrl, MSMQ4mb, PersReg-Distribution mm</dc:description>
  <cp:lastModifiedBy>Lars Brink</cp:lastModifiedBy>
  <cp:revision>2</cp:revision>
  <cp:lastPrinted>2008-11-10T09:42:00Z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(s)\Jansson, Eva-Lena (s)\Jeryd, Renée (s)\Vestlund, Börje (s)\Örnfjäder, Krister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Eva-Lena Jansson (s), Renée Jeryd (s), Börje Vestlund (s), Krister Örnfjäder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N430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20082009000000000115000810030075</vt:lpwstr>
  </property>
  <property fmtid="{D5CDD505-2E9C-101B-9397-08002B2CF9AE}" pid="47" name="datum">
    <vt:lpwstr>081007</vt:lpwstr>
  </property>
  <property fmtid="{D5CDD505-2E9C-101B-9397-08002B2CF9AE}" pid="48" name="avsändar-e-post">
    <vt:lpwstr>joakim.bourelius@riksdagen.se</vt:lpwstr>
  </property>
  <property fmtid="{D5CDD505-2E9C-101B-9397-08002B2CF9AE}" pid="49" name="id">
    <vt:lpwstr>20082009000000000115000810030075</vt:lpwstr>
  </property>
  <property fmtid="{D5CDD505-2E9C-101B-9397-08002B2CF9AE}" pid="50" name="nummer">
    <vt:lpwstr>430</vt:lpwstr>
  </property>
  <property fmtid="{D5CDD505-2E9C-101B-9397-08002B2CF9AE}" pid="51" name="utskottsbeteckning">
    <vt:lpwstr>N</vt:lpwstr>
  </property>
  <property fmtid="{D5CDD505-2E9C-101B-9397-08002B2CF9AE}" pid="52" name="GlobalUID">
    <vt:lpwstr>{3E6581E7-D8FB-4102-AA64-E05DF2101425}</vt:lpwstr>
  </property>
  <property fmtid="{D5CDD505-2E9C-101B-9397-08002B2CF9AE}" pid="53" name="Överföringar">
    <vt:i4>0</vt:i4>
  </property>
  <property fmtid="{D5CDD505-2E9C-101B-9397-08002B2CF9AE}" pid="54" name="Checksum">
    <vt:lpwstr>*1018901944292*</vt:lpwstr>
  </property>
  <property fmtid="{D5CDD505-2E9C-101B-9397-08002B2CF9AE}" pid="55" name="skuggnummer">
    <vt:lpwstr>3501</vt:lpwstr>
  </property>
  <property fmtid="{D5CDD505-2E9C-101B-9397-08002B2CF9AE}" pid="56" name="urixVersion">
    <vt:lpwstr>3.2.0.8</vt:lpwstr>
  </property>
  <property fmtid="{D5CDD505-2E9C-101B-9397-08002B2CF9AE}" pid="57" name="urixOrigin">
    <vt:lpwstr>090402 11:09:51.535</vt:lpwstr>
  </property>
  <property fmtid="{D5CDD505-2E9C-101B-9397-08002B2CF9AE}" pid="58" name="urixGuid">
    <vt:lpwstr>{A95400BD-E600-42F4-9F5A-A4F6CE64B4CF}</vt:lpwstr>
  </property>
</Properties>
</file>