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BD4E43" w:rsidRPr="00F44A03" w:rsidTr="00B5245A">
        <w:tblPrEx>
          <w:tblCellMar>
            <w:top w:w="0" w:type="dxa"/>
            <w:bottom w:w="0" w:type="dxa"/>
          </w:tblCellMar>
        </w:tblPrEx>
        <w:tc>
          <w:tcPr>
            <w:tcW w:w="2268" w:type="dxa"/>
          </w:tcPr>
          <w:p w:rsidR="00BD4E43" w:rsidRPr="00F44A03" w:rsidRDefault="00BD4E43" w:rsidP="00B5245A">
            <w:pPr>
              <w:framePr w:w="5035" w:h="1644" w:wrap="notBeside" w:vAnchor="page" w:hAnchor="page" w:x="6573" w:y="721"/>
              <w:rPr>
                <w:rFonts w:ascii="TradeGothic" w:hAnsi="TradeGothic"/>
                <w:i/>
                <w:sz w:val="18"/>
              </w:rPr>
            </w:pPr>
          </w:p>
        </w:tc>
        <w:tc>
          <w:tcPr>
            <w:tcW w:w="2999" w:type="dxa"/>
            <w:gridSpan w:val="2"/>
          </w:tcPr>
          <w:p w:rsidR="00BD4E43" w:rsidRPr="00F44A03" w:rsidRDefault="00BD4E43" w:rsidP="00B5245A">
            <w:pPr>
              <w:framePr w:w="5035" w:h="1644" w:wrap="notBeside" w:vAnchor="page" w:hAnchor="page" w:x="6573" w:y="721"/>
              <w:rPr>
                <w:rFonts w:ascii="TradeGothic" w:hAnsi="TradeGothic"/>
                <w:i/>
                <w:sz w:val="18"/>
              </w:rPr>
            </w:pPr>
          </w:p>
        </w:tc>
      </w:tr>
      <w:tr w:rsidR="00BD4E43" w:rsidRPr="00F44A03" w:rsidTr="00B5245A">
        <w:tblPrEx>
          <w:tblCellMar>
            <w:top w:w="0" w:type="dxa"/>
            <w:bottom w:w="0" w:type="dxa"/>
          </w:tblCellMar>
        </w:tblPrEx>
        <w:tc>
          <w:tcPr>
            <w:tcW w:w="2268" w:type="dxa"/>
          </w:tcPr>
          <w:p w:rsidR="00BD4E43" w:rsidRPr="00F44A03" w:rsidRDefault="00BD4E43" w:rsidP="00B5245A">
            <w:pPr>
              <w:framePr w:w="5035" w:h="1644" w:wrap="notBeside" w:vAnchor="page" w:hAnchor="page" w:x="6573" w:y="721"/>
              <w:rPr>
                <w:rFonts w:ascii="TradeGothic" w:hAnsi="TradeGothic"/>
                <w:b/>
                <w:sz w:val="22"/>
              </w:rPr>
            </w:pPr>
            <w:r w:rsidRPr="00F44A03">
              <w:rPr>
                <w:rFonts w:ascii="TradeGothic" w:hAnsi="TradeGothic"/>
                <w:b/>
                <w:sz w:val="22"/>
              </w:rPr>
              <w:t xml:space="preserve">Promemoria </w:t>
            </w:r>
          </w:p>
        </w:tc>
        <w:tc>
          <w:tcPr>
            <w:tcW w:w="2999" w:type="dxa"/>
            <w:gridSpan w:val="2"/>
          </w:tcPr>
          <w:p w:rsidR="00BD4E43" w:rsidRPr="00F44A03" w:rsidRDefault="00BD4E43" w:rsidP="00B5245A">
            <w:pPr>
              <w:framePr w:w="5035" w:h="1644" w:wrap="notBeside" w:vAnchor="page" w:hAnchor="page" w:x="6573" w:y="721"/>
              <w:rPr>
                <w:rFonts w:ascii="TradeGothic" w:hAnsi="TradeGothic"/>
                <w:b/>
                <w:sz w:val="22"/>
              </w:rPr>
            </w:pPr>
            <w:r w:rsidRPr="00F44A03">
              <w:t>Ju2008/8509/L2</w:t>
            </w:r>
          </w:p>
        </w:tc>
      </w:tr>
      <w:tr w:rsidR="00BD4E43" w:rsidRPr="00F44A03" w:rsidTr="00B5245A">
        <w:tblPrEx>
          <w:tblCellMar>
            <w:top w:w="0" w:type="dxa"/>
            <w:bottom w:w="0" w:type="dxa"/>
          </w:tblCellMar>
        </w:tblPrEx>
        <w:tc>
          <w:tcPr>
            <w:tcW w:w="3402" w:type="dxa"/>
            <w:gridSpan w:val="2"/>
          </w:tcPr>
          <w:p w:rsidR="00BD4E43" w:rsidRPr="00F44A03" w:rsidRDefault="00BD4E43" w:rsidP="00B5245A">
            <w:pPr>
              <w:framePr w:w="5035" w:h="1644" w:wrap="notBeside" w:vAnchor="page" w:hAnchor="page" w:x="6573" w:y="721"/>
            </w:pPr>
          </w:p>
        </w:tc>
        <w:tc>
          <w:tcPr>
            <w:tcW w:w="1865" w:type="dxa"/>
          </w:tcPr>
          <w:p w:rsidR="00BD4E43" w:rsidRPr="00F44A03" w:rsidRDefault="00BD4E43" w:rsidP="00B5245A">
            <w:pPr>
              <w:framePr w:w="5035" w:h="1644" w:wrap="notBeside" w:vAnchor="page" w:hAnchor="page" w:x="6573" w:y="721"/>
            </w:pPr>
          </w:p>
        </w:tc>
      </w:tr>
      <w:tr w:rsidR="00BD4E43" w:rsidRPr="00F44A03" w:rsidTr="00B5245A">
        <w:tblPrEx>
          <w:tblCellMar>
            <w:top w:w="0" w:type="dxa"/>
            <w:bottom w:w="0" w:type="dxa"/>
          </w:tblCellMar>
        </w:tblPrEx>
        <w:tc>
          <w:tcPr>
            <w:tcW w:w="2268" w:type="dxa"/>
          </w:tcPr>
          <w:p w:rsidR="00BD4E43" w:rsidRPr="00F44A03" w:rsidRDefault="00BD4E43" w:rsidP="00B5245A">
            <w:pPr>
              <w:framePr w:w="5035" w:h="1644" w:wrap="notBeside" w:vAnchor="page" w:hAnchor="page" w:x="6573" w:y="721"/>
            </w:pPr>
            <w:r w:rsidRPr="00F44A03">
              <w:t>2011-04-15</w:t>
            </w:r>
          </w:p>
        </w:tc>
        <w:tc>
          <w:tcPr>
            <w:tcW w:w="2999" w:type="dxa"/>
            <w:gridSpan w:val="2"/>
          </w:tcPr>
          <w:p w:rsidR="00BD4E43" w:rsidRPr="00F44A03" w:rsidRDefault="00BD4E43" w:rsidP="00B5245A">
            <w:pPr>
              <w:framePr w:w="5035" w:h="1644" w:wrap="notBeside" w:vAnchor="page" w:hAnchor="page" w:x="6573" w:y="721"/>
              <w:rPr>
                <w:sz w:val="20"/>
              </w:rPr>
            </w:pPr>
          </w:p>
        </w:tc>
      </w:tr>
      <w:tr w:rsidR="00BD4E43" w:rsidRPr="00F44A03" w:rsidTr="00B5245A">
        <w:tblPrEx>
          <w:tblCellMar>
            <w:top w:w="0" w:type="dxa"/>
            <w:bottom w:w="0" w:type="dxa"/>
          </w:tblCellMar>
        </w:tblPrEx>
        <w:tc>
          <w:tcPr>
            <w:tcW w:w="2268" w:type="dxa"/>
          </w:tcPr>
          <w:p w:rsidR="00BD4E43" w:rsidRPr="00F44A03" w:rsidRDefault="00BD4E43" w:rsidP="00B5245A">
            <w:pPr>
              <w:framePr w:w="5035" w:h="1644" w:wrap="notBeside" w:vAnchor="page" w:hAnchor="page" w:x="6573" w:y="721"/>
            </w:pPr>
          </w:p>
        </w:tc>
        <w:tc>
          <w:tcPr>
            <w:tcW w:w="2999" w:type="dxa"/>
            <w:gridSpan w:val="2"/>
          </w:tcPr>
          <w:p w:rsidR="00BD4E43" w:rsidRPr="00F44A03" w:rsidRDefault="00BD4E43" w:rsidP="00B5245A">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BD4E43" w:rsidRPr="00F44A03" w:rsidTr="00B5245A">
        <w:tblPrEx>
          <w:tblCellMar>
            <w:top w:w="0" w:type="dxa"/>
            <w:bottom w:w="0" w:type="dxa"/>
          </w:tblCellMar>
        </w:tblPrEx>
        <w:trPr>
          <w:trHeight w:val="284"/>
        </w:trPr>
        <w:tc>
          <w:tcPr>
            <w:tcW w:w="4911" w:type="dxa"/>
          </w:tcPr>
          <w:p w:rsidR="00BD4E43" w:rsidRPr="00F44A03" w:rsidRDefault="00BD4E43" w:rsidP="00B5245A">
            <w:pPr>
              <w:pStyle w:val="Avsndare"/>
              <w:framePr w:h="2483" w:wrap="notBeside" w:x="1504"/>
              <w:rPr>
                <w:b/>
                <w:i w:val="0"/>
                <w:sz w:val="22"/>
              </w:rPr>
            </w:pPr>
            <w:r w:rsidRPr="00F44A03">
              <w:rPr>
                <w:b/>
                <w:i w:val="0"/>
                <w:sz w:val="22"/>
              </w:rPr>
              <w:t>Justitiedepartementet</w:t>
            </w:r>
          </w:p>
        </w:tc>
      </w:tr>
      <w:tr w:rsidR="00BD4E43" w:rsidRPr="00F44A03" w:rsidTr="00B5245A">
        <w:tblPrEx>
          <w:tblCellMar>
            <w:top w:w="0" w:type="dxa"/>
            <w:bottom w:w="0" w:type="dxa"/>
          </w:tblCellMar>
        </w:tblPrEx>
        <w:trPr>
          <w:trHeight w:val="284"/>
        </w:trPr>
        <w:tc>
          <w:tcPr>
            <w:tcW w:w="4911" w:type="dxa"/>
          </w:tcPr>
          <w:p w:rsidR="00BD4E43" w:rsidRPr="00F44A03" w:rsidRDefault="00BD4E43" w:rsidP="00B5245A">
            <w:pPr>
              <w:pStyle w:val="Avsndare"/>
              <w:framePr w:h="2483" w:wrap="notBeside" w:x="1504"/>
              <w:rPr>
                <w:bCs/>
                <w:iCs/>
              </w:rPr>
            </w:pPr>
          </w:p>
        </w:tc>
      </w:tr>
      <w:tr w:rsidR="00BD4E43" w:rsidRPr="00F44A03" w:rsidTr="00B5245A">
        <w:tblPrEx>
          <w:tblCellMar>
            <w:top w:w="0" w:type="dxa"/>
            <w:bottom w:w="0" w:type="dxa"/>
          </w:tblCellMar>
        </w:tblPrEx>
        <w:trPr>
          <w:trHeight w:val="284"/>
        </w:trPr>
        <w:tc>
          <w:tcPr>
            <w:tcW w:w="4911" w:type="dxa"/>
          </w:tcPr>
          <w:p w:rsidR="00BD4E43" w:rsidRPr="00F44A03" w:rsidRDefault="00BD4E43" w:rsidP="00BD4E43">
            <w:pPr>
              <w:pStyle w:val="Avsndare"/>
              <w:framePr w:h="2483" w:wrap="notBeside" w:x="1504"/>
              <w:rPr>
                <w:bCs/>
                <w:iCs/>
              </w:rPr>
            </w:pPr>
            <w:r w:rsidRPr="00F44A03">
              <w:rPr>
                <w:bCs/>
                <w:iCs/>
              </w:rPr>
              <w:t>Enheten för familjerätt och allmän förmögenhetsrätt</w:t>
            </w:r>
          </w:p>
        </w:tc>
      </w:tr>
      <w:tr w:rsidR="00BD4E43" w:rsidRPr="00F44A03" w:rsidTr="00B5245A">
        <w:tblPrEx>
          <w:tblCellMar>
            <w:top w:w="0" w:type="dxa"/>
            <w:bottom w:w="0" w:type="dxa"/>
          </w:tblCellMar>
        </w:tblPrEx>
        <w:trPr>
          <w:trHeight w:val="284"/>
        </w:trPr>
        <w:tc>
          <w:tcPr>
            <w:tcW w:w="4911" w:type="dxa"/>
          </w:tcPr>
          <w:p w:rsidR="00BD4E43" w:rsidRPr="00F44A03" w:rsidRDefault="00BD4E43" w:rsidP="00BD4E43">
            <w:pPr>
              <w:pStyle w:val="Avsndare"/>
              <w:framePr w:h="2483" w:wrap="notBeside" w:x="1504"/>
              <w:rPr>
                <w:bCs/>
                <w:iCs/>
              </w:rPr>
            </w:pPr>
            <w:r w:rsidRPr="00F44A03">
              <w:rPr>
                <w:bCs/>
                <w:iCs/>
              </w:rPr>
              <w:t>Jonas Bäckstrand</w:t>
            </w:r>
          </w:p>
        </w:tc>
      </w:tr>
      <w:tr w:rsidR="00BD4E43" w:rsidRPr="00F44A03" w:rsidTr="00B5245A">
        <w:tblPrEx>
          <w:tblCellMar>
            <w:top w:w="0" w:type="dxa"/>
            <w:bottom w:w="0" w:type="dxa"/>
          </w:tblCellMar>
        </w:tblPrEx>
        <w:trPr>
          <w:trHeight w:val="284"/>
        </w:trPr>
        <w:tc>
          <w:tcPr>
            <w:tcW w:w="4911" w:type="dxa"/>
          </w:tcPr>
          <w:p w:rsidR="00707D2C" w:rsidRPr="00F44A03" w:rsidRDefault="00707D2C" w:rsidP="00BD4E43">
            <w:pPr>
              <w:pStyle w:val="Avsndare"/>
              <w:framePr w:h="2483" w:wrap="notBeside" w:x="1504"/>
              <w:rPr>
                <w:bCs/>
                <w:iCs/>
              </w:rPr>
            </w:pPr>
            <w:r w:rsidRPr="00F44A03">
              <w:rPr>
                <w:bCs/>
                <w:iCs/>
              </w:rPr>
              <w:t>Konsumentenheten</w:t>
            </w:r>
          </w:p>
          <w:p w:rsidR="00707D2C" w:rsidRPr="00F44A03" w:rsidRDefault="00707D2C" w:rsidP="00BD4E43">
            <w:pPr>
              <w:pStyle w:val="Avsndare"/>
              <w:framePr w:h="2483" w:wrap="notBeside" w:x="1504"/>
              <w:rPr>
                <w:bCs/>
                <w:iCs/>
              </w:rPr>
            </w:pPr>
            <w:r w:rsidRPr="00F44A03">
              <w:rPr>
                <w:bCs/>
                <w:iCs/>
              </w:rPr>
              <w:t>Sophie Nordström</w:t>
            </w:r>
          </w:p>
        </w:tc>
      </w:tr>
      <w:tr w:rsidR="00BD4E43" w:rsidRPr="00F44A03" w:rsidTr="00B5245A">
        <w:tblPrEx>
          <w:tblCellMar>
            <w:top w:w="0" w:type="dxa"/>
            <w:bottom w:w="0" w:type="dxa"/>
          </w:tblCellMar>
        </w:tblPrEx>
        <w:trPr>
          <w:trHeight w:val="284"/>
        </w:trPr>
        <w:tc>
          <w:tcPr>
            <w:tcW w:w="4911" w:type="dxa"/>
          </w:tcPr>
          <w:p w:rsidR="00BD4E43" w:rsidRPr="00F44A03" w:rsidRDefault="00BD4E43" w:rsidP="00BD4E43">
            <w:pPr>
              <w:pStyle w:val="Avsndare"/>
              <w:framePr w:h="2483" w:wrap="notBeside" w:x="1504"/>
              <w:rPr>
                <w:bCs/>
                <w:iCs/>
              </w:rPr>
            </w:pPr>
          </w:p>
        </w:tc>
      </w:tr>
      <w:tr w:rsidR="00BD4E43" w:rsidRPr="00F44A03" w:rsidTr="00B5245A">
        <w:tblPrEx>
          <w:tblCellMar>
            <w:top w:w="0" w:type="dxa"/>
            <w:bottom w:w="0" w:type="dxa"/>
          </w:tblCellMar>
        </w:tblPrEx>
        <w:trPr>
          <w:trHeight w:val="284"/>
        </w:trPr>
        <w:tc>
          <w:tcPr>
            <w:tcW w:w="4911" w:type="dxa"/>
          </w:tcPr>
          <w:p w:rsidR="00BD4E43" w:rsidRPr="00F44A03" w:rsidRDefault="00BD4E43" w:rsidP="00BD4E43">
            <w:pPr>
              <w:pStyle w:val="Avsndare"/>
              <w:framePr w:h="2483" w:wrap="notBeside" w:x="1504"/>
              <w:rPr>
                <w:bCs/>
                <w:iCs/>
              </w:rPr>
            </w:pPr>
          </w:p>
        </w:tc>
      </w:tr>
      <w:tr w:rsidR="00BD4E43" w:rsidRPr="00F44A03" w:rsidTr="00B5245A">
        <w:tblPrEx>
          <w:tblCellMar>
            <w:top w:w="0" w:type="dxa"/>
            <w:bottom w:w="0" w:type="dxa"/>
          </w:tblCellMar>
        </w:tblPrEx>
        <w:trPr>
          <w:trHeight w:val="284"/>
        </w:trPr>
        <w:tc>
          <w:tcPr>
            <w:tcW w:w="4911" w:type="dxa"/>
          </w:tcPr>
          <w:p w:rsidR="00BD4E43" w:rsidRPr="00F44A03" w:rsidRDefault="00BD4E43" w:rsidP="00BD4E43">
            <w:pPr>
              <w:pStyle w:val="Avsndare"/>
              <w:framePr w:h="2483" w:wrap="notBeside" w:x="1504"/>
              <w:rPr>
                <w:bCs/>
                <w:iCs/>
              </w:rPr>
            </w:pPr>
          </w:p>
        </w:tc>
      </w:tr>
    </w:tbl>
    <w:p w:rsidR="00C372FB" w:rsidRPr="00F44A03" w:rsidRDefault="00BD417C" w:rsidP="00BD417C">
      <w:pPr>
        <w:framePr w:w="4400" w:h="2523" w:wrap="notBeside" w:vAnchor="page" w:hAnchor="page" w:x="6453" w:y="2445"/>
        <w:ind w:left="142" w:firstLine="578"/>
        <w:rPr>
          <w:rFonts w:ascii="Times New Roman" w:hAnsi="Times New Roman"/>
          <w:b/>
          <w:u w:val="single"/>
        </w:rPr>
      </w:pPr>
      <w:r w:rsidRPr="00F44A03">
        <w:rPr>
          <w:rFonts w:ascii="Times New Roman" w:hAnsi="Times New Roman"/>
          <w:b/>
          <w:u w:val="single"/>
        </w:rPr>
        <w:t>Bilaga 2</w:t>
      </w:r>
    </w:p>
    <w:p w:rsidR="00BD417C" w:rsidRPr="00F44A03" w:rsidRDefault="00BD417C" w:rsidP="00BD417C">
      <w:pPr>
        <w:framePr w:w="4400" w:h="2523" w:wrap="notBeside" w:vAnchor="page" w:hAnchor="page" w:x="6453" w:y="2445"/>
        <w:ind w:left="142" w:firstLine="578"/>
        <w:rPr>
          <w:rFonts w:ascii="Times New Roman" w:hAnsi="Times New Roman"/>
          <w:b/>
          <w:u w:val="single"/>
        </w:rPr>
      </w:pPr>
      <w:r w:rsidRPr="00F44A03">
        <w:rPr>
          <w:rFonts w:ascii="Times New Roman" w:hAnsi="Times New Roman"/>
          <w:b/>
          <w:u w:val="single"/>
        </w:rPr>
        <w:t>till protokoll 2010/11:21</w:t>
      </w:r>
    </w:p>
    <w:p w:rsidR="00BD417C" w:rsidRPr="00F44A03" w:rsidRDefault="00BD417C" w:rsidP="00BD4E43">
      <w:pPr>
        <w:framePr w:w="4400" w:h="2523" w:wrap="notBeside" w:vAnchor="page" w:hAnchor="page" w:x="6453" w:y="2445"/>
        <w:ind w:left="142"/>
      </w:pPr>
    </w:p>
    <w:p w:rsidR="00BD417C" w:rsidRPr="00F44A03" w:rsidRDefault="00BD417C" w:rsidP="00BD4E43">
      <w:pPr>
        <w:framePr w:w="4400" w:h="2523" w:wrap="notBeside" w:vAnchor="page" w:hAnchor="page" w:x="6453" w:y="2445"/>
        <w:ind w:left="142"/>
      </w:pPr>
    </w:p>
    <w:p w:rsidR="00C372FB" w:rsidRPr="00F44A03" w:rsidRDefault="00C372FB" w:rsidP="00BD417C">
      <w:pPr>
        <w:framePr w:w="4400" w:h="2523" w:wrap="notBeside" w:vAnchor="page" w:hAnchor="page" w:x="6453" w:y="2445"/>
        <w:ind w:left="142" w:firstLine="578"/>
        <w:rPr>
          <w:rFonts w:ascii="Times New Roman" w:hAnsi="Times New Roman"/>
          <w:b/>
          <w:u w:val="single"/>
        </w:rPr>
      </w:pPr>
      <w:r w:rsidRPr="00F44A03">
        <w:rPr>
          <w:rFonts w:ascii="Times New Roman" w:hAnsi="Times New Roman"/>
          <w:b/>
          <w:u w:val="single"/>
        </w:rPr>
        <w:t>Dnr 090-2445-2010/11</w:t>
      </w:r>
    </w:p>
    <w:p w:rsidR="00BD4E43" w:rsidRPr="00F44A03" w:rsidRDefault="00BD4E43" w:rsidP="00BD4E43">
      <w:pPr>
        <w:pStyle w:val="RKrubrik"/>
        <w:pBdr>
          <w:bottom w:val="single" w:sz="4" w:space="1" w:color="000000"/>
        </w:pBdr>
        <w:spacing w:before="0" w:after="0"/>
      </w:pPr>
      <w:r w:rsidRPr="00F44A03">
        <w:t xml:space="preserve">Underlag till Civilutskottet inför överläggning </w:t>
      </w:r>
      <w:r w:rsidR="005E24BB" w:rsidRPr="00F44A03">
        <w:t xml:space="preserve">den </w:t>
      </w:r>
      <w:r w:rsidRPr="00F44A03">
        <w:t>26 april 2011</w:t>
      </w:r>
    </w:p>
    <w:p w:rsidR="00BD4E43" w:rsidRPr="00F44A03" w:rsidRDefault="00BD4E43" w:rsidP="00BD4E43">
      <w:pPr>
        <w:pStyle w:val="RKrubrik"/>
        <w:pBdr>
          <w:bottom w:val="single" w:sz="4" w:space="1" w:color="000000"/>
        </w:pBdr>
        <w:spacing w:before="0" w:after="0"/>
        <w:rPr>
          <w:i/>
        </w:rPr>
      </w:pPr>
      <w:r w:rsidRPr="00F44A03">
        <w:rPr>
          <w:i/>
        </w:rPr>
        <w:t>Förslag till direktiv om konsumenträttigheter</w:t>
      </w:r>
    </w:p>
    <w:p w:rsidR="00BD4E43" w:rsidRPr="00F44A03" w:rsidRDefault="009C0995" w:rsidP="00BD4E43">
      <w:pPr>
        <w:pStyle w:val="RKrubrik"/>
        <w:rPr>
          <w:lang w:eastAsia="sv-SE"/>
        </w:rPr>
      </w:pPr>
      <w:r w:rsidRPr="00F44A03">
        <w:rPr>
          <w:lang w:eastAsia="sv-SE"/>
        </w:rPr>
        <w:t>Övergripande l</w:t>
      </w:r>
      <w:r w:rsidR="00BD4E43" w:rsidRPr="00F44A03">
        <w:rPr>
          <w:lang w:eastAsia="sv-SE"/>
        </w:rPr>
        <w:t>ägesbeskrivning</w:t>
      </w:r>
    </w:p>
    <w:p w:rsidR="00856C14" w:rsidRPr="00F44A03" w:rsidRDefault="00707D2C" w:rsidP="00856C14">
      <w:pPr>
        <w:pStyle w:val="RKnormal"/>
      </w:pPr>
      <w:r w:rsidRPr="00F44A03">
        <w:t>Det ursprungliga förslaget från kommissionen</w:t>
      </w:r>
      <w:r w:rsidR="005F7ED3" w:rsidRPr="00F44A03">
        <w:rPr>
          <w:rStyle w:val="Fotnotsreferens"/>
        </w:rPr>
        <w:footnoteReference w:id="1"/>
      </w:r>
      <w:r w:rsidRPr="00F44A03">
        <w:t xml:space="preserve"> syftade till att direktiven om distansavtal, avtal utanför fasta affärslokaler, konsumentköp och oskäliga avtalsvillkor skulle slås samman och viktiga delar av konsumentavtalsrätten fullharmoniseras. Flertalet medlemsstater hade i princip ställt sig bakom fullharmonisering på detta område, men i takt med att förhandlingsarbetet intensifierade</w:t>
      </w:r>
      <w:r w:rsidR="005E24BB" w:rsidRPr="00F44A03">
        <w:t>s</w:t>
      </w:r>
      <w:r w:rsidRPr="00F44A03">
        <w:t xml:space="preserve"> framfördes önskemål om lösningar som ger medlemsstaterna större handlingsutrymme. Detta resulterade i en överenskommelse i rådet om att bestämmelserna om oskäliga avtalsv</w:t>
      </w:r>
      <w:r w:rsidR="005E24BB" w:rsidRPr="00F44A03">
        <w:t>illkor och fel i vara</w:t>
      </w:r>
      <w:r w:rsidRPr="00F44A03">
        <w:t xml:space="preserve"> inte skulle omfattas av det nya direktivet. I Europaparlamentet </w:t>
      </w:r>
      <w:r w:rsidR="00856C14" w:rsidRPr="00F44A03">
        <w:t xml:space="preserve">ägde </w:t>
      </w:r>
      <w:r w:rsidRPr="00F44A03">
        <w:t>en omröstning</w:t>
      </w:r>
      <w:r w:rsidR="00856C14" w:rsidRPr="00F44A03">
        <w:t xml:space="preserve"> rum i plenum den</w:t>
      </w:r>
      <w:r w:rsidR="00D74300" w:rsidRPr="00F44A03">
        <w:t xml:space="preserve"> 23-24 mars 2011,</w:t>
      </w:r>
      <w:r w:rsidR="00856C14" w:rsidRPr="00F44A03">
        <w:t xml:space="preserve"> dock utan att Europaparlamentet tog slutlig ställning till förslaget.</w:t>
      </w:r>
    </w:p>
    <w:p w:rsidR="00856C14" w:rsidRPr="00F44A03" w:rsidRDefault="00856C14" w:rsidP="00856C14">
      <w:pPr>
        <w:pStyle w:val="RKnormal"/>
      </w:pPr>
    </w:p>
    <w:p w:rsidR="00BD4E43" w:rsidRPr="00F44A03" w:rsidRDefault="00856C14" w:rsidP="00856C14">
      <w:pPr>
        <w:pStyle w:val="RKnormal"/>
        <w:rPr>
          <w:lang w:eastAsia="sv-SE"/>
        </w:rPr>
      </w:pPr>
      <w:r w:rsidRPr="00F44A03">
        <w:t xml:space="preserve">Förhandlingar mellan rådet och Europarlamentet kommer nu att inledas. </w:t>
      </w:r>
      <w:r w:rsidRPr="00F44A03">
        <w:rPr>
          <w:lang w:eastAsia="sv-SE"/>
        </w:rPr>
        <w:t>Inför dessa förhandlingar kommer det ungerska ordförandeskapet att behöva inhämta mandat från medlemsstaterna</w:t>
      </w:r>
      <w:r w:rsidR="009C0995" w:rsidRPr="00F44A03">
        <w:rPr>
          <w:lang w:eastAsia="sv-SE"/>
        </w:rPr>
        <w:t xml:space="preserve">. </w:t>
      </w:r>
    </w:p>
    <w:p w:rsidR="009C0995" w:rsidRPr="00F44A03" w:rsidRDefault="009C0995" w:rsidP="00AF4E7F">
      <w:pPr>
        <w:pStyle w:val="RKrubrik"/>
        <w:rPr>
          <w:lang w:eastAsia="sv-SE"/>
        </w:rPr>
      </w:pPr>
      <w:r w:rsidRPr="00F44A03">
        <w:rPr>
          <w:lang w:eastAsia="sv-SE"/>
        </w:rPr>
        <w:t xml:space="preserve">Rådets respektive Europaparlamentets </w:t>
      </w:r>
      <w:r w:rsidR="00095CF0" w:rsidRPr="00F44A03">
        <w:rPr>
          <w:lang w:eastAsia="sv-SE"/>
        </w:rPr>
        <w:t>utgångspunkter</w:t>
      </w:r>
    </w:p>
    <w:p w:rsidR="00BD4E43" w:rsidRPr="00F44A03" w:rsidRDefault="00095CF0" w:rsidP="00667E84">
      <w:pPr>
        <w:pStyle w:val="RKnormal"/>
      </w:pPr>
      <w:r w:rsidRPr="00F44A03">
        <w:t xml:space="preserve">Både rådet och Europaparlamentet anser att bestämmelserna om </w:t>
      </w:r>
      <w:r w:rsidR="00BD4E43" w:rsidRPr="00F44A03">
        <w:t>distansförsäljning och försäljning utanför fasta affärslokaler</w:t>
      </w:r>
      <w:r w:rsidR="00413690" w:rsidRPr="00F44A03">
        <w:t xml:space="preserve"> (kapitel 3)</w:t>
      </w:r>
      <w:r w:rsidR="00BD4E43" w:rsidRPr="00F44A03">
        <w:t xml:space="preserve"> </w:t>
      </w:r>
      <w:r w:rsidRPr="00F44A03">
        <w:t>i princi</w:t>
      </w:r>
      <w:r w:rsidR="00413690" w:rsidRPr="00F44A03">
        <w:t xml:space="preserve">p bör </w:t>
      </w:r>
      <w:r w:rsidR="00BD4E43" w:rsidRPr="00F44A03">
        <w:t>fullharmoniser</w:t>
      </w:r>
      <w:r w:rsidR="00413690" w:rsidRPr="00F44A03">
        <w:t>as</w:t>
      </w:r>
      <w:r w:rsidR="00BD4E43" w:rsidRPr="00F44A03">
        <w:t>, men E</w:t>
      </w:r>
      <w:r w:rsidR="00413690" w:rsidRPr="00F44A03">
        <w:t>uropaparlamentet</w:t>
      </w:r>
      <w:r w:rsidR="00667E84" w:rsidRPr="00F44A03">
        <w:t xml:space="preserve"> önskar</w:t>
      </w:r>
      <w:r w:rsidR="00BD4E43" w:rsidRPr="00F44A03">
        <w:t xml:space="preserve"> delvis en annan utformning av regelverket. </w:t>
      </w:r>
      <w:r w:rsidR="00667E84" w:rsidRPr="00F44A03">
        <w:t>Detta gäller bland annat ångerrätten i samband med</w:t>
      </w:r>
      <w:r w:rsidR="00BD4E43" w:rsidRPr="00F44A03">
        <w:t xml:space="preserve"> hantverkstjänster.</w:t>
      </w:r>
    </w:p>
    <w:p w:rsidR="00BD4E43" w:rsidRPr="00F44A03" w:rsidRDefault="00BD4E43" w:rsidP="00095CF0">
      <w:pPr>
        <w:pStyle w:val="RKnormal"/>
        <w:rPr>
          <w:lang w:eastAsia="sv-SE"/>
        </w:rPr>
      </w:pPr>
    </w:p>
    <w:p w:rsidR="00BD4E43" w:rsidRPr="00F44A03" w:rsidRDefault="00667E84" w:rsidP="00095CF0">
      <w:pPr>
        <w:pStyle w:val="RKnormal"/>
        <w:rPr>
          <w:lang w:eastAsia="sv-SE"/>
        </w:rPr>
      </w:pPr>
      <w:r w:rsidRPr="00F44A03">
        <w:rPr>
          <w:lang w:eastAsia="sv-SE"/>
        </w:rPr>
        <w:t xml:space="preserve">Europaparlamentet önskar, till skillnad från rådet, att direktivet omfattar bestämmelser om fel i vara (kapitel 4) och oskäliga avtalsvillkor (kapitel 5). Europaparlamentet önskar dock </w:t>
      </w:r>
      <w:r w:rsidR="00BD4E43" w:rsidRPr="00F44A03">
        <w:rPr>
          <w:lang w:eastAsia="sv-SE"/>
        </w:rPr>
        <w:t>i stor utsträckning införa regler på miniminivå</w:t>
      </w:r>
      <w:r w:rsidR="00FA28F9" w:rsidRPr="00F44A03">
        <w:rPr>
          <w:lang w:eastAsia="sv-SE"/>
        </w:rPr>
        <w:t xml:space="preserve"> när det gäller dessa frågor</w:t>
      </w:r>
      <w:r w:rsidR="00BD4E43" w:rsidRPr="00F44A03">
        <w:rPr>
          <w:lang w:eastAsia="sv-SE"/>
        </w:rPr>
        <w:t>.</w:t>
      </w:r>
    </w:p>
    <w:p w:rsidR="00BD4E43" w:rsidRPr="00F44A03" w:rsidRDefault="00BD4E43" w:rsidP="00095CF0">
      <w:pPr>
        <w:pStyle w:val="RKnormal"/>
        <w:rPr>
          <w:lang w:eastAsia="sv-SE"/>
        </w:rPr>
      </w:pPr>
    </w:p>
    <w:p w:rsidR="00BD4E43" w:rsidRPr="00F44A03" w:rsidRDefault="00BD4E43" w:rsidP="00B028D2">
      <w:pPr>
        <w:pStyle w:val="RKnormal"/>
        <w:rPr>
          <w:lang w:eastAsia="sv-SE"/>
        </w:rPr>
      </w:pPr>
      <w:r w:rsidRPr="00F44A03">
        <w:rPr>
          <w:lang w:eastAsia="sv-SE"/>
        </w:rPr>
        <w:t xml:space="preserve">I kommissionens ursprungliga förslag finns en allmän informationsbestämmelse i kapitel 2 som ska tillämpas på avtal som inte är distansavtal eller </w:t>
      </w:r>
      <w:r w:rsidRPr="00F44A03">
        <w:rPr>
          <w:lang w:eastAsia="sv-SE"/>
        </w:rPr>
        <w:lastRenderedPageBreak/>
        <w:t xml:space="preserve">avtal utanför fasta affärslokaler, dvs. i normalfallet vid köp i butik. I rådets version har en sådan allmän informationsbestämmelse tagits bort. </w:t>
      </w:r>
      <w:r w:rsidR="00FA28F9" w:rsidRPr="00F44A03">
        <w:t>Europaparlamentet</w:t>
      </w:r>
      <w:r w:rsidRPr="00F44A03">
        <w:t xml:space="preserve"> har i sitt förslag bibehållit en informationsbestämmelse</w:t>
      </w:r>
      <w:r w:rsidR="00D74300" w:rsidRPr="00F44A03">
        <w:t>, dock</w:t>
      </w:r>
      <w:r w:rsidRPr="00F44A03">
        <w:t xml:space="preserve"> av minimikaraktär. Det finns </w:t>
      </w:r>
      <w:r w:rsidR="00B36A57" w:rsidRPr="00F44A03">
        <w:t xml:space="preserve">sannolikt </w:t>
      </w:r>
      <w:r w:rsidRPr="00F44A03">
        <w:t>en större vilja bland medlemsstaterna att til</w:t>
      </w:r>
      <w:r w:rsidR="00FA28F9" w:rsidRPr="00F44A03">
        <w:t>lmötesgå Europaparlamentet</w:t>
      </w:r>
      <w:r w:rsidRPr="00F44A03">
        <w:t xml:space="preserve"> i någon form i denna fråga än i fråga om reglerna om fel i vara och oskäliga avtalsvillkor.</w:t>
      </w:r>
    </w:p>
    <w:p w:rsidR="00BD4E43" w:rsidRPr="00F44A03" w:rsidRDefault="00856C14" w:rsidP="00BD4E43">
      <w:pPr>
        <w:pStyle w:val="RKrubrik"/>
        <w:rPr>
          <w:lang w:eastAsia="sv-SE"/>
        </w:rPr>
      </w:pPr>
      <w:r w:rsidRPr="00F44A03">
        <w:rPr>
          <w:lang w:eastAsia="sv-SE"/>
        </w:rPr>
        <w:t xml:space="preserve">Regeringens </w:t>
      </w:r>
      <w:r w:rsidR="00BD4E43" w:rsidRPr="00F44A03">
        <w:rPr>
          <w:lang w:eastAsia="sv-SE"/>
        </w:rPr>
        <w:t>ståndpunkt</w:t>
      </w:r>
    </w:p>
    <w:p w:rsidR="00BD4E43" w:rsidRPr="00F44A03" w:rsidRDefault="00BD4E43" w:rsidP="00B028D2">
      <w:pPr>
        <w:pStyle w:val="RKnormal"/>
        <w:rPr>
          <w:lang w:eastAsia="sv-SE"/>
        </w:rPr>
      </w:pPr>
      <w:r w:rsidRPr="00F44A03">
        <w:rPr>
          <w:lang w:eastAsia="sv-SE"/>
        </w:rPr>
        <w:t>Inför kommande mandat till ordförandeskapet behöver Sverige ta ställning till på vilka punkter rådet bör möta Europaparlamentet.</w:t>
      </w:r>
    </w:p>
    <w:p w:rsidR="00FA28F9" w:rsidRPr="00F44A03" w:rsidRDefault="00FA28F9" w:rsidP="00B028D2">
      <w:pPr>
        <w:pStyle w:val="RKnormal"/>
      </w:pPr>
    </w:p>
    <w:p w:rsidR="00FA28F9" w:rsidRPr="00F44A03" w:rsidRDefault="00FA28F9" w:rsidP="00B028D2">
      <w:pPr>
        <w:pStyle w:val="RKnormal"/>
      </w:pPr>
      <w:r w:rsidRPr="00F44A03">
        <w:t>Regeringen förespråkar, som en utgångspunkt, fullharmonisering på en hög konsumentskydds</w:t>
      </w:r>
      <w:r w:rsidRPr="00F44A03">
        <w:softHyphen/>
        <w:t xml:space="preserve">nivå. </w:t>
      </w:r>
    </w:p>
    <w:p w:rsidR="000E7FD6" w:rsidRPr="00F44A03" w:rsidRDefault="000E7FD6" w:rsidP="00B028D2">
      <w:pPr>
        <w:pStyle w:val="RKnormal"/>
      </w:pPr>
    </w:p>
    <w:p w:rsidR="000E7FD6" w:rsidRPr="00F44A03" w:rsidRDefault="000E7FD6" w:rsidP="00B028D2">
      <w:pPr>
        <w:pStyle w:val="RKnormal"/>
      </w:pPr>
      <w:r w:rsidRPr="00F44A03">
        <w:t>Regeringen bedömer att Europaparlamentets förslag avseende fel i vara och oskäliga avtalsvillkor inte tillför något mervärde eftersom det i hög utsträckning är fråga om minimibestämmelser som kommer att ersätta redan befintliga minimibestämmelser. Det är bättre att behålla dagens regler på området än att konstruera nya bestämmelser som inte uppnår syfte</w:t>
      </w:r>
      <w:r w:rsidR="00B36A57" w:rsidRPr="00F44A03">
        <w:t>t</w:t>
      </w:r>
      <w:r w:rsidRPr="00F44A03">
        <w:t xml:space="preserve"> att skapa en högre grad av enhetlighet.</w:t>
      </w:r>
    </w:p>
    <w:p w:rsidR="00BD4E43" w:rsidRPr="00F44A03" w:rsidRDefault="00BD4E43" w:rsidP="00B028D2">
      <w:pPr>
        <w:pStyle w:val="RKnormal"/>
        <w:rPr>
          <w:lang w:eastAsia="sv-SE"/>
        </w:rPr>
      </w:pPr>
    </w:p>
    <w:p w:rsidR="00BD4E43" w:rsidRPr="00F44A03" w:rsidRDefault="000E7FD6" w:rsidP="00B028D2">
      <w:pPr>
        <w:pStyle w:val="RKnormal"/>
      </w:pPr>
      <w:r w:rsidRPr="00F44A03">
        <w:rPr>
          <w:lang w:eastAsia="sv-SE"/>
        </w:rPr>
        <w:t>Regeringen anser att det</w:t>
      </w:r>
      <w:r w:rsidR="000A3C6A" w:rsidRPr="00F44A03">
        <w:rPr>
          <w:lang w:eastAsia="sv-SE"/>
        </w:rPr>
        <w:t>,</w:t>
      </w:r>
      <w:r w:rsidR="008B5F71" w:rsidRPr="00F44A03">
        <w:rPr>
          <w:lang w:eastAsia="sv-SE"/>
        </w:rPr>
        <w:t xml:space="preserve"> i syfte att </w:t>
      </w:r>
      <w:r w:rsidRPr="00F44A03">
        <w:rPr>
          <w:lang w:eastAsia="sv-SE"/>
        </w:rPr>
        <w:t xml:space="preserve"> uppnå en överenskommelse med Europaparlamentet, </w:t>
      </w:r>
      <w:r w:rsidR="008B5F71" w:rsidRPr="00F44A03">
        <w:rPr>
          <w:lang w:eastAsia="sv-SE"/>
        </w:rPr>
        <w:t>skulle vara</w:t>
      </w:r>
      <w:r w:rsidRPr="00F44A03">
        <w:rPr>
          <w:lang w:eastAsia="sv-SE"/>
        </w:rPr>
        <w:t xml:space="preserve"> bättre att </w:t>
      </w:r>
      <w:r w:rsidR="008B5F71" w:rsidRPr="00F44A03">
        <w:rPr>
          <w:lang w:eastAsia="sv-SE"/>
        </w:rPr>
        <w:t xml:space="preserve">godta </w:t>
      </w:r>
      <w:r w:rsidR="00BD4E43" w:rsidRPr="00F44A03">
        <w:rPr>
          <w:lang w:eastAsia="sv-SE"/>
        </w:rPr>
        <w:t xml:space="preserve">någon form av allmän informationsbestämmelse. </w:t>
      </w:r>
      <w:r w:rsidR="008B5F71" w:rsidRPr="00F44A03">
        <w:rPr>
          <w:lang w:eastAsia="sv-SE"/>
        </w:rPr>
        <w:t>Bland annat m</w:t>
      </w:r>
      <w:r w:rsidR="00BD4E43" w:rsidRPr="00F44A03">
        <w:t xml:space="preserve">ot bakgrund av </w:t>
      </w:r>
      <w:r w:rsidR="00B36A57" w:rsidRPr="00F44A03">
        <w:t xml:space="preserve">att </w:t>
      </w:r>
      <w:r w:rsidR="00BD4E43" w:rsidRPr="00F44A03">
        <w:t xml:space="preserve">det </w:t>
      </w:r>
      <w:r w:rsidR="00B36A57" w:rsidRPr="00F44A03">
        <w:t>skulle vara</w:t>
      </w:r>
      <w:r w:rsidR="005E24BB" w:rsidRPr="00F44A03">
        <w:t xml:space="preserve"> </w:t>
      </w:r>
      <w:r w:rsidR="00BD4E43" w:rsidRPr="00F44A03">
        <w:t xml:space="preserve">fråga om </w:t>
      </w:r>
      <w:r w:rsidR="000A3C6A" w:rsidRPr="00F44A03">
        <w:t>en bestämmelse på miniminivå borde</w:t>
      </w:r>
      <w:r w:rsidR="00BD4E43" w:rsidRPr="00F44A03">
        <w:t xml:space="preserve"> </w:t>
      </w:r>
      <w:r w:rsidR="000A3C6A" w:rsidRPr="00F44A03">
        <w:t xml:space="preserve">den </w:t>
      </w:r>
      <w:r w:rsidR="00BD4E43" w:rsidRPr="00F44A03">
        <w:t xml:space="preserve">i så fall vara så allmänt hållen som möjligt och fokusera på den information som konsumenten kan anses vara i störst behov av. Reglerna bör vara balanserade och inte medföra </w:t>
      </w:r>
      <w:r w:rsidR="003E426C" w:rsidRPr="00F44A03">
        <w:t xml:space="preserve">några större </w:t>
      </w:r>
      <w:r w:rsidR="00BD4E43" w:rsidRPr="00F44A03">
        <w:t>administrativa bördor för näringsidkare</w:t>
      </w:r>
      <w:r w:rsidR="00B36A57" w:rsidRPr="00F44A03">
        <w:t>.</w:t>
      </w:r>
    </w:p>
    <w:p w:rsidR="00BD4E43" w:rsidRPr="00F44A03" w:rsidRDefault="00BD4E43" w:rsidP="00BD4E43">
      <w:pPr>
        <w:rPr>
          <w:rFonts w:cs="Helv"/>
          <w:color w:val="000000"/>
          <w:szCs w:val="24"/>
          <w:lang w:eastAsia="sv-SE"/>
        </w:rPr>
      </w:pPr>
    </w:p>
    <w:p w:rsidR="00BD4E43" w:rsidRPr="00F44A03" w:rsidRDefault="00BD4E43" w:rsidP="00BD4E43"/>
    <w:p w:rsidR="00BD4E43" w:rsidRPr="00F44A03" w:rsidRDefault="00BD4E43" w:rsidP="00BD4E43"/>
    <w:p w:rsidR="00BD4E43" w:rsidRPr="00F44A03" w:rsidRDefault="00BD4E43" w:rsidP="00BD4E43"/>
    <w:p w:rsidR="00BD4E43" w:rsidRPr="00F44A03" w:rsidRDefault="00BD4E43" w:rsidP="00BD4E43"/>
    <w:p w:rsidR="00BD4E43" w:rsidRPr="00F44A03" w:rsidRDefault="00BD4E43" w:rsidP="00BD4E43">
      <w:pPr>
        <w:pStyle w:val="RKnormal"/>
      </w:pPr>
    </w:p>
    <w:p w:rsidR="001F1590" w:rsidRPr="00F44A03" w:rsidRDefault="001F1590"/>
    <w:sectPr w:rsidR="001F1590" w:rsidRPr="00F44A03" w:rsidSect="00BD4E43">
      <w:headerReference w:type="even" r:id="rId7"/>
      <w:headerReference w:type="default" r:id="rId8"/>
      <w:headerReference w:type="first" r:id="rId9"/>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02B" w:rsidRPr="00F44A03" w:rsidRDefault="0040302B" w:rsidP="004165F0">
      <w:pPr>
        <w:pStyle w:val="Avsndare"/>
        <w:framePr w:wrap="notBeside"/>
      </w:pPr>
      <w:r w:rsidRPr="00F44A03">
        <w:separator/>
      </w:r>
    </w:p>
  </w:endnote>
  <w:endnote w:type="continuationSeparator" w:id="0">
    <w:p w:rsidR="0040302B" w:rsidRPr="00F44A03" w:rsidRDefault="0040302B" w:rsidP="004165F0">
      <w:pPr>
        <w:pStyle w:val="Avsndare"/>
        <w:framePr w:wrap="notBeside"/>
      </w:pPr>
      <w:r w:rsidRPr="00F44A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02B" w:rsidRPr="00F44A03" w:rsidRDefault="0040302B" w:rsidP="004165F0">
      <w:pPr>
        <w:pStyle w:val="Avsndare"/>
        <w:framePr w:wrap="notBeside"/>
      </w:pPr>
      <w:r w:rsidRPr="00F44A03">
        <w:separator/>
      </w:r>
    </w:p>
  </w:footnote>
  <w:footnote w:type="continuationSeparator" w:id="0">
    <w:p w:rsidR="0040302B" w:rsidRPr="00F44A03" w:rsidRDefault="0040302B" w:rsidP="004165F0">
      <w:pPr>
        <w:pStyle w:val="Avsndare"/>
        <w:framePr w:wrap="notBeside"/>
      </w:pPr>
      <w:r w:rsidRPr="00F44A03">
        <w:continuationSeparator/>
      </w:r>
    </w:p>
  </w:footnote>
  <w:footnote w:id="1">
    <w:p w:rsidR="000C3D75" w:rsidRPr="00F44A03" w:rsidRDefault="000C3D75">
      <w:pPr>
        <w:pStyle w:val="Fotnotstext"/>
      </w:pPr>
      <w:r w:rsidRPr="00F44A03">
        <w:rPr>
          <w:rStyle w:val="Fotnotsreferens"/>
        </w:rPr>
        <w:footnoteRef/>
      </w:r>
      <w:r w:rsidRPr="00F44A03">
        <w:t xml:space="preserve"> KOM (2008) 614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F44A03" w:rsidRDefault="000C3D75" w:rsidP="00B5245A">
    <w:pPr>
      <w:pStyle w:val="Sidhuvud"/>
      <w:framePr w:wrap="around" w:vAnchor="text" w:hAnchor="margin" w:xAlign="outside" w:y="1"/>
      <w:rPr>
        <w:rStyle w:val="Sidnummer"/>
      </w:rPr>
    </w:pPr>
    <w:r w:rsidRPr="00F44A03">
      <w:rPr>
        <w:rStyle w:val="Sidnummer"/>
      </w:rPr>
      <w:fldChar w:fldCharType="begin" w:fldLock="1"/>
    </w:r>
    <w:r w:rsidRPr="00F44A03">
      <w:rPr>
        <w:rStyle w:val="Sidnummer"/>
      </w:rPr>
      <w:instrText xml:space="preserve">PAGE  </w:instrText>
    </w:r>
    <w:r w:rsidRPr="00F44A03">
      <w:rPr>
        <w:rStyle w:val="Sidnummer"/>
      </w:rPr>
      <w:fldChar w:fldCharType="separate"/>
    </w:r>
    <w:r w:rsidRPr="00F44A03">
      <w:rPr>
        <w:rStyle w:val="Sidnummer"/>
      </w:rPr>
      <w:t>2</w:t>
    </w:r>
    <w:r w:rsidRPr="00F44A0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C3D75" w:rsidRPr="00F44A03">
      <w:tblPrEx>
        <w:tblCellMar>
          <w:top w:w="0" w:type="dxa"/>
          <w:bottom w:w="0" w:type="dxa"/>
        </w:tblCellMar>
      </w:tblPrEx>
      <w:trPr>
        <w:cantSplit/>
      </w:trPr>
      <w:tc>
        <w:tcPr>
          <w:tcW w:w="3119" w:type="dxa"/>
        </w:tcPr>
        <w:p w:rsidR="000C3D75" w:rsidRPr="00F44A03" w:rsidRDefault="000C3D75" w:rsidP="00B5245A">
          <w:pPr>
            <w:pStyle w:val="Sidhuvud"/>
            <w:spacing w:line="200" w:lineRule="atLeast"/>
            <w:ind w:right="360" w:firstLine="360"/>
            <w:rPr>
              <w:rFonts w:ascii="TradeGothic" w:hAnsi="TradeGothic"/>
              <w:b/>
              <w:bCs/>
              <w:sz w:val="16"/>
            </w:rPr>
          </w:pPr>
        </w:p>
      </w:tc>
      <w:tc>
        <w:tcPr>
          <w:tcW w:w="4111" w:type="dxa"/>
          <w:tcMar>
            <w:left w:w="567" w:type="dxa"/>
          </w:tcMar>
        </w:tcPr>
        <w:p w:rsidR="000C3D75" w:rsidRPr="00F44A03" w:rsidRDefault="000C3D75">
          <w:pPr>
            <w:pStyle w:val="Sidhuvud"/>
            <w:ind w:right="360"/>
          </w:pPr>
        </w:p>
      </w:tc>
      <w:tc>
        <w:tcPr>
          <w:tcW w:w="1525" w:type="dxa"/>
        </w:tcPr>
        <w:p w:rsidR="000C3D75" w:rsidRPr="00F44A03" w:rsidRDefault="000C3D75">
          <w:pPr>
            <w:pStyle w:val="Sidhuvud"/>
            <w:ind w:right="360"/>
          </w:pPr>
        </w:p>
      </w:tc>
    </w:tr>
  </w:tbl>
  <w:p w:rsidR="000C3D75" w:rsidRPr="00F44A03" w:rsidRDefault="000C3D7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F44A03" w:rsidRDefault="000C3D75" w:rsidP="00B5245A">
    <w:pPr>
      <w:pStyle w:val="Sidhuvud"/>
      <w:framePr w:wrap="around" w:vAnchor="text" w:hAnchor="margin" w:xAlign="outside" w:y="1"/>
      <w:rPr>
        <w:rStyle w:val="Sidnummer"/>
      </w:rPr>
    </w:pPr>
    <w:r w:rsidRPr="00F44A03">
      <w:rPr>
        <w:rStyle w:val="Sidnummer"/>
      </w:rPr>
      <w:fldChar w:fldCharType="begin" w:fldLock="1"/>
    </w:r>
    <w:r w:rsidRPr="00F44A03">
      <w:rPr>
        <w:rStyle w:val="Sidnummer"/>
      </w:rPr>
      <w:instrText xml:space="preserve">PAGE  </w:instrText>
    </w:r>
    <w:r w:rsidRPr="00F44A03">
      <w:rPr>
        <w:rStyle w:val="Sidnummer"/>
      </w:rPr>
      <w:fldChar w:fldCharType="separate"/>
    </w:r>
    <w:r w:rsidR="00BD417C" w:rsidRPr="00F44A03">
      <w:rPr>
        <w:rStyle w:val="Sidnummer"/>
      </w:rPr>
      <w:t>2</w:t>
    </w:r>
    <w:r w:rsidRPr="00F44A0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C3D75" w:rsidRPr="00F44A03">
      <w:tblPrEx>
        <w:tblCellMar>
          <w:top w:w="0" w:type="dxa"/>
          <w:bottom w:w="0" w:type="dxa"/>
        </w:tblCellMar>
      </w:tblPrEx>
      <w:trPr>
        <w:cantSplit/>
      </w:trPr>
      <w:tc>
        <w:tcPr>
          <w:tcW w:w="3119" w:type="dxa"/>
        </w:tcPr>
        <w:p w:rsidR="000C3D75" w:rsidRPr="00F44A03" w:rsidRDefault="000C3D75" w:rsidP="00B5245A">
          <w:pPr>
            <w:pStyle w:val="Sidhuvud"/>
            <w:spacing w:line="200" w:lineRule="atLeast"/>
            <w:ind w:right="360" w:firstLine="360"/>
            <w:rPr>
              <w:rFonts w:ascii="TradeGothic" w:hAnsi="TradeGothic"/>
              <w:b/>
              <w:bCs/>
              <w:sz w:val="16"/>
            </w:rPr>
          </w:pPr>
        </w:p>
      </w:tc>
      <w:tc>
        <w:tcPr>
          <w:tcW w:w="4111" w:type="dxa"/>
          <w:tcMar>
            <w:left w:w="567" w:type="dxa"/>
          </w:tcMar>
        </w:tcPr>
        <w:p w:rsidR="000C3D75" w:rsidRPr="00F44A03" w:rsidRDefault="000C3D75">
          <w:pPr>
            <w:pStyle w:val="Sidhuvud"/>
            <w:ind w:right="360"/>
          </w:pPr>
        </w:p>
      </w:tc>
      <w:tc>
        <w:tcPr>
          <w:tcW w:w="1525" w:type="dxa"/>
        </w:tcPr>
        <w:p w:rsidR="000C3D75" w:rsidRPr="00F44A03" w:rsidRDefault="000C3D75">
          <w:pPr>
            <w:pStyle w:val="Sidhuvud"/>
            <w:ind w:right="360"/>
          </w:pPr>
        </w:p>
      </w:tc>
    </w:tr>
  </w:tbl>
  <w:p w:rsidR="000C3D75" w:rsidRPr="00F44A03" w:rsidRDefault="000C3D7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F44A03" w:rsidRDefault="00F44A03">
    <w:pPr>
      <w:framePr w:w="2948" w:h="1321" w:hRule="exact" w:wrap="notBeside" w:vAnchor="page" w:hAnchor="page" w:x="1362" w:y="653"/>
    </w:pPr>
    <w:r w:rsidRPr="00F44A0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C3D75" w:rsidRPr="00F44A03" w:rsidRDefault="000C3D75">
    <w:pPr>
      <w:pStyle w:val="RKrubrik"/>
      <w:keepNext w:val="0"/>
      <w:tabs>
        <w:tab w:val="clear" w:pos="1134"/>
        <w:tab w:val="clear" w:pos="2835"/>
      </w:tabs>
      <w:spacing w:before="0" w:after="0" w:line="320" w:lineRule="atLeast"/>
      <w:rPr>
        <w:bCs/>
      </w:rPr>
    </w:pPr>
  </w:p>
  <w:p w:rsidR="000C3D75" w:rsidRPr="00F44A03" w:rsidRDefault="000C3D75">
    <w:pPr>
      <w:rPr>
        <w:rFonts w:ascii="TradeGothic" w:hAnsi="TradeGothic"/>
        <w:b/>
        <w:bCs/>
        <w:spacing w:val="12"/>
        <w:sz w:val="22"/>
      </w:rPr>
    </w:pPr>
  </w:p>
  <w:p w:rsidR="000C3D75" w:rsidRPr="00F44A03" w:rsidRDefault="000C3D75">
    <w:pPr>
      <w:pStyle w:val="RKrubrik"/>
      <w:keepNext w:val="0"/>
      <w:tabs>
        <w:tab w:val="clear" w:pos="1134"/>
        <w:tab w:val="clear" w:pos="2835"/>
      </w:tabs>
      <w:spacing w:before="0" w:after="0" w:line="320" w:lineRule="atLeast"/>
      <w:rPr>
        <w:bCs/>
      </w:rPr>
    </w:pPr>
  </w:p>
  <w:p w:rsidR="000C3D75" w:rsidRPr="00F44A03" w:rsidRDefault="000C3D7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7C6"/>
    <w:multiLevelType w:val="hybridMultilevel"/>
    <w:tmpl w:val="753CFD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1491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43"/>
    <w:rsid w:val="00095CF0"/>
    <w:rsid w:val="000A3C6A"/>
    <w:rsid w:val="000C3D75"/>
    <w:rsid w:val="000E7FD6"/>
    <w:rsid w:val="001F1590"/>
    <w:rsid w:val="003E426C"/>
    <w:rsid w:val="0040302B"/>
    <w:rsid w:val="00413690"/>
    <w:rsid w:val="004165F0"/>
    <w:rsid w:val="005E24BB"/>
    <w:rsid w:val="005F7ED3"/>
    <w:rsid w:val="00625084"/>
    <w:rsid w:val="00667E84"/>
    <w:rsid w:val="00707D2C"/>
    <w:rsid w:val="00827400"/>
    <w:rsid w:val="00856C14"/>
    <w:rsid w:val="00856EA4"/>
    <w:rsid w:val="008B5F71"/>
    <w:rsid w:val="009C0995"/>
    <w:rsid w:val="00AD633D"/>
    <w:rsid w:val="00AF4E7F"/>
    <w:rsid w:val="00B028D2"/>
    <w:rsid w:val="00B36A57"/>
    <w:rsid w:val="00B5245A"/>
    <w:rsid w:val="00BD417C"/>
    <w:rsid w:val="00BD4E43"/>
    <w:rsid w:val="00C372FB"/>
    <w:rsid w:val="00D74300"/>
    <w:rsid w:val="00F32C69"/>
    <w:rsid w:val="00F44A03"/>
    <w:rsid w:val="00FA28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2F1123-8640-410E-9235-F84CBA5C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E43"/>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BD4E4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BD4E43"/>
    <w:pPr>
      <w:tabs>
        <w:tab w:val="center" w:pos="4153"/>
        <w:tab w:val="right" w:pos="8306"/>
      </w:tabs>
    </w:pPr>
  </w:style>
  <w:style w:type="paragraph" w:customStyle="1" w:styleId="RKnormal">
    <w:name w:val="RKnormal"/>
    <w:basedOn w:val="Normal"/>
    <w:link w:val="RKnormalChar"/>
    <w:rsid w:val="00BD4E43"/>
    <w:pPr>
      <w:tabs>
        <w:tab w:val="left" w:pos="2835"/>
      </w:tabs>
      <w:spacing w:line="240" w:lineRule="atLeast"/>
    </w:pPr>
  </w:style>
  <w:style w:type="paragraph" w:customStyle="1" w:styleId="RKrubrik">
    <w:name w:val="RKrubrik"/>
    <w:basedOn w:val="RKnormal"/>
    <w:next w:val="RKnormal"/>
    <w:rsid w:val="00BD4E43"/>
    <w:pPr>
      <w:keepNext/>
      <w:tabs>
        <w:tab w:val="left" w:pos="1134"/>
      </w:tabs>
      <w:spacing w:before="360" w:after="120"/>
    </w:pPr>
    <w:rPr>
      <w:rFonts w:ascii="TradeGothic" w:hAnsi="TradeGothic"/>
      <w:b/>
      <w:sz w:val="22"/>
    </w:rPr>
  </w:style>
  <w:style w:type="character" w:styleId="Sidnummer">
    <w:name w:val="page number"/>
    <w:basedOn w:val="Standardstycketeckensnitt"/>
    <w:rsid w:val="00BD4E43"/>
  </w:style>
  <w:style w:type="character" w:customStyle="1" w:styleId="RKnormalChar">
    <w:name w:val="RKnormal Char"/>
    <w:basedOn w:val="Standardstycketeckensnitt"/>
    <w:link w:val="RKnormal"/>
    <w:rsid w:val="00FA28F9"/>
    <w:rPr>
      <w:rFonts w:ascii="OrigGarmnd BT" w:hAnsi="OrigGarmnd BT"/>
      <w:sz w:val="24"/>
      <w:lang w:val="sv-SE" w:eastAsia="en-US" w:bidi="ar-SA"/>
    </w:rPr>
  </w:style>
  <w:style w:type="paragraph" w:styleId="Fotnotstext">
    <w:name w:val="footnote text"/>
    <w:basedOn w:val="Normal"/>
    <w:semiHidden/>
    <w:rsid w:val="005F7ED3"/>
    <w:rPr>
      <w:sz w:val="20"/>
    </w:rPr>
  </w:style>
  <w:style w:type="character" w:styleId="Fotnotsreferens">
    <w:name w:val="footnote reference"/>
    <w:basedOn w:val="Standardstycketeckensnitt"/>
    <w:semiHidden/>
    <w:rsid w:val="005F7E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3197</Characters>
  <Application>Microsoft Office Word</Application>
  <DocSecurity>4</DocSecurity>
  <Lines>94</Lines>
  <Paragraphs>29</Paragraphs>
  <ScaleCrop>false</ScaleCrop>
  <HeadingPairs>
    <vt:vector size="2" baseType="variant">
      <vt:variant>
        <vt:lpstr>Rubrik</vt:lpstr>
      </vt:variant>
      <vt:variant>
        <vt:i4>1</vt:i4>
      </vt:variant>
    </vt:vector>
  </HeadingPairs>
  <TitlesOfParts>
    <vt:vector size="1" baseType="lpstr">
      <vt:lpstr>Promemoria </vt:lpstr>
    </vt:vector>
  </TitlesOfParts>
  <Company>Regeringskansliet</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2011-04-18T10:31:00Z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