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272A8" w14:textId="77777777" w:rsidR="00FB32B9" w:rsidRDefault="00042062" w:rsidP="00FB32B9">
      <w:pPr>
        <w:pStyle w:val="UDrubrik"/>
        <w:tabs>
          <w:tab w:val="left" w:pos="1701"/>
          <w:tab w:val="left" w:pos="1985"/>
        </w:tabs>
        <w:rPr>
          <w:rFonts w:cs="Arial"/>
          <w:sz w:val="28"/>
        </w:rPr>
      </w:pPr>
    </w:p>
    <w:p w14:paraId="46B272A9" w14:textId="77777777" w:rsidR="00FB32B9" w:rsidRDefault="00042062" w:rsidP="00FB32B9">
      <w:pPr>
        <w:pStyle w:val="UDrubrik"/>
        <w:tabs>
          <w:tab w:val="left" w:pos="1701"/>
          <w:tab w:val="left" w:pos="1985"/>
        </w:tabs>
        <w:rPr>
          <w:rFonts w:cs="Arial"/>
          <w:sz w:val="28"/>
        </w:rPr>
      </w:pPr>
    </w:p>
    <w:p w14:paraId="46B272AA" w14:textId="77777777" w:rsidR="00FB32B9" w:rsidRDefault="00042062" w:rsidP="00FB32B9">
      <w:pPr>
        <w:pStyle w:val="UDrubrik"/>
        <w:tabs>
          <w:tab w:val="left" w:pos="1701"/>
          <w:tab w:val="left" w:pos="1985"/>
        </w:tabs>
        <w:rPr>
          <w:rFonts w:cs="Arial"/>
          <w:sz w:val="28"/>
        </w:rPr>
      </w:pPr>
    </w:p>
    <w:p w14:paraId="46B272AB" w14:textId="77777777" w:rsidR="00FB32B9" w:rsidRDefault="00042062" w:rsidP="00FB32B9">
      <w:pPr>
        <w:pStyle w:val="UDrubrik"/>
        <w:tabs>
          <w:tab w:val="left" w:pos="1701"/>
          <w:tab w:val="left" w:pos="1985"/>
        </w:tabs>
        <w:rPr>
          <w:rFonts w:cs="Arial"/>
          <w:sz w:val="28"/>
        </w:rPr>
      </w:pPr>
    </w:p>
    <w:p w14:paraId="46B272AC" w14:textId="30334C1E" w:rsidR="00FB32B9" w:rsidRDefault="0079018B" w:rsidP="00FB32B9">
      <w:pPr>
        <w:pStyle w:val="UDrubrik"/>
        <w:tabs>
          <w:tab w:val="left" w:pos="1701"/>
          <w:tab w:val="left" w:pos="1985"/>
        </w:tabs>
        <w:rPr>
          <w:rFonts w:cs="Arial"/>
          <w:sz w:val="28"/>
        </w:rPr>
      </w:pPr>
      <w:r>
        <w:rPr>
          <w:rFonts w:cs="Arial"/>
          <w:sz w:val="28"/>
        </w:rPr>
        <w:t xml:space="preserve">Troliga A-punkter inför kommande rådsmöten som </w:t>
      </w:r>
      <w:r w:rsidRPr="003E34E1">
        <w:rPr>
          <w:rFonts w:cs="Arial"/>
          <w:sz w:val="28"/>
        </w:rPr>
        <w:t>godkän</w:t>
      </w:r>
      <w:r w:rsidR="00B129FD" w:rsidRPr="003E34E1">
        <w:rPr>
          <w:rFonts w:cs="Arial"/>
          <w:sz w:val="28"/>
        </w:rPr>
        <w:t>des</w:t>
      </w:r>
      <w:r>
        <w:rPr>
          <w:rFonts w:cs="Arial"/>
          <w:sz w:val="28"/>
        </w:rPr>
        <w:t xml:space="preserve"> vid </w:t>
      </w:r>
      <w:r w:rsidR="00B129FD">
        <w:rPr>
          <w:rFonts w:cs="Arial"/>
          <w:sz w:val="28"/>
        </w:rPr>
        <w:t>Coreper II</w:t>
      </w:r>
      <w:r>
        <w:rPr>
          <w:rFonts w:cs="Arial"/>
          <w:sz w:val="28"/>
        </w:rPr>
        <w:t xml:space="preserve"> den</w:t>
      </w:r>
      <w:r w:rsidR="00B129FD">
        <w:rPr>
          <w:rFonts w:cs="Arial"/>
          <w:sz w:val="28"/>
        </w:rPr>
        <w:t xml:space="preserve"> 1 februari 2017</w:t>
      </w:r>
      <w:r>
        <w:rPr>
          <w:rFonts w:cs="Arial"/>
          <w:sz w:val="28"/>
        </w:rPr>
        <w:t>.</w:t>
      </w:r>
    </w:p>
    <w:p w14:paraId="46B272AD" w14:textId="77777777" w:rsidR="00FB32B9" w:rsidRDefault="00042062" w:rsidP="00FB32B9">
      <w:pPr>
        <w:pStyle w:val="Brdtext"/>
      </w:pPr>
    </w:p>
    <w:p w14:paraId="46B272AF" w14:textId="77777777" w:rsidR="00FB32B9" w:rsidRDefault="0079018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6B272B0" w14:textId="77777777" w:rsidR="00D957FB" w:rsidRPr="00283DF3" w:rsidRDefault="0079018B">
          <w:pPr>
            <w:pStyle w:val="Innehllsfrteckningsrubrik"/>
            <w:rPr>
              <w:color w:val="auto"/>
              <w:lang w:val="sv-SE"/>
            </w:rPr>
          </w:pPr>
          <w:r w:rsidRPr="00283DF3">
            <w:rPr>
              <w:color w:val="auto"/>
              <w:lang w:val="sv-SE"/>
            </w:rPr>
            <w:t>Innehållsförteckning</w:t>
          </w:r>
        </w:p>
        <w:p w14:paraId="46B272B1" w14:textId="77777777" w:rsidR="00DA7250" w:rsidRPr="00283DF3" w:rsidRDefault="00042062" w:rsidP="00DA7250">
          <w:pPr>
            <w:rPr>
              <w:lang w:eastAsia="ja-JP"/>
            </w:rPr>
          </w:pPr>
        </w:p>
        <w:p w14:paraId="7CF63C1F" w14:textId="77777777" w:rsidR="00B2623C" w:rsidRDefault="0079018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3790005" w:history="1">
            <w:r w:rsidR="00B2623C" w:rsidRPr="001F486B">
              <w:rPr>
                <w:rStyle w:val="Hyperlnk"/>
                <w:noProof/>
              </w:rPr>
              <w:t>1.</w:t>
            </w:r>
            <w:r w:rsidR="00B2623C">
              <w:rPr>
                <w:rFonts w:asciiTheme="minorHAnsi" w:eastAsiaTheme="minorEastAsia" w:hAnsiTheme="minorHAnsi" w:cstheme="minorBidi"/>
                <w:noProof/>
                <w:lang w:eastAsia="sv-SE"/>
              </w:rPr>
              <w:tab/>
            </w:r>
            <w:r w:rsidR="00B2623C" w:rsidRPr="001F486B">
              <w:rPr>
                <w:rStyle w:val="Hyperlnk"/>
                <w:noProof/>
              </w:rPr>
              <w:t>Judgment of the General Court in Case T-720/14 (Rotenberg v. Council)</w:t>
            </w:r>
            <w:r w:rsidR="00B2623C">
              <w:rPr>
                <w:noProof/>
                <w:webHidden/>
              </w:rPr>
              <w:tab/>
            </w:r>
            <w:r w:rsidR="00B2623C">
              <w:rPr>
                <w:noProof/>
                <w:webHidden/>
              </w:rPr>
              <w:fldChar w:fldCharType="begin"/>
            </w:r>
            <w:r w:rsidR="00B2623C">
              <w:rPr>
                <w:noProof/>
                <w:webHidden/>
              </w:rPr>
              <w:instrText xml:space="preserve"> PAGEREF _Toc473790005 \h </w:instrText>
            </w:r>
            <w:r w:rsidR="00B2623C">
              <w:rPr>
                <w:noProof/>
                <w:webHidden/>
              </w:rPr>
            </w:r>
            <w:r w:rsidR="00B2623C">
              <w:rPr>
                <w:noProof/>
                <w:webHidden/>
              </w:rPr>
              <w:fldChar w:fldCharType="separate"/>
            </w:r>
            <w:r w:rsidR="00B2623C">
              <w:rPr>
                <w:noProof/>
                <w:webHidden/>
              </w:rPr>
              <w:t>3</w:t>
            </w:r>
            <w:r w:rsidR="00B2623C">
              <w:rPr>
                <w:noProof/>
                <w:webHidden/>
              </w:rPr>
              <w:fldChar w:fldCharType="end"/>
            </w:r>
          </w:hyperlink>
        </w:p>
        <w:p w14:paraId="0D6D645B"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06" w:history="1">
            <w:r w:rsidR="00B2623C" w:rsidRPr="001F486B">
              <w:rPr>
                <w:rStyle w:val="Hyperlnk"/>
                <w:noProof/>
              </w:rPr>
              <w:t>2.</w:t>
            </w:r>
            <w:r w:rsidR="00B2623C">
              <w:rPr>
                <w:rFonts w:asciiTheme="minorHAnsi" w:eastAsiaTheme="minorEastAsia" w:hAnsiTheme="minorHAnsi" w:cstheme="minorBidi"/>
                <w:noProof/>
                <w:lang w:eastAsia="sv-SE"/>
              </w:rPr>
              <w:tab/>
            </w:r>
            <w:r w:rsidR="00B2623C" w:rsidRPr="001F486B">
              <w:rPr>
                <w:rStyle w:val="Hyperlnk"/>
                <w:noProof/>
              </w:rPr>
              <w:t>Proposal for a Regulation of the European Parliament and of the Council adapting a number of legal acts providing for the use of the regulatory procedure with scrutiny to Articles 290 and 291 of the Treaty on the Functioning of the European Union (First reading) and Proposal for a Regulation of the European Parliament and of the Council adapting a number of legal acts in the area of Justice providing for the use of the regulatory procedure with scrutiny to Article 290 of the Treaty on the Functioning of the European Union (First reading)</w:t>
            </w:r>
            <w:r w:rsidR="00B2623C">
              <w:rPr>
                <w:noProof/>
                <w:webHidden/>
              </w:rPr>
              <w:tab/>
            </w:r>
            <w:r w:rsidR="00B2623C">
              <w:rPr>
                <w:noProof/>
                <w:webHidden/>
              </w:rPr>
              <w:fldChar w:fldCharType="begin"/>
            </w:r>
            <w:r w:rsidR="00B2623C">
              <w:rPr>
                <w:noProof/>
                <w:webHidden/>
              </w:rPr>
              <w:instrText xml:space="preserve"> PAGEREF _Toc473790006 \h </w:instrText>
            </w:r>
            <w:r w:rsidR="00B2623C">
              <w:rPr>
                <w:noProof/>
                <w:webHidden/>
              </w:rPr>
            </w:r>
            <w:r w:rsidR="00B2623C">
              <w:rPr>
                <w:noProof/>
                <w:webHidden/>
              </w:rPr>
              <w:fldChar w:fldCharType="separate"/>
            </w:r>
            <w:r w:rsidR="00B2623C">
              <w:rPr>
                <w:noProof/>
                <w:webHidden/>
              </w:rPr>
              <w:t>3</w:t>
            </w:r>
            <w:r w:rsidR="00B2623C">
              <w:rPr>
                <w:noProof/>
                <w:webHidden/>
              </w:rPr>
              <w:fldChar w:fldCharType="end"/>
            </w:r>
          </w:hyperlink>
        </w:p>
        <w:p w14:paraId="38AFAA89"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07" w:history="1">
            <w:r w:rsidR="00B2623C" w:rsidRPr="001F486B">
              <w:rPr>
                <w:rStyle w:val="Hyperlnk"/>
                <w:noProof/>
              </w:rPr>
              <w:t>3.</w:t>
            </w:r>
            <w:r w:rsidR="00B2623C">
              <w:rPr>
                <w:rFonts w:asciiTheme="minorHAnsi" w:eastAsiaTheme="minorEastAsia" w:hAnsiTheme="minorHAnsi" w:cstheme="minorBidi"/>
                <w:noProof/>
                <w:lang w:eastAsia="sv-SE"/>
              </w:rPr>
              <w:tab/>
            </w:r>
            <w:r w:rsidR="00B2623C" w:rsidRPr="001F486B">
              <w:rPr>
                <w:rStyle w:val="Hyperlnk"/>
                <w:noProof/>
              </w:rPr>
              <w:t>Draft Regulation of the European Parliament and of the Council on certain procedures for applying the Stabilisation and Association Agreement between the European Union and the European Atomic Energy Community, of the one part, and Kosovo* of the other part (First reading)</w:t>
            </w:r>
            <w:r w:rsidR="00B2623C">
              <w:rPr>
                <w:noProof/>
                <w:webHidden/>
              </w:rPr>
              <w:tab/>
            </w:r>
            <w:r w:rsidR="00B2623C">
              <w:rPr>
                <w:noProof/>
                <w:webHidden/>
              </w:rPr>
              <w:fldChar w:fldCharType="begin"/>
            </w:r>
            <w:r w:rsidR="00B2623C">
              <w:rPr>
                <w:noProof/>
                <w:webHidden/>
              </w:rPr>
              <w:instrText xml:space="preserve"> PAGEREF _Toc473790007 \h </w:instrText>
            </w:r>
            <w:r w:rsidR="00B2623C">
              <w:rPr>
                <w:noProof/>
                <w:webHidden/>
              </w:rPr>
            </w:r>
            <w:r w:rsidR="00B2623C">
              <w:rPr>
                <w:noProof/>
                <w:webHidden/>
              </w:rPr>
              <w:fldChar w:fldCharType="separate"/>
            </w:r>
            <w:r w:rsidR="00B2623C">
              <w:rPr>
                <w:noProof/>
                <w:webHidden/>
              </w:rPr>
              <w:t>4</w:t>
            </w:r>
            <w:r w:rsidR="00B2623C">
              <w:rPr>
                <w:noProof/>
                <w:webHidden/>
              </w:rPr>
              <w:fldChar w:fldCharType="end"/>
            </w:r>
          </w:hyperlink>
        </w:p>
        <w:p w14:paraId="462E1B71"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08" w:history="1">
            <w:r w:rsidR="00B2623C" w:rsidRPr="001F486B">
              <w:rPr>
                <w:rStyle w:val="Hyperlnk"/>
                <w:noProof/>
              </w:rPr>
              <w:t>4.</w:t>
            </w:r>
            <w:r w:rsidR="00B2623C">
              <w:rPr>
                <w:rFonts w:asciiTheme="minorHAnsi" w:eastAsiaTheme="minorEastAsia" w:hAnsiTheme="minorHAnsi" w:cstheme="minorBidi"/>
                <w:noProof/>
                <w:lang w:eastAsia="sv-SE"/>
              </w:rPr>
              <w:tab/>
            </w:r>
            <w:r w:rsidR="00B2623C" w:rsidRPr="001F486B">
              <w:rPr>
                <w:rStyle w:val="Hyperlnk"/>
                <w:noProof/>
              </w:rPr>
              <w:t>Draft Regulation of the European Parliament and of the Council amending Regulation (EU) 2015/936 on common rules for imports of textile products from certain third countries not covered by bilateral agreements, protocols or other arrangements, or by other specific Union import rules (First reading)</w:t>
            </w:r>
            <w:r w:rsidR="00B2623C">
              <w:rPr>
                <w:noProof/>
                <w:webHidden/>
              </w:rPr>
              <w:tab/>
            </w:r>
            <w:r w:rsidR="00B2623C">
              <w:rPr>
                <w:noProof/>
                <w:webHidden/>
              </w:rPr>
              <w:fldChar w:fldCharType="begin"/>
            </w:r>
            <w:r w:rsidR="00B2623C">
              <w:rPr>
                <w:noProof/>
                <w:webHidden/>
              </w:rPr>
              <w:instrText xml:space="preserve"> PAGEREF _Toc473790008 \h </w:instrText>
            </w:r>
            <w:r w:rsidR="00B2623C">
              <w:rPr>
                <w:noProof/>
                <w:webHidden/>
              </w:rPr>
            </w:r>
            <w:r w:rsidR="00B2623C">
              <w:rPr>
                <w:noProof/>
                <w:webHidden/>
              </w:rPr>
              <w:fldChar w:fldCharType="separate"/>
            </w:r>
            <w:r w:rsidR="00B2623C">
              <w:rPr>
                <w:noProof/>
                <w:webHidden/>
              </w:rPr>
              <w:t>5</w:t>
            </w:r>
            <w:r w:rsidR="00B2623C">
              <w:rPr>
                <w:noProof/>
                <w:webHidden/>
              </w:rPr>
              <w:fldChar w:fldCharType="end"/>
            </w:r>
          </w:hyperlink>
        </w:p>
        <w:p w14:paraId="71DF9770"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09" w:history="1">
            <w:r w:rsidR="00B2623C" w:rsidRPr="001F486B">
              <w:rPr>
                <w:rStyle w:val="Hyperlnk"/>
                <w:noProof/>
              </w:rPr>
              <w:t>5.</w:t>
            </w:r>
            <w:r w:rsidR="00B2623C">
              <w:rPr>
                <w:rFonts w:asciiTheme="minorHAnsi" w:eastAsiaTheme="minorEastAsia" w:hAnsiTheme="minorHAnsi" w:cstheme="minorBidi"/>
                <w:noProof/>
                <w:lang w:eastAsia="sv-SE"/>
              </w:rPr>
              <w:tab/>
            </w:r>
            <w:r w:rsidR="00B2623C" w:rsidRPr="001F486B">
              <w:rPr>
                <w:rStyle w:val="Hyperlnk"/>
                <w:noProof/>
              </w:rPr>
              <w:t>Annual Progress Report on the Implementation of the European Union Strategy Against the Proliferation of Weapons of Mass Destruction (2016)</w:t>
            </w:r>
            <w:r w:rsidR="00B2623C">
              <w:rPr>
                <w:noProof/>
                <w:webHidden/>
              </w:rPr>
              <w:tab/>
            </w:r>
            <w:r w:rsidR="00B2623C">
              <w:rPr>
                <w:noProof/>
                <w:webHidden/>
              </w:rPr>
              <w:fldChar w:fldCharType="begin"/>
            </w:r>
            <w:r w:rsidR="00B2623C">
              <w:rPr>
                <w:noProof/>
                <w:webHidden/>
              </w:rPr>
              <w:instrText xml:space="preserve"> PAGEREF _Toc473790009 \h </w:instrText>
            </w:r>
            <w:r w:rsidR="00B2623C">
              <w:rPr>
                <w:noProof/>
                <w:webHidden/>
              </w:rPr>
            </w:r>
            <w:r w:rsidR="00B2623C">
              <w:rPr>
                <w:noProof/>
                <w:webHidden/>
              </w:rPr>
              <w:fldChar w:fldCharType="separate"/>
            </w:r>
            <w:r w:rsidR="00B2623C">
              <w:rPr>
                <w:noProof/>
                <w:webHidden/>
              </w:rPr>
              <w:t>5</w:t>
            </w:r>
            <w:r w:rsidR="00B2623C">
              <w:rPr>
                <w:noProof/>
                <w:webHidden/>
              </w:rPr>
              <w:fldChar w:fldCharType="end"/>
            </w:r>
          </w:hyperlink>
        </w:p>
        <w:p w14:paraId="29C19847"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10" w:history="1">
            <w:r w:rsidR="00B2623C" w:rsidRPr="001F486B">
              <w:rPr>
                <w:rStyle w:val="Hyperlnk"/>
                <w:noProof/>
              </w:rPr>
              <w:t>6.</w:t>
            </w:r>
            <w:r w:rsidR="00B2623C">
              <w:rPr>
                <w:rFonts w:asciiTheme="minorHAnsi" w:eastAsiaTheme="minorEastAsia" w:hAnsiTheme="minorHAnsi" w:cstheme="minorBidi"/>
                <w:noProof/>
                <w:lang w:eastAsia="sv-SE"/>
              </w:rPr>
              <w:tab/>
            </w:r>
            <w:r w:rsidR="00B2623C" w:rsidRPr="001F486B">
              <w:rPr>
                <w:rStyle w:val="Hyperlnk"/>
                <w:noProof/>
              </w:rPr>
              <w:t>Annual Report on the Implementation of the EU Strategy to Combat the Illicit Accumulation and Trafficking of Small Arms and Light Weapons and their Ammunition - Actions in 2015</w:t>
            </w:r>
            <w:r w:rsidR="00B2623C">
              <w:rPr>
                <w:noProof/>
                <w:webHidden/>
              </w:rPr>
              <w:tab/>
            </w:r>
            <w:r w:rsidR="00B2623C">
              <w:rPr>
                <w:noProof/>
                <w:webHidden/>
              </w:rPr>
              <w:fldChar w:fldCharType="begin"/>
            </w:r>
            <w:r w:rsidR="00B2623C">
              <w:rPr>
                <w:noProof/>
                <w:webHidden/>
              </w:rPr>
              <w:instrText xml:space="preserve"> PAGEREF _Toc473790010 \h </w:instrText>
            </w:r>
            <w:r w:rsidR="00B2623C">
              <w:rPr>
                <w:noProof/>
                <w:webHidden/>
              </w:rPr>
            </w:r>
            <w:r w:rsidR="00B2623C">
              <w:rPr>
                <w:noProof/>
                <w:webHidden/>
              </w:rPr>
              <w:fldChar w:fldCharType="separate"/>
            </w:r>
            <w:r w:rsidR="00B2623C">
              <w:rPr>
                <w:noProof/>
                <w:webHidden/>
              </w:rPr>
              <w:t>6</w:t>
            </w:r>
            <w:r w:rsidR="00B2623C">
              <w:rPr>
                <w:noProof/>
                <w:webHidden/>
              </w:rPr>
              <w:fldChar w:fldCharType="end"/>
            </w:r>
          </w:hyperlink>
        </w:p>
        <w:p w14:paraId="02FBA78D"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11" w:history="1">
            <w:r w:rsidR="00B2623C" w:rsidRPr="001F486B">
              <w:rPr>
                <w:rStyle w:val="Hyperlnk"/>
                <w:noProof/>
              </w:rPr>
              <w:t>7.</w:t>
            </w:r>
            <w:r w:rsidR="00B2623C">
              <w:rPr>
                <w:rFonts w:asciiTheme="minorHAnsi" w:eastAsiaTheme="minorEastAsia" w:hAnsiTheme="minorHAnsi" w:cstheme="minorBidi"/>
                <w:noProof/>
                <w:lang w:eastAsia="sv-SE"/>
              </w:rPr>
              <w:tab/>
            </w:r>
            <w:r w:rsidR="00B2623C" w:rsidRPr="001F486B">
              <w:rPr>
                <w:rStyle w:val="Hyperlnk"/>
                <w:noProof/>
              </w:rPr>
              <w:t>(poss.) Draft Council Decision on the conclusion of the Agreement continuing the International Science and Technology Center</w:t>
            </w:r>
            <w:r w:rsidR="00B2623C">
              <w:rPr>
                <w:noProof/>
                <w:webHidden/>
              </w:rPr>
              <w:tab/>
            </w:r>
            <w:r w:rsidR="00B2623C">
              <w:rPr>
                <w:noProof/>
                <w:webHidden/>
              </w:rPr>
              <w:fldChar w:fldCharType="begin"/>
            </w:r>
            <w:r w:rsidR="00B2623C">
              <w:rPr>
                <w:noProof/>
                <w:webHidden/>
              </w:rPr>
              <w:instrText xml:space="preserve"> PAGEREF _Toc473790011 \h </w:instrText>
            </w:r>
            <w:r w:rsidR="00B2623C">
              <w:rPr>
                <w:noProof/>
                <w:webHidden/>
              </w:rPr>
            </w:r>
            <w:r w:rsidR="00B2623C">
              <w:rPr>
                <w:noProof/>
                <w:webHidden/>
              </w:rPr>
              <w:fldChar w:fldCharType="separate"/>
            </w:r>
            <w:r w:rsidR="00B2623C">
              <w:rPr>
                <w:noProof/>
                <w:webHidden/>
              </w:rPr>
              <w:t>6</w:t>
            </w:r>
            <w:r w:rsidR="00B2623C">
              <w:rPr>
                <w:noProof/>
                <w:webHidden/>
              </w:rPr>
              <w:fldChar w:fldCharType="end"/>
            </w:r>
          </w:hyperlink>
        </w:p>
        <w:p w14:paraId="0B5771D7"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12" w:history="1">
            <w:r w:rsidR="00B2623C" w:rsidRPr="001F486B">
              <w:rPr>
                <w:rStyle w:val="Hyperlnk"/>
                <w:noProof/>
              </w:rPr>
              <w:t>8.</w:t>
            </w:r>
            <w:r w:rsidR="00B2623C">
              <w:rPr>
                <w:rFonts w:asciiTheme="minorHAnsi" w:eastAsiaTheme="minorEastAsia" w:hAnsiTheme="minorHAnsi" w:cstheme="minorBidi"/>
                <w:noProof/>
                <w:lang w:eastAsia="sv-SE"/>
              </w:rPr>
              <w:tab/>
            </w:r>
            <w:r w:rsidR="00B2623C" w:rsidRPr="001F486B">
              <w:rPr>
                <w:rStyle w:val="Hyperlnk"/>
                <w:noProof/>
              </w:rPr>
              <w:t>(poss.) Special Report No 20/2016 by the Court of Auditors: "Strengthening administrative capacity in Montenegro: progress but better results needed in many key areas"</w:t>
            </w:r>
            <w:r w:rsidR="00B2623C">
              <w:rPr>
                <w:noProof/>
                <w:webHidden/>
              </w:rPr>
              <w:tab/>
            </w:r>
            <w:r w:rsidR="00B2623C">
              <w:rPr>
                <w:noProof/>
                <w:webHidden/>
              </w:rPr>
              <w:fldChar w:fldCharType="begin"/>
            </w:r>
            <w:r w:rsidR="00B2623C">
              <w:rPr>
                <w:noProof/>
                <w:webHidden/>
              </w:rPr>
              <w:instrText xml:space="preserve"> PAGEREF _Toc473790012 \h </w:instrText>
            </w:r>
            <w:r w:rsidR="00B2623C">
              <w:rPr>
                <w:noProof/>
                <w:webHidden/>
              </w:rPr>
            </w:r>
            <w:r w:rsidR="00B2623C">
              <w:rPr>
                <w:noProof/>
                <w:webHidden/>
              </w:rPr>
              <w:fldChar w:fldCharType="separate"/>
            </w:r>
            <w:r w:rsidR="00B2623C">
              <w:rPr>
                <w:noProof/>
                <w:webHidden/>
              </w:rPr>
              <w:t>7</w:t>
            </w:r>
            <w:r w:rsidR="00B2623C">
              <w:rPr>
                <w:noProof/>
                <w:webHidden/>
              </w:rPr>
              <w:fldChar w:fldCharType="end"/>
            </w:r>
          </w:hyperlink>
        </w:p>
        <w:p w14:paraId="34B6FFA1" w14:textId="77777777" w:rsidR="00B2623C" w:rsidRDefault="00042062">
          <w:pPr>
            <w:pStyle w:val="Innehll1"/>
            <w:tabs>
              <w:tab w:val="left" w:pos="440"/>
              <w:tab w:val="right" w:leader="dot" w:pos="9062"/>
            </w:tabs>
            <w:rPr>
              <w:rFonts w:asciiTheme="minorHAnsi" w:eastAsiaTheme="minorEastAsia" w:hAnsiTheme="minorHAnsi" w:cstheme="minorBidi"/>
              <w:noProof/>
              <w:lang w:eastAsia="sv-SE"/>
            </w:rPr>
          </w:pPr>
          <w:hyperlink w:anchor="_Toc473790013" w:history="1">
            <w:r w:rsidR="00B2623C" w:rsidRPr="001F486B">
              <w:rPr>
                <w:rStyle w:val="Hyperlnk"/>
                <w:noProof/>
              </w:rPr>
              <w:t>9.</w:t>
            </w:r>
            <w:r w:rsidR="00B2623C">
              <w:rPr>
                <w:rFonts w:asciiTheme="minorHAnsi" w:eastAsiaTheme="minorEastAsia" w:hAnsiTheme="minorHAnsi" w:cstheme="minorBidi"/>
                <w:noProof/>
                <w:lang w:eastAsia="sv-SE"/>
              </w:rPr>
              <w:tab/>
            </w:r>
            <w:r w:rsidR="00B2623C" w:rsidRPr="001F486B">
              <w:rPr>
                <w:rStyle w:val="Hyperlnk"/>
                <w:noProof/>
              </w:rPr>
              <w:t>Draft Council Decision amending Decision 2011/101/CFSP concerning restrictive measures against Zimbabwe and Draft Council Regulation amending Regulation (EC) No 314/2004 concerning certain restrictive measures in respect of Zimbabwe</w:t>
            </w:r>
            <w:r w:rsidR="00B2623C">
              <w:rPr>
                <w:noProof/>
                <w:webHidden/>
              </w:rPr>
              <w:tab/>
            </w:r>
            <w:r w:rsidR="00B2623C">
              <w:rPr>
                <w:noProof/>
                <w:webHidden/>
              </w:rPr>
              <w:fldChar w:fldCharType="begin"/>
            </w:r>
            <w:r w:rsidR="00B2623C">
              <w:rPr>
                <w:noProof/>
                <w:webHidden/>
              </w:rPr>
              <w:instrText xml:space="preserve"> PAGEREF _Toc473790013 \h </w:instrText>
            </w:r>
            <w:r w:rsidR="00B2623C">
              <w:rPr>
                <w:noProof/>
                <w:webHidden/>
              </w:rPr>
            </w:r>
            <w:r w:rsidR="00B2623C">
              <w:rPr>
                <w:noProof/>
                <w:webHidden/>
              </w:rPr>
              <w:fldChar w:fldCharType="separate"/>
            </w:r>
            <w:r w:rsidR="00B2623C">
              <w:rPr>
                <w:noProof/>
                <w:webHidden/>
              </w:rPr>
              <w:t>7</w:t>
            </w:r>
            <w:r w:rsidR="00B2623C">
              <w:rPr>
                <w:noProof/>
                <w:webHidden/>
              </w:rPr>
              <w:fldChar w:fldCharType="end"/>
            </w:r>
          </w:hyperlink>
        </w:p>
        <w:p w14:paraId="6B7988A3" w14:textId="77777777" w:rsidR="00B2623C" w:rsidRDefault="00042062">
          <w:pPr>
            <w:pStyle w:val="Innehll1"/>
            <w:tabs>
              <w:tab w:val="left" w:pos="660"/>
              <w:tab w:val="right" w:leader="dot" w:pos="9062"/>
            </w:tabs>
            <w:rPr>
              <w:rFonts w:asciiTheme="minorHAnsi" w:eastAsiaTheme="minorEastAsia" w:hAnsiTheme="minorHAnsi" w:cstheme="minorBidi"/>
              <w:noProof/>
              <w:lang w:eastAsia="sv-SE"/>
            </w:rPr>
          </w:pPr>
          <w:hyperlink w:anchor="_Toc473790014" w:history="1">
            <w:r w:rsidR="00B2623C" w:rsidRPr="001F486B">
              <w:rPr>
                <w:rStyle w:val="Hyperlnk"/>
                <w:noProof/>
              </w:rPr>
              <w:t>10.</w:t>
            </w:r>
            <w:r w:rsidR="00B2623C">
              <w:rPr>
                <w:rFonts w:asciiTheme="minorHAnsi" w:eastAsiaTheme="minorEastAsia" w:hAnsiTheme="minorHAnsi" w:cstheme="minorBidi"/>
                <w:noProof/>
                <w:lang w:eastAsia="sv-SE"/>
              </w:rPr>
              <w:tab/>
            </w:r>
            <w:r w:rsidR="00B2623C" w:rsidRPr="001F486B">
              <w:rPr>
                <w:rStyle w:val="Hyperlnk"/>
                <w:noProof/>
              </w:rPr>
              <w:t>Internal border control Proposal for a Council Implementing Decision setting out a recommendation for prolonging temporary internal border control in exceptional circumstances putting the overall functioning of the Schengen area at risk</w:t>
            </w:r>
            <w:r w:rsidR="00B2623C">
              <w:rPr>
                <w:noProof/>
                <w:webHidden/>
              </w:rPr>
              <w:tab/>
            </w:r>
            <w:r w:rsidR="00B2623C">
              <w:rPr>
                <w:noProof/>
                <w:webHidden/>
              </w:rPr>
              <w:fldChar w:fldCharType="begin"/>
            </w:r>
            <w:r w:rsidR="00B2623C">
              <w:rPr>
                <w:noProof/>
                <w:webHidden/>
              </w:rPr>
              <w:instrText xml:space="preserve"> PAGEREF _Toc473790014 \h </w:instrText>
            </w:r>
            <w:r w:rsidR="00B2623C">
              <w:rPr>
                <w:noProof/>
                <w:webHidden/>
              </w:rPr>
            </w:r>
            <w:r w:rsidR="00B2623C">
              <w:rPr>
                <w:noProof/>
                <w:webHidden/>
              </w:rPr>
              <w:fldChar w:fldCharType="separate"/>
            </w:r>
            <w:r w:rsidR="00B2623C">
              <w:rPr>
                <w:noProof/>
                <w:webHidden/>
              </w:rPr>
              <w:t>8</w:t>
            </w:r>
            <w:r w:rsidR="00B2623C">
              <w:rPr>
                <w:noProof/>
                <w:webHidden/>
              </w:rPr>
              <w:fldChar w:fldCharType="end"/>
            </w:r>
          </w:hyperlink>
        </w:p>
        <w:p w14:paraId="307BB8E9" w14:textId="77777777" w:rsidR="00B2623C" w:rsidRDefault="00042062">
          <w:pPr>
            <w:pStyle w:val="Innehll1"/>
            <w:tabs>
              <w:tab w:val="left" w:pos="660"/>
              <w:tab w:val="right" w:leader="dot" w:pos="9062"/>
            </w:tabs>
            <w:rPr>
              <w:rFonts w:asciiTheme="minorHAnsi" w:eastAsiaTheme="minorEastAsia" w:hAnsiTheme="minorHAnsi" w:cstheme="minorBidi"/>
              <w:noProof/>
              <w:lang w:eastAsia="sv-SE"/>
            </w:rPr>
          </w:pPr>
          <w:hyperlink w:anchor="_Toc473790015" w:history="1">
            <w:r w:rsidR="00B2623C" w:rsidRPr="001F486B">
              <w:rPr>
                <w:rStyle w:val="Hyperlnk"/>
                <w:noProof/>
              </w:rPr>
              <w:t>11.</w:t>
            </w:r>
            <w:r w:rsidR="00B2623C">
              <w:rPr>
                <w:rFonts w:asciiTheme="minorHAnsi" w:eastAsiaTheme="minorEastAsia" w:hAnsiTheme="minorHAnsi" w:cstheme="minorBidi"/>
                <w:noProof/>
                <w:lang w:eastAsia="sv-SE"/>
              </w:rPr>
              <w:tab/>
            </w:r>
            <w:r w:rsidR="00B2623C" w:rsidRPr="001F486B">
              <w:rPr>
                <w:rStyle w:val="Hyperlnk"/>
                <w:noProof/>
              </w:rPr>
              <w:t>PIF : Proposal for a Directive of the European Parliament and of the Council on the  fight against fraud to the Union's financial interests by means of criminal law (First reading)</w:t>
            </w:r>
            <w:r w:rsidR="00B2623C">
              <w:rPr>
                <w:noProof/>
                <w:webHidden/>
              </w:rPr>
              <w:tab/>
            </w:r>
            <w:r w:rsidR="00B2623C">
              <w:rPr>
                <w:noProof/>
                <w:webHidden/>
              </w:rPr>
              <w:fldChar w:fldCharType="begin"/>
            </w:r>
            <w:r w:rsidR="00B2623C">
              <w:rPr>
                <w:noProof/>
                <w:webHidden/>
              </w:rPr>
              <w:instrText xml:space="preserve"> PAGEREF _Toc473790015 \h </w:instrText>
            </w:r>
            <w:r w:rsidR="00B2623C">
              <w:rPr>
                <w:noProof/>
                <w:webHidden/>
              </w:rPr>
            </w:r>
            <w:r w:rsidR="00B2623C">
              <w:rPr>
                <w:noProof/>
                <w:webHidden/>
              </w:rPr>
              <w:fldChar w:fldCharType="separate"/>
            </w:r>
            <w:r w:rsidR="00B2623C">
              <w:rPr>
                <w:noProof/>
                <w:webHidden/>
              </w:rPr>
              <w:t>10</w:t>
            </w:r>
            <w:r w:rsidR="00B2623C">
              <w:rPr>
                <w:noProof/>
                <w:webHidden/>
              </w:rPr>
              <w:fldChar w:fldCharType="end"/>
            </w:r>
          </w:hyperlink>
        </w:p>
        <w:p w14:paraId="46B272BD" w14:textId="77777777" w:rsidR="00D957FB" w:rsidRDefault="0079018B">
          <w:r>
            <w:rPr>
              <w:b/>
              <w:bCs/>
              <w:noProof/>
            </w:rPr>
            <w:fldChar w:fldCharType="end"/>
          </w:r>
        </w:p>
      </w:sdtContent>
    </w:sdt>
    <w:p w14:paraId="46B272BE" w14:textId="77777777" w:rsidR="00D957FB" w:rsidRDefault="0079018B">
      <w:pPr>
        <w:ind w:left="0"/>
      </w:pPr>
      <w:r>
        <w:br w:type="page"/>
      </w:r>
    </w:p>
    <w:p w14:paraId="46B272C0" w14:textId="77777777" w:rsidR="00643D86" w:rsidRDefault="0079018B" w:rsidP="00643D86">
      <w:pPr>
        <w:pStyle w:val="Rubrik1"/>
      </w:pPr>
      <w:bookmarkStart w:id="0" w:name="_Toc473790005"/>
      <w:bookmarkStart w:id="1" w:name="_Toc364854645"/>
      <w:r>
        <w:rPr>
          <w:noProof/>
        </w:rPr>
        <w:lastRenderedPageBreak/>
        <w:t>Judgment of the General Court in Case T-720/14 (Rotenberg v. Council)</w:t>
      </w:r>
      <w:bookmarkEnd w:id="0"/>
      <w:r>
        <w:rPr>
          <w:noProof/>
        </w:rPr>
        <w:t xml:space="preserve"> </w:t>
      </w:r>
    </w:p>
    <w:p w14:paraId="46B272C1" w14:textId="3A8E3EFE" w:rsidR="00643D86" w:rsidRDefault="0079018B" w:rsidP="00643D86">
      <w:pPr>
        <w:rPr>
          <w:lang w:val="en-US"/>
        </w:rPr>
      </w:pPr>
      <w:r>
        <w:rPr>
          <w:noProof/>
          <w:lang w:val="en-US"/>
        </w:rPr>
        <w:t>5666</w:t>
      </w:r>
      <w:r>
        <w:rPr>
          <w:lang w:val="en-US"/>
        </w:rPr>
        <w:t>/17 JUR 42 COEST 22 CORLX 36</w:t>
      </w:r>
    </w:p>
    <w:p w14:paraId="46B272C2" w14:textId="77777777" w:rsidR="00643D86" w:rsidRDefault="0079018B" w:rsidP="00643D86">
      <w:r>
        <w:rPr>
          <w:b/>
        </w:rPr>
        <w:t>Ansvarigt statsråd</w:t>
      </w:r>
      <w:r>
        <w:rPr>
          <w:b/>
        </w:rPr>
        <w:br/>
      </w:r>
      <w:r>
        <w:rPr>
          <w:noProof/>
        </w:rPr>
        <w:t>Ann</w:t>
      </w:r>
      <w:r>
        <w:t xml:space="preserve"> Linde</w:t>
      </w:r>
    </w:p>
    <w:p w14:paraId="46B272C3"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2C4"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2C5"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2C6"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2C7"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2C8"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2C9"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2CA"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2CB"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2CD" w14:textId="3A89E29C" w:rsidR="003E701A" w:rsidRDefault="0079018B" w:rsidP="00B129F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EU-tribunalen där tribunalen har meddelat dom. </w:t>
      </w:r>
    </w:p>
    <w:p w14:paraId="46B272CE" w14:textId="56C75C27" w:rsidR="003E701A" w:rsidRDefault="0079018B">
      <w:pPr>
        <w:spacing w:after="280" w:afterAutospacing="1"/>
      </w:pPr>
      <w:r>
        <w:rPr>
          <w:b/>
          <w:bCs/>
        </w:rPr>
        <w:t>Hur regeringen ställer sig till den blivande A-punkten:</w:t>
      </w:r>
      <w:r>
        <w:t xml:space="preserve"> Regeringen har ingen erinran mot denna informationspunkt. </w:t>
      </w:r>
    </w:p>
    <w:p w14:paraId="46B272D0" w14:textId="22BE0EBE" w:rsidR="00FB32B9" w:rsidRDefault="0079018B">
      <w:pPr>
        <w:spacing w:after="280" w:afterAutospacing="1"/>
        <w:rPr>
          <w:noProof/>
        </w:rPr>
      </w:pPr>
      <w:r>
        <w:rPr>
          <w:b/>
          <w:bCs/>
        </w:rPr>
        <w:t>Bakgrund:</w:t>
      </w:r>
      <w:r>
        <w:t xml:space="preserve"> I målet hade en person med kopplingar till Putin yrkat ogiltigförklaring av rådets beslut 2014/145/Gusp om restriktiva åtgärder mot åtgärder som undergräver eller hotar Ukrainas territoriella integritet, suveränitet och oberoende och av rådets förordning (EU) nr 269/2014 om restriktiva åtgärder med avseende på åtgärder som undergräver eller hotar Ukrainas territoriella integritet, suveränitet och oberoende, i den mån som dessa åtgärder rör honom. Tribunalen biföll yrkandena delvis och ogiltigförklarade beslutet resp. förordningen i deras lydelser enligt rådets beslut 2014/508/Gusp och rådets genomförandeförordning (EU) nr 826/2014, dvs. såvitt avser de inledande restriktiva åtgärderna mot denna person från och med den 30 juli 2014. Som skäl för domslutet i den delen anförde tribunalen i huvudsak att rådet gjort en uppenbart oriktig bedömning eftersom de faktiska omständigheterna inte rättfärdigade vidtagande av åtgärderna. Tribunalen avslog dock yrkandena avseende ogiltigförklaring av beslutet resp. förordningen i deras senare lydelser fr.o.m. den 13 mars 2015. I den delen ansåg tribunalen att omständigheterna som åberopades vid 2014 års åtgärder visserligen inte var tillräckliga nu heller, men att de två ytterligare grunder som rådet åberopat från och med mars 2015 var tillräckliga för att rättfärdiga att personen skulle kvarstå på sanktionslistan. </w:t>
      </w:r>
    </w:p>
    <w:p w14:paraId="46B272D1" w14:textId="77777777" w:rsidR="00643D86" w:rsidRDefault="0079018B" w:rsidP="00643D86">
      <w:pPr>
        <w:pStyle w:val="Rubrik1"/>
      </w:pPr>
      <w:bookmarkStart w:id="2" w:name="_Toc473790006"/>
      <w:r>
        <w:rPr>
          <w:noProof/>
        </w:rPr>
        <w:t>Proposal for a Regulation of the European Parliament and of the Council adapting a number of legal acts providing for the use of the regulatory procedure with scrutiny to Articles 290 and 291 of the Treaty on the Functioning of the European Union (First reading)</w:t>
      </w:r>
      <w:r>
        <w:rPr>
          <w:noProof/>
        </w:rPr>
        <w:br/>
        <w:t>and</w:t>
      </w:r>
      <w:r>
        <w:rPr>
          <w:noProof/>
        </w:rPr>
        <w:br/>
        <w:t>Proposal for a Regulation of the European Parliament and of the Council adapting a number of legal acts in the area of Justice providing for the use of the regulatory procedure with scrutiny to Article 290 of the Treaty on the Functioning of the European Union (First reading)</w:t>
      </w:r>
      <w:bookmarkEnd w:id="2"/>
    </w:p>
    <w:p w14:paraId="46B272D2" w14:textId="3D87DF72" w:rsidR="00643D86" w:rsidRDefault="0079018B" w:rsidP="00643D86">
      <w:pPr>
        <w:rPr>
          <w:lang w:val="en-US"/>
        </w:rPr>
      </w:pPr>
      <w:r>
        <w:rPr>
          <w:noProof/>
          <w:lang w:val="en-US"/>
        </w:rPr>
        <w:t>=</w:t>
      </w:r>
      <w:r>
        <w:rPr>
          <w:lang w:val="en-US"/>
        </w:rPr>
        <w:t>Activation of the Friends of Presidency Group ("RPS Adaptation") =Consultation of the European Central Bank (°)</w:t>
      </w:r>
      <w:r>
        <w:rPr>
          <w:lang w:val="en-US"/>
        </w:rPr>
        <w:br/>
      </w:r>
      <w:r>
        <w:rPr>
          <w:noProof/>
          <w:lang w:val="en-US"/>
        </w:rPr>
        <w:t>5707</w:t>
      </w:r>
      <w:r>
        <w:rPr>
          <w:lang w:val="en-US"/>
        </w:rPr>
        <w:t>/17 INST 41 JUR 45 CLIMA 10 TELECOM 20 DEVGEN 14 EMPL 36SOC 50 ENER 18 ENV 75 STATIS 3 ECOFIN 46 DRS 4 EF 12 MI 73 ENT 25 CHIMIE 11 AGRILEG 24 IND 16 COMPET 51 MAP 4 POLARM 2 COARM 20 CSDP/PSDC 41 CFSP/PESC 66 CONSOM 25 SAN 45 JUSTCIV 17 AVIATION 15 TRANS 31 MAR 25 UD 11</w:t>
      </w:r>
      <w:r w:rsidR="00B129FD">
        <w:rPr>
          <w:lang w:val="en-US"/>
        </w:rPr>
        <w:br/>
      </w:r>
      <w:r w:rsidR="00B129FD">
        <w:rPr>
          <w:lang w:val="en-US"/>
        </w:rPr>
        <w:br/>
      </w:r>
      <w:r>
        <w:rPr>
          <w:lang w:val="en-US"/>
        </w:rPr>
        <w:t xml:space="preserve">5623/17 + ADD1 REV 1 CODEC 104 INST 32 JUR 40 CLIMA 7 TELECOM 16DEVGEN 8 EMPL 30 SOC 41 ENER 12 ENV 63 STATIS 2 ECOFIN 37 DRS 3 EF 10 MI 69 ENT 24 CHIMIE 10 AGRILEG 21 IND 15 COMPET 43 MAP 2 POLARM 1 COARM 14 </w:t>
      </w:r>
      <w:r>
        <w:rPr>
          <w:lang w:val="en-US"/>
        </w:rPr>
        <w:lastRenderedPageBreak/>
        <w:t>CSDP/PSDC 35 CFSP/PESC 56 CONSOM 24 SAN 39 JUSTCIV 13 AVIATION 14 TRANS 21 MAR 24 UD 9</w:t>
      </w:r>
      <w:r w:rsidR="00B129FD">
        <w:rPr>
          <w:lang w:val="en-US"/>
        </w:rPr>
        <w:br/>
      </w:r>
      <w:r w:rsidR="00B129FD">
        <w:rPr>
          <w:lang w:val="en-US"/>
        </w:rPr>
        <w:br/>
      </w:r>
      <w:r>
        <w:rPr>
          <w:lang w:val="en-US"/>
        </w:rPr>
        <w:t>5705/17 + ADD 1 CODEC 111 INST 39 JUR 44 JUSTCIV 16</w:t>
      </w:r>
    </w:p>
    <w:p w14:paraId="46B272D3" w14:textId="77777777" w:rsidR="00643D86" w:rsidRDefault="0079018B" w:rsidP="00643D86">
      <w:r>
        <w:rPr>
          <w:b/>
        </w:rPr>
        <w:t>Ansvarigt statsråd</w:t>
      </w:r>
      <w:r>
        <w:rPr>
          <w:b/>
        </w:rPr>
        <w:br/>
      </w:r>
      <w:r>
        <w:rPr>
          <w:noProof/>
        </w:rPr>
        <w:t>Stefan</w:t>
      </w:r>
      <w:r>
        <w:t xml:space="preserve"> Löfven</w:t>
      </w:r>
    </w:p>
    <w:p w14:paraId="46B272D4"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2D5"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2D6"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2D7"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2D8"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2D9"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2DA"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2DB"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2DC"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2DF" w14:textId="2587790B" w:rsidR="00FB32B9" w:rsidRDefault="0079018B" w:rsidP="00B129FD">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COREPER ska godkänna ordförandeskapets avsikt att aktivera en vängrupp och inbjuda Europeiska centralbanken att yttra sig över kommissionens förslag.</w:t>
      </w:r>
      <w:r>
        <w:br/>
      </w:r>
      <w:r>
        <w:br/>
      </w:r>
      <w:r>
        <w:rPr>
          <w:b/>
          <w:bCs/>
        </w:rPr>
        <w:t>Hur regeringen ställer sig till den blivande A-punkten:</w:t>
      </w:r>
      <w:r>
        <w:t xml:space="preserve"> </w:t>
      </w:r>
      <w:r w:rsidR="00747718" w:rsidRPr="00747718">
        <w:t>Regeringen</w:t>
      </w:r>
      <w:r w:rsidR="00747718">
        <w:t xml:space="preserve"> stödjer förslaget.</w:t>
      </w:r>
      <w:r>
        <w:br/>
      </w:r>
      <w:r>
        <w:br/>
      </w:r>
      <w:r>
        <w:rPr>
          <w:b/>
          <w:bCs/>
        </w:rPr>
        <w:t>Bakgrund:</w:t>
      </w:r>
      <w:r>
        <w:t xml:space="preserve"> Kommissionen har den 14 december 2016 presenterat två förslag till förordningar som syftar till att anpassa en rad EU-lagstiftningsakter som hänvisar till ett kommittéförfarande, det föreskrivande förfarandet med kontroll, till antingen systemet med delegerad befogenhet, genomförandebefogenhet eller att låta vissa bestämmelser utgå. Förslagen omfattar en rad rättsakter som berör flera olika politikområden. Ordförandeskapet vill, i likhet med då kommissionen lade fram ett liknande förslag 2013, aktivera en Brysselbaserad vängrupp (rådsarbetsgrupp) som ska behandla förslagen. Detta för att upprätthålla en lämplig grad av samordning och ett konsekvent tillvägagångssätt. </w:t>
      </w:r>
    </w:p>
    <w:p w14:paraId="46B272E0" w14:textId="77777777" w:rsidR="00643D86" w:rsidRDefault="0079018B" w:rsidP="00643D86">
      <w:pPr>
        <w:pStyle w:val="Rubrik1"/>
      </w:pPr>
      <w:bookmarkStart w:id="3" w:name="_Toc473790007"/>
      <w:r>
        <w:rPr>
          <w:noProof/>
        </w:rPr>
        <w:t>Draft Regulation of the European Parliament and of the Council on certain procedures for applying the Stabilisation and Association Agreement between the European Union and the European Atomic Energy Community, of the one part, and Kosovo* of the other part (First reading)</w:t>
      </w:r>
      <w:bookmarkEnd w:id="3"/>
    </w:p>
    <w:p w14:paraId="46B272E1" w14:textId="77777777" w:rsidR="00643D86" w:rsidRDefault="0079018B" w:rsidP="00643D86">
      <w:pPr>
        <w:rPr>
          <w:lang w:val="en-US"/>
        </w:rPr>
      </w:pPr>
      <w:r>
        <w:rPr>
          <w:noProof/>
          <w:lang w:val="en-US"/>
        </w:rPr>
        <w:t>=</w:t>
      </w:r>
      <w:r>
        <w:rPr>
          <w:lang w:val="en-US"/>
        </w:rPr>
        <w:t>Adoption of the legislative act</w:t>
      </w:r>
      <w:r>
        <w:rPr>
          <w:lang w:val="en-US"/>
        </w:rPr>
        <w:br/>
      </w:r>
      <w:r>
        <w:rPr>
          <w:noProof/>
          <w:lang w:val="en-US"/>
        </w:rPr>
        <w:t>5576</w:t>
      </w:r>
      <w:r>
        <w:rPr>
          <w:lang w:val="en-US"/>
        </w:rPr>
        <w:t>/17 CODEC 94 COWEB 7 WTO 13+ ADD 1PE-CONS 56/16 COWEB 151 WTO 354 CODEC 1855</w:t>
      </w:r>
    </w:p>
    <w:p w14:paraId="46B272E2" w14:textId="77777777" w:rsidR="00643D86" w:rsidRDefault="0079018B" w:rsidP="00643D86">
      <w:r>
        <w:rPr>
          <w:b/>
        </w:rPr>
        <w:t>Ansvarigt statsråd</w:t>
      </w:r>
      <w:r>
        <w:rPr>
          <w:b/>
        </w:rPr>
        <w:br/>
      </w:r>
      <w:r>
        <w:rPr>
          <w:noProof/>
        </w:rPr>
        <w:t>Margot</w:t>
      </w:r>
      <w:r>
        <w:t xml:space="preserve"> Wallström</w:t>
      </w:r>
    </w:p>
    <w:p w14:paraId="46B272E3"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2E4"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2E5"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2E6"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2E7"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2E8"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2E9"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2EA"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2EB"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2ED" w14:textId="2EA29FF3" w:rsidR="003E701A" w:rsidRDefault="0079018B" w:rsidP="00B129F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förslag till förordning med vissa procedurer för att tillämpa Stabiliserings- och </w:t>
      </w:r>
      <w:r w:rsidR="003E34E1">
        <w:t>Associeringsavtalet mellan</w:t>
      </w:r>
      <w:r>
        <w:t xml:space="preserve"> Europeiska Unionen och Europeiska Atomenergi Gemenskapen å ena sidan och Kosovo å andra (första läsningen)</w:t>
      </w:r>
      <w:r w:rsidR="00B129FD">
        <w:t>.</w:t>
      </w:r>
    </w:p>
    <w:p w14:paraId="46B272EE" w14:textId="3C6EC16C" w:rsidR="003E701A" w:rsidRDefault="0079018B">
      <w:pPr>
        <w:spacing w:after="280" w:afterAutospacing="1"/>
      </w:pPr>
      <w:r>
        <w:rPr>
          <w:b/>
          <w:bCs/>
        </w:rPr>
        <w:t>Hur regeringen ställer sig till den blivande A-punkten:</w:t>
      </w:r>
      <w:r>
        <w:t xml:space="preserve"> </w:t>
      </w:r>
      <w:r w:rsidR="00747718">
        <w:t>Regeringen</w:t>
      </w:r>
      <w:r>
        <w:t xml:space="preserve"> kan god</w:t>
      </w:r>
      <w:r w:rsidR="00747718">
        <w:t>känna förslaget till förordning.</w:t>
      </w:r>
    </w:p>
    <w:p w14:paraId="46B272F0" w14:textId="19D34D73" w:rsidR="00FB32B9" w:rsidRDefault="0079018B">
      <w:pPr>
        <w:spacing w:after="280" w:afterAutospacing="1"/>
        <w:rPr>
          <w:noProof/>
        </w:rPr>
      </w:pPr>
      <w:r>
        <w:rPr>
          <w:b/>
          <w:bCs/>
        </w:rPr>
        <w:t>Bakgrund:</w:t>
      </w:r>
      <w:r>
        <w:t xml:space="preserve"> Förslaget rör vissa detaljerade förslag (inom handel och fiske/jordbruk) som berör avtalet mellan EU och Euratom å ena sidan och Kosovo å andra sidan. Detta avtal förhandlades under 2015 och trädde </w:t>
      </w:r>
      <w:r w:rsidR="003E34E1">
        <w:t>ikraft den</w:t>
      </w:r>
      <w:r>
        <w:t xml:space="preserve"> 1 april 2016. Enligt förslaget ska EU-kommissionen bl.a. kunna anta detaljerade regler enligt avtalets artikel 31 för kvoter beträffande fisk och fiskeprodukter. EU-kommissionen ska också ha möjlighet att anta ett antal skyddsåtgärder för fiske och jordbruksprodukter. EU-kommissionen ska också kunna </w:t>
      </w:r>
      <w:r>
        <w:lastRenderedPageBreak/>
        <w:t>anta anti-dumping åtgärder om sådana anses nödvändiga. Även åtgärder för att säkerställa konkurrens enligt gällande regler kan bli aktuella från EU-kommissionen.</w:t>
      </w:r>
    </w:p>
    <w:p w14:paraId="46B272F1" w14:textId="77777777" w:rsidR="00643D86" w:rsidRDefault="0079018B" w:rsidP="00643D86">
      <w:pPr>
        <w:pStyle w:val="Rubrik1"/>
      </w:pPr>
      <w:bookmarkStart w:id="4" w:name="_Toc473790008"/>
      <w:r>
        <w:rPr>
          <w:noProof/>
        </w:rPr>
        <w:t>Draft Regulation of the European Parliament and of the Council amending Regulation (EU) 2015/936 on common rules for imports of textile products from certain third countries not covered by bilateral agreements, protocols or other arrangements, or by other specific Union import rules (First reading)</w:t>
      </w:r>
      <w:bookmarkEnd w:id="4"/>
    </w:p>
    <w:p w14:paraId="46B272F2" w14:textId="77777777" w:rsidR="00643D86" w:rsidRDefault="0079018B" w:rsidP="00643D86">
      <w:pPr>
        <w:rPr>
          <w:lang w:val="en-US"/>
        </w:rPr>
      </w:pPr>
      <w:r>
        <w:rPr>
          <w:noProof/>
          <w:lang w:val="en-US"/>
        </w:rPr>
        <w:t>=</w:t>
      </w:r>
      <w:r>
        <w:rPr>
          <w:lang w:val="en-US"/>
        </w:rPr>
        <w:t>Adoption of the legislative act</w:t>
      </w:r>
      <w:r>
        <w:rPr>
          <w:lang w:val="en-US"/>
        </w:rPr>
        <w:br/>
      </w:r>
      <w:r>
        <w:rPr>
          <w:noProof/>
          <w:lang w:val="en-US"/>
        </w:rPr>
        <w:t>5580</w:t>
      </w:r>
      <w:r>
        <w:rPr>
          <w:lang w:val="en-US"/>
        </w:rPr>
        <w:t>/17 CODEC 96 STIS 2 TEXT 2 WTO 14PE-CONS 54/16 STIS 8 TEXT 3 WTO 353 CODEC 1853</w:t>
      </w:r>
    </w:p>
    <w:p w14:paraId="46B272F3" w14:textId="77777777" w:rsidR="00643D86" w:rsidRDefault="0079018B" w:rsidP="00643D86">
      <w:r>
        <w:rPr>
          <w:b/>
        </w:rPr>
        <w:t>Ansvarigt statsråd</w:t>
      </w:r>
      <w:r>
        <w:rPr>
          <w:b/>
        </w:rPr>
        <w:br/>
      </w:r>
      <w:r>
        <w:rPr>
          <w:noProof/>
        </w:rPr>
        <w:t>Ann</w:t>
      </w:r>
      <w:r>
        <w:t xml:space="preserve"> Linde</w:t>
      </w:r>
    </w:p>
    <w:p w14:paraId="46B272F4"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2F5"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2F6"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2F7"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2F8"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2F9"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2FA"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2FB"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2FC"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2FE" w14:textId="3EAF6523" w:rsidR="003E701A" w:rsidRDefault="0079018B" w:rsidP="0079018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att avskaffa importkvoterna för teko (textil och kläder) från Vitryssland.</w:t>
      </w:r>
    </w:p>
    <w:p w14:paraId="46B272FF" w14:textId="77777777" w:rsidR="003E701A" w:rsidRDefault="0079018B">
      <w:pPr>
        <w:spacing w:after="280" w:afterAutospacing="1"/>
      </w:pPr>
      <w:r>
        <w:rPr>
          <w:b/>
          <w:bCs/>
        </w:rPr>
        <w:t>Hur regeringen ställer sig till den blivande A-punkten:</w:t>
      </w:r>
      <w:r>
        <w:t xml:space="preserve"> Regeringen stödjer avskaffandet av tekokvoterna för Vitryssland.</w:t>
      </w:r>
    </w:p>
    <w:p w14:paraId="46B27301" w14:textId="4D0DBF3F" w:rsidR="00FB32B9" w:rsidRDefault="0079018B">
      <w:pPr>
        <w:spacing w:after="280" w:afterAutospacing="1"/>
        <w:rPr>
          <w:noProof/>
        </w:rPr>
      </w:pPr>
      <w:r>
        <w:rPr>
          <w:b/>
          <w:bCs/>
        </w:rPr>
        <w:t>Bakgrund:</w:t>
      </w:r>
      <w:r>
        <w:t xml:space="preserve"> I februari 2016 drog EU (FAC/Utrikesrådet) slutsatsen att efter förbättrade förbindelser mellan EU och Vitryssland så skulle tekokvoterna vid import från Vitryssland tas bort, som en del i ett större paket av åtgärder. Idag fyller tekokvoterna ingen ekonomisk betydelse och de flesta kvoter är lågt utnyttjade. Förslag till ändring i förordningen upphäver de autonoma (ensidiga) kvoterna för import av textilprodukter och kläder samt kvoter för passivförädling från Vitryssland. Bortagandet av kvoterna har begränsad inverkan på unionens handel. TPC-STIS (handelskommittén för stål och textil) godkändende formellt i april och november 2016 att tekokvoterna skulle avskaffas vid import från Vitryssland och att ärendet därmed kunde tas vidare för beslut i Coreper och rådet. Även Europaparlamentet har godkänt förslaget. Ärendet behandlades senast vid Coreper den 7 december 2016, första läsning. </w:t>
      </w:r>
    </w:p>
    <w:p w14:paraId="46B27302" w14:textId="77777777" w:rsidR="00643D86" w:rsidRDefault="0079018B" w:rsidP="00643D86">
      <w:pPr>
        <w:pStyle w:val="Rubrik1"/>
      </w:pPr>
      <w:bookmarkStart w:id="5" w:name="_Toc473790009"/>
      <w:r>
        <w:rPr>
          <w:noProof/>
        </w:rPr>
        <w:t>Annual Progress Report on the Implementation of the European Union Strategy Against the Proliferation of Weapons of Mass Destruction (2016)</w:t>
      </w:r>
      <w:bookmarkEnd w:id="5"/>
    </w:p>
    <w:p w14:paraId="46B27303" w14:textId="4DE38187" w:rsidR="00643D86" w:rsidRDefault="0079018B" w:rsidP="00643D86">
      <w:pPr>
        <w:rPr>
          <w:lang w:val="en-US"/>
        </w:rPr>
      </w:pPr>
      <w:r>
        <w:rPr>
          <w:noProof/>
          <w:lang w:val="en-US"/>
        </w:rPr>
        <w:t>5700</w:t>
      </w:r>
      <w:r>
        <w:rPr>
          <w:lang w:val="en-US"/>
        </w:rPr>
        <w:t>/17 CONOP 8 CODUN 6 COARM 18 CFSP/PESC 63</w:t>
      </w:r>
      <w:r>
        <w:rPr>
          <w:lang w:val="en-US"/>
        </w:rPr>
        <w:br/>
        <w:t>5361/17 CONOP 2 CODUN 1 COARM 7 CFSP/PESC 29 + ADD 1+ ADD 2</w:t>
      </w:r>
    </w:p>
    <w:p w14:paraId="46B27304" w14:textId="4E1F10AE" w:rsidR="00643D86" w:rsidRDefault="0079018B" w:rsidP="00643D86">
      <w:r>
        <w:rPr>
          <w:b/>
        </w:rPr>
        <w:t>Ansvarigt statsråd</w:t>
      </w:r>
      <w:r>
        <w:rPr>
          <w:b/>
        </w:rPr>
        <w:br/>
      </w:r>
      <w:r>
        <w:rPr>
          <w:noProof/>
        </w:rPr>
        <w:t>Margot Wallström</w:t>
      </w:r>
    </w:p>
    <w:p w14:paraId="46B27305"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306"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307"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308"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309"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30A"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30B"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30C"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30D"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30F" w14:textId="6FF050BC" w:rsidR="003E701A" w:rsidRDefault="0079018B" w:rsidP="0079018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godkänna en rapport om genomförandet av EU:s strategi emot spridning av massförstörelsevapen</w:t>
      </w:r>
      <w:r w:rsidR="00747718">
        <w:t>.</w:t>
      </w:r>
    </w:p>
    <w:p w14:paraId="46B27310" w14:textId="2002D98B" w:rsidR="003E701A" w:rsidRDefault="0079018B">
      <w:pPr>
        <w:spacing w:after="280" w:afterAutospacing="1"/>
      </w:pPr>
      <w:r>
        <w:rPr>
          <w:b/>
          <w:bCs/>
        </w:rPr>
        <w:t>Hur regeringen ställer sig till den blivande A-punkten:</w:t>
      </w:r>
      <w:r>
        <w:t xml:space="preserve"> Regeringen avser godkänna rapporten.</w:t>
      </w:r>
    </w:p>
    <w:p w14:paraId="46B27312" w14:textId="23269BC7" w:rsidR="00FB32B9" w:rsidRDefault="0079018B">
      <w:pPr>
        <w:spacing w:after="280" w:afterAutospacing="1"/>
        <w:rPr>
          <w:noProof/>
        </w:rPr>
      </w:pPr>
      <w:r>
        <w:rPr>
          <w:b/>
          <w:bCs/>
        </w:rPr>
        <w:lastRenderedPageBreak/>
        <w:t>Bakgrund:</w:t>
      </w:r>
      <w:r>
        <w:t xml:space="preserve"> </w:t>
      </w:r>
      <w:r w:rsidRPr="007C1CDE">
        <w:t>Rådet ska godkänna en rapport om genomförandet av EU:s strategi emot spridning av massförstörelsevapen. Rapporten redogör för EU:s insatser och projekt under 2016.</w:t>
      </w:r>
      <w:r>
        <w:t xml:space="preserve"> </w:t>
      </w:r>
    </w:p>
    <w:p w14:paraId="46B27313" w14:textId="77777777" w:rsidR="00643D86" w:rsidRDefault="0079018B" w:rsidP="00643D86">
      <w:pPr>
        <w:pStyle w:val="Rubrik1"/>
      </w:pPr>
      <w:bookmarkStart w:id="6" w:name="_Toc473790010"/>
      <w:r>
        <w:rPr>
          <w:noProof/>
        </w:rPr>
        <w:t>Annual Report on the Implementation of the EU Strategy to Combat the Illicit Accumulation and Trafficking of Small Arms and Light Weapons and their Ammunition - Actions in 2015</w:t>
      </w:r>
      <w:bookmarkEnd w:id="6"/>
    </w:p>
    <w:p w14:paraId="46B27314" w14:textId="5C67515A" w:rsidR="00643D86" w:rsidRDefault="0079018B" w:rsidP="00643D86">
      <w:pPr>
        <w:rPr>
          <w:lang w:val="en-US"/>
        </w:rPr>
      </w:pPr>
      <w:r>
        <w:rPr>
          <w:noProof/>
          <w:lang w:val="en-US"/>
        </w:rPr>
        <w:t>5698</w:t>
      </w:r>
      <w:r>
        <w:rPr>
          <w:lang w:val="en-US"/>
        </w:rPr>
        <w:t>/17 CONOP 7 CODUN 5 COARM 17 CFSP/PESC 62</w:t>
      </w:r>
      <w:r>
        <w:rPr>
          <w:lang w:val="en-US"/>
        </w:rPr>
        <w:br/>
        <w:t>5368/17 CONOP 3 CODUN 2 COARM 8 CFSP/PESC 31</w:t>
      </w:r>
    </w:p>
    <w:p w14:paraId="46B27315" w14:textId="77777777" w:rsidR="00643D86" w:rsidRDefault="0079018B" w:rsidP="00643D86">
      <w:r>
        <w:rPr>
          <w:b/>
        </w:rPr>
        <w:t>Ansvarigt statsråd</w:t>
      </w:r>
      <w:r>
        <w:rPr>
          <w:b/>
        </w:rPr>
        <w:br/>
      </w:r>
      <w:r>
        <w:rPr>
          <w:noProof/>
        </w:rPr>
        <w:t>Margot</w:t>
      </w:r>
      <w:r>
        <w:t xml:space="preserve"> Wallström</w:t>
      </w:r>
    </w:p>
    <w:p w14:paraId="46B27316"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317"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318"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319"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31A"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31B"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31C"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31D"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31E"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320" w14:textId="0A52DDCB" w:rsidR="003E701A" w:rsidRDefault="0079018B" w:rsidP="0079018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den årliga rapporten som redovisar åtgärder vidtagna under 2015 i genomförandet av EU:s strategi för kampen mot olaglig anhopning av och handel med handeldvapen och lätta vapen och ammunition.</w:t>
      </w:r>
    </w:p>
    <w:p w14:paraId="46B27321" w14:textId="2813600E" w:rsidR="003E701A" w:rsidRDefault="0079018B">
      <w:pPr>
        <w:spacing w:after="280" w:afterAutospacing="1"/>
      </w:pPr>
      <w:r>
        <w:rPr>
          <w:b/>
          <w:bCs/>
        </w:rPr>
        <w:t>Hur regeringen ställer sig till den blivande A-punkten:</w:t>
      </w:r>
      <w:r>
        <w:t xml:space="preserve"> Regeringen avser rösta ja till att rådet godkänner rapporten. </w:t>
      </w:r>
    </w:p>
    <w:p w14:paraId="46B27323" w14:textId="4572904F" w:rsidR="00FB32B9" w:rsidRDefault="0079018B">
      <w:pPr>
        <w:spacing w:after="280" w:afterAutospacing="1"/>
        <w:rPr>
          <w:noProof/>
        </w:rPr>
      </w:pPr>
      <w:r>
        <w:rPr>
          <w:b/>
          <w:bCs/>
        </w:rPr>
        <w:t>Bakgrund:</w:t>
      </w:r>
      <w:r>
        <w:t xml:space="preserve"> Europeiska rådet antog 2005 EU:s strategi för kampen mot olaglig anhopning av och handel med handeldvapen och lätta vapen och ammunition till dessa. Varje år redovisas vilka åtgärder som vidtagits under det gångna året i syfte att genomföra handlingsplanen.</w:t>
      </w:r>
    </w:p>
    <w:p w14:paraId="46B27324" w14:textId="77777777" w:rsidR="00643D86" w:rsidRDefault="0079018B" w:rsidP="00643D86">
      <w:pPr>
        <w:pStyle w:val="Rubrik1"/>
      </w:pPr>
      <w:bookmarkStart w:id="7" w:name="_Toc473790011"/>
      <w:r>
        <w:rPr>
          <w:noProof/>
        </w:rPr>
        <w:t>(poss.) Draft Council Decision on the conclusion of the Agreement continuing the International Science and Technology Center</w:t>
      </w:r>
      <w:bookmarkEnd w:id="7"/>
    </w:p>
    <w:p w14:paraId="46B27325" w14:textId="77777777" w:rsidR="00643D86" w:rsidRDefault="0079018B" w:rsidP="00643D86">
      <w:pPr>
        <w:rPr>
          <w:lang w:val="en-US"/>
        </w:rPr>
      </w:pPr>
      <w:r>
        <w:rPr>
          <w:noProof/>
          <w:lang w:val="en-US"/>
        </w:rPr>
        <w:t>=</w:t>
      </w:r>
      <w:r>
        <w:rPr>
          <w:lang w:val="en-US"/>
        </w:rPr>
        <w:t>Adoption</w:t>
      </w:r>
      <w:r>
        <w:rPr>
          <w:lang w:val="en-US"/>
        </w:rPr>
        <w:br/>
      </w:r>
      <w:r>
        <w:rPr>
          <w:noProof/>
          <w:lang w:val="en-US"/>
        </w:rPr>
        <w:t>5697</w:t>
      </w:r>
      <w:r>
        <w:rPr>
          <w:lang w:val="en-US"/>
        </w:rPr>
        <w:t>/17 CONOP 6 CODUN 4 COEST 26 COASI 16 COTRA 2 N 6 RECH 20ATO 48558/16 CONOP 42 CODUN 3 COEST 115 COASI 75 COTRA 10 N 33RECH 123 ATO 32</w:t>
      </w:r>
    </w:p>
    <w:p w14:paraId="46B27326" w14:textId="77777777" w:rsidR="00643D86" w:rsidRDefault="0079018B" w:rsidP="00643D86">
      <w:r>
        <w:rPr>
          <w:b/>
        </w:rPr>
        <w:t>Ansvarigt statsråd</w:t>
      </w:r>
      <w:r>
        <w:rPr>
          <w:b/>
        </w:rPr>
        <w:br/>
      </w:r>
      <w:r>
        <w:rPr>
          <w:noProof/>
        </w:rPr>
        <w:t>Karolina</w:t>
      </w:r>
      <w:r>
        <w:t xml:space="preserve"> Skog</w:t>
      </w:r>
    </w:p>
    <w:p w14:paraId="46B27327"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328"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329"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32A"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32B"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32C"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32D"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32E"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32F"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331" w14:textId="7B639276" w:rsidR="003E701A" w:rsidRDefault="0079018B" w:rsidP="0079018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beslutet om ingående av avtalet om fortsatt verksamhet för det internationella vetenskapliga och tekniska centrumet.</w:t>
      </w:r>
    </w:p>
    <w:p w14:paraId="46B27332" w14:textId="35F6A703" w:rsidR="003E701A" w:rsidRDefault="0079018B">
      <w:pPr>
        <w:spacing w:after="280" w:afterAutospacing="1"/>
      </w:pPr>
      <w:r>
        <w:rPr>
          <w:b/>
          <w:bCs/>
        </w:rPr>
        <w:t>Hur regeringen ställer sig till den blivande A-punkten:</w:t>
      </w:r>
      <w:r>
        <w:t xml:space="preserve"> Regeringen avser att rösta ja till förslaget</w:t>
      </w:r>
    </w:p>
    <w:p w14:paraId="46B27333" w14:textId="6B936815" w:rsidR="003E701A" w:rsidRDefault="0079018B">
      <w:pPr>
        <w:spacing w:after="280" w:afterAutospacing="1"/>
      </w:pPr>
      <w:r>
        <w:rPr>
          <w:b/>
          <w:bCs/>
        </w:rPr>
        <w:t>Bakgrund:</w:t>
      </w:r>
      <w:r>
        <w:t xml:space="preserve"> ISTC är ett projekt med svenska rötter men har sedan flera år tillbaka övertagits av EU. Projektet har som motiv att bidra till att behålla forskare och vetenskapsmän inom nedrustningsområdet och bidra till att motverka kunskapsflykt till illegal verksamhet. ISTC hade länge sin bas i Moskva med sedan ett antal år har Ryssland dragit sig ur och Astana föreslås nu som ny bas för verksamheten. Parter till avtalet är: EU och Euratom å ena sidan och Georgien, Japan, Norge, Kirgizistan, Armenien, Kazachstan, Sydkorea, Tadjikistan, och USA å andra sidan.</w:t>
      </w:r>
    </w:p>
    <w:p w14:paraId="46B27335" w14:textId="77777777" w:rsidR="00643D86" w:rsidRDefault="0079018B" w:rsidP="00643D86">
      <w:pPr>
        <w:pStyle w:val="Rubrik1"/>
      </w:pPr>
      <w:bookmarkStart w:id="8" w:name="_Toc473790012"/>
      <w:r>
        <w:rPr>
          <w:noProof/>
        </w:rPr>
        <w:lastRenderedPageBreak/>
        <w:t>(poss.) Special Report No 20/2016 by the Court of Auditors:</w:t>
      </w:r>
      <w:r>
        <w:rPr>
          <w:noProof/>
        </w:rPr>
        <w:br/>
        <w:t>"Strengthening administrative capacity in Montenegro: progress but better results needed in many key areas"</w:t>
      </w:r>
      <w:bookmarkEnd w:id="8"/>
    </w:p>
    <w:p w14:paraId="48F5D69B" w14:textId="2A5282C0" w:rsidR="0079018B" w:rsidRPr="0079018B" w:rsidRDefault="0079018B" w:rsidP="0079018B">
      <w:pPr>
        <w:rPr>
          <w:noProof/>
          <w:lang w:val="en-US"/>
        </w:rPr>
      </w:pPr>
      <w:r>
        <w:rPr>
          <w:noProof/>
          <w:lang w:val="en-US"/>
        </w:rPr>
        <w:t>=</w:t>
      </w:r>
      <w:r>
        <w:rPr>
          <w:lang w:val="en-US"/>
        </w:rPr>
        <w:t>Draft Council conclusions</w:t>
      </w:r>
      <w:r>
        <w:rPr>
          <w:lang w:val="en-US"/>
        </w:rPr>
        <w:br/>
      </w:r>
      <w:r w:rsidRPr="0079018B">
        <w:rPr>
          <w:noProof/>
          <w:lang w:val="en-US"/>
        </w:rPr>
        <w:t>5738/17 ELARG 7 ME 1 FIN 50</w:t>
      </w:r>
    </w:p>
    <w:p w14:paraId="46B27337" w14:textId="77777777" w:rsidR="00643D86" w:rsidRDefault="0079018B" w:rsidP="00643D86">
      <w:r>
        <w:rPr>
          <w:b/>
        </w:rPr>
        <w:t>Ansvarigt statsråd</w:t>
      </w:r>
      <w:r>
        <w:rPr>
          <w:b/>
        </w:rPr>
        <w:br/>
      </w:r>
      <w:r>
        <w:rPr>
          <w:noProof/>
        </w:rPr>
        <w:t>Margot</w:t>
      </w:r>
      <w:r>
        <w:t xml:space="preserve"> Wallström</w:t>
      </w:r>
    </w:p>
    <w:p w14:paraId="46B27338" w14:textId="77777777" w:rsidR="00E0653A" w:rsidRDefault="0079018B"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6B27339"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6B2733A"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6B2733B"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6B2733C"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6B2733D"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6B2733E" w14:textId="77777777" w:rsidR="00E0653A" w:rsidRDefault="0079018B"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6B2733F" w14:textId="77777777" w:rsidR="00E0653A" w:rsidRDefault="0079018B"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6B27340" w14:textId="77777777" w:rsidR="00E0653A" w:rsidRDefault="0079018B"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6B27342" w14:textId="23069100" w:rsidR="003E701A" w:rsidRDefault="0079018B" w:rsidP="0079018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 till rådsslutsatser om Europeiska revisionsrättens rapport "Strengthening administrative capacity in Montenegro: progress but better results needed in many key areas".</w:t>
      </w:r>
    </w:p>
    <w:p w14:paraId="46B27343" w14:textId="77777777" w:rsidR="003E701A" w:rsidRDefault="0079018B">
      <w:pPr>
        <w:spacing w:after="280" w:afterAutospacing="1"/>
      </w:pPr>
      <w:r>
        <w:rPr>
          <w:b/>
          <w:bCs/>
        </w:rPr>
        <w:t>Hur regeringen ställer sig till den blivande A-punkten:</w:t>
      </w:r>
      <w:r>
        <w:t xml:space="preserve"> Regeringen föreslås rösta ja till att rådet antar rådsslutsatser om Europeiska revisionsrättens rapport "Strengthening administrative capacity in Montenegro: progress but better results needed in many key areas".</w:t>
      </w:r>
    </w:p>
    <w:p w14:paraId="46B27345" w14:textId="2A1B6C32" w:rsidR="00FB32B9" w:rsidRDefault="0079018B">
      <w:pPr>
        <w:spacing w:after="280" w:afterAutospacing="1"/>
        <w:rPr>
          <w:noProof/>
        </w:rPr>
      </w:pPr>
      <w:r>
        <w:rPr>
          <w:b/>
          <w:bCs/>
        </w:rPr>
        <w:t>Bakgrund:</w:t>
      </w:r>
      <w:r>
        <w:t xml:space="preserve"> Syftet med Revisionsrättens granskning var att bedöma om EU:s förmedlemskapsstöd (IPA) under 2007-2013 bidrog effektivt till att stärka den administrativa kapaciteten i Montenegro. Revisionsrätten har kommit till slutsatsen att, trots de långsamma framstegen som noterats på flera viktiga områden, har IPA-stödet bidragit till att stärka den administrativa kapaciteten i Montenegro. Revisionen omfattade både finansiellt och icke-finansiellt stöd under denna period, med särskild inriktning på projekt inom tre stora sektorer: offentlig förvaltning, transport och miljö. Resultaten av denna granskning är relevant för vidare programmering av IPA-stödet, bland annat för IPA II och dess kommande halvtidsöversyn, liksom den bredare utvidgningsprocessen. </w:t>
      </w:r>
    </w:p>
    <w:p w14:paraId="46B27348" w14:textId="4AD79EE6" w:rsidR="00643D86" w:rsidRDefault="0079018B" w:rsidP="00643D86">
      <w:pPr>
        <w:pStyle w:val="Rubrik1"/>
      </w:pPr>
      <w:bookmarkStart w:id="9" w:name="_Toc473790013"/>
      <w:r>
        <w:rPr>
          <w:noProof/>
        </w:rPr>
        <w:t>Draft Council Decision amending Decision 2011/101/CFSP concerning restrictive measures against Zimbabwe</w:t>
      </w:r>
      <w:r>
        <w:rPr>
          <w:noProof/>
        </w:rPr>
        <w:br/>
        <w:t>and</w:t>
      </w:r>
      <w:r>
        <w:rPr>
          <w:noProof/>
        </w:rPr>
        <w:br/>
        <w:t>Draft Council Regulation amending Regulation (EC) No 314/2004 concerning certain restrictive measures in respect of Zimbabwe</w:t>
      </w:r>
      <w:bookmarkEnd w:id="9"/>
    </w:p>
    <w:p w14:paraId="46B27349" w14:textId="41FF67A5" w:rsidR="00643D86" w:rsidRDefault="0079018B" w:rsidP="00643D86">
      <w:pPr>
        <w:rPr>
          <w:lang w:val="en-US"/>
        </w:rPr>
      </w:pPr>
      <w:r>
        <w:rPr>
          <w:noProof/>
          <w:lang w:val="en-US"/>
        </w:rPr>
        <w:t>=</w:t>
      </w:r>
      <w:r>
        <w:rPr>
          <w:lang w:val="en-US"/>
        </w:rPr>
        <w:t>Adoption</w:t>
      </w:r>
      <w:r>
        <w:rPr>
          <w:lang w:val="en-US"/>
        </w:rPr>
        <w:br/>
      </w:r>
      <w:r>
        <w:rPr>
          <w:noProof/>
          <w:lang w:val="en-US"/>
        </w:rPr>
        <w:t>5702</w:t>
      </w:r>
      <w:r>
        <w:rPr>
          <w:lang w:val="en-US"/>
        </w:rPr>
        <w:t>/17 CORLX 38 CFSP/PESC 64 RELEX 58 COAFR 32 COARM 19 FIN 48</w:t>
      </w:r>
    </w:p>
    <w:p w14:paraId="46B2734A" w14:textId="77777777" w:rsidR="00643D86" w:rsidRDefault="0079018B" w:rsidP="00643D86">
      <w:pPr>
        <w:rPr>
          <w:lang w:val="en-US"/>
        </w:rPr>
      </w:pPr>
      <w:r>
        <w:rPr>
          <w:lang w:val="en-US"/>
        </w:rPr>
        <w:t>5542/17 CORLX 33 CFSP/PESC 51 COAFR 24 COARM 11 FIN 35</w:t>
      </w:r>
    </w:p>
    <w:p w14:paraId="46B2734B" w14:textId="77777777" w:rsidR="00643D86" w:rsidRDefault="0079018B" w:rsidP="00643D86">
      <w:pPr>
        <w:rPr>
          <w:lang w:val="en-US"/>
        </w:rPr>
      </w:pPr>
      <w:r>
        <w:rPr>
          <w:lang w:val="en-US"/>
        </w:rPr>
        <w:t>5544/17 CORLX 35 CFSP/PESC 53 RELEX 46 COAFR 26 COARM 13 FIN 37</w:t>
      </w:r>
    </w:p>
    <w:p w14:paraId="46B2734C" w14:textId="77777777" w:rsidR="00643D86" w:rsidRDefault="0079018B" w:rsidP="00643D86">
      <w:r>
        <w:rPr>
          <w:b/>
        </w:rPr>
        <w:t>Ansvarigt statsråd</w:t>
      </w:r>
      <w:r>
        <w:rPr>
          <w:b/>
        </w:rPr>
        <w:br/>
      </w:r>
      <w:r>
        <w:rPr>
          <w:noProof/>
        </w:rPr>
        <w:t>Margot</w:t>
      </w:r>
      <w:r>
        <w:t xml:space="preserve"> Wallström</w:t>
      </w:r>
    </w:p>
    <w:p w14:paraId="46B2734D" w14:textId="77777777" w:rsidR="00E0653A" w:rsidRDefault="0079018B" w:rsidP="00C8338E">
      <w:r>
        <w:rPr>
          <w:b/>
        </w:rPr>
        <w:fldChar w:fldCharType="begin"/>
      </w:r>
      <w:r>
        <w:rPr>
          <w:b/>
        </w:rPr>
        <w:instrText xml:space="preserve"> IF "2016-02-10" = "-" </w:instrText>
      </w:r>
      <w:r>
        <w:rPr>
          <w:b/>
        </w:rPr>
        <w:fldChar w:fldCharType="begin"/>
      </w:r>
      <w:r>
        <w:rPr>
          <w:b/>
        </w:rPr>
        <w:instrText xml:space="preserve"> IF "2016-02-14"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2016-02-10</w:instrText>
      </w:r>
    </w:p>
    <w:p w14:paraId="46B2734E"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2016-02-10</w:instrText>
      </w:r>
    </w:p>
    <w:p w14:paraId="46B2734F" w14:textId="77777777" w:rsidR="00E0653A" w:rsidRDefault="0079018B"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2016-02-10</w:instrText>
      </w:r>
    </w:p>
    <w:p w14:paraId="46B27350" w14:textId="77777777" w:rsidR="001F56AB" w:rsidRDefault="0079018B"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2016-02-10</w:instrText>
      </w:r>
    </w:p>
    <w:p w14:paraId="46B27351" w14:textId="77777777" w:rsidR="00E0653A" w:rsidRDefault="0079018B"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2016-02-10</w:t>
      </w:r>
    </w:p>
    <w:p w14:paraId="46B27352" w14:textId="77777777" w:rsidR="001F56AB" w:rsidRDefault="0079018B" w:rsidP="00C8338E">
      <w:pPr>
        <w:rPr>
          <w:b/>
        </w:rPr>
      </w:pPr>
      <w:r>
        <w:rPr>
          <w:b/>
        </w:rPr>
        <w:fldChar w:fldCharType="end"/>
      </w:r>
      <w:r>
        <w:rPr>
          <w:b/>
        </w:rPr>
        <w:fldChar w:fldCharType="begin"/>
      </w:r>
      <w:r>
        <w:rPr>
          <w:b/>
        </w:rPr>
        <w:instrText xml:space="preserve"> IF "2016-02-10" = "-" </w:instrText>
      </w:r>
      <w:r>
        <w:rPr>
          <w:b/>
        </w:rPr>
        <w:fldChar w:fldCharType="begin"/>
      </w:r>
      <w:r>
        <w:rPr>
          <w:b/>
        </w:rPr>
        <w:instrText xml:space="preserve"> IF "2016-02-14"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2016-02-14</w:instrText>
      </w:r>
    </w:p>
    <w:p w14:paraId="46B27353" w14:textId="77777777" w:rsidR="00E0653A" w:rsidRDefault="0079018B"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2016-02-14</w:instrText>
      </w:r>
    </w:p>
    <w:p w14:paraId="46B27354" w14:textId="77777777" w:rsidR="00E0653A" w:rsidRDefault="0079018B"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2016-02-14</w:instrText>
      </w:r>
    </w:p>
    <w:p w14:paraId="46B27355" w14:textId="77777777" w:rsidR="003E701A" w:rsidRDefault="0079018B"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2016-02-14</w:instrText>
      </w:r>
    </w:p>
    <w:p w14:paraId="46B27356" w14:textId="77777777" w:rsidR="00E0653A" w:rsidRDefault="0079018B"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2016-02-14</w:t>
      </w:r>
    </w:p>
    <w:p w14:paraId="46B2735D" w14:textId="77D79295" w:rsidR="003E701A" w:rsidRDefault="0079018B" w:rsidP="0079018B">
      <w:r>
        <w:rPr>
          <w:b/>
        </w:rPr>
        <w:lastRenderedPageBreak/>
        <w:fldChar w:fldCharType="end"/>
      </w:r>
      <w:r w:rsidRPr="00B44CE2">
        <w:rPr>
          <w:b/>
        </w:rPr>
        <w:t>Annotering</w:t>
      </w:r>
      <w:r>
        <w:rPr>
          <w:b/>
        </w:rPr>
        <w:br/>
      </w:r>
      <w:r>
        <w:rPr>
          <w:b/>
          <w:bCs/>
        </w:rPr>
        <w:t xml:space="preserve">Avsikt med behandlingen i rådet: </w:t>
      </w:r>
      <w:r>
        <w:t>Rådet förväntas anta ett rådsbeslut om förlängning av de restriktiva åtgärderna gentemot Zimbabwe.</w:t>
      </w:r>
    </w:p>
    <w:p w14:paraId="01627435" w14:textId="602C0E01" w:rsidR="00EA44A8" w:rsidRDefault="0079018B">
      <w:pPr>
        <w:spacing w:after="280" w:afterAutospacing="1"/>
        <w:rPr>
          <w:b/>
          <w:bCs/>
        </w:rPr>
      </w:pPr>
      <w:r>
        <w:rPr>
          <w:b/>
          <w:bCs/>
        </w:rPr>
        <w:t xml:space="preserve">Hur regeringen ställer sig till den blivande A-punkten: </w:t>
      </w:r>
      <w:r w:rsidR="00EA44A8" w:rsidRPr="00EA44A8">
        <w:rPr>
          <w:bCs/>
        </w:rPr>
        <w:t>Regeringen</w:t>
      </w:r>
      <w:r w:rsidR="00EA44A8">
        <w:rPr>
          <w:bCs/>
        </w:rPr>
        <w:t xml:space="preserve"> avser fatta regeringsbeslut den 16 februari och därefter rösta för ett antagande av rådsbeslut i fråga vid ministermötet. </w:t>
      </w:r>
    </w:p>
    <w:p w14:paraId="46B2735F" w14:textId="77777777" w:rsidR="003E701A" w:rsidRDefault="0079018B" w:rsidP="00EA44A8">
      <w:pPr>
        <w:spacing w:after="280" w:afterAutospacing="1"/>
      </w:pPr>
      <w:r>
        <w:rPr>
          <w:b/>
          <w:bCs/>
        </w:rPr>
        <w:t xml:space="preserve">Bakgrund: </w:t>
      </w:r>
      <w:r>
        <w:t xml:space="preserve">EU införde 2002 restriktiva åtgärder mot Zimbabwe. Dessa omfattar i dagsläget vapenembargo och förbud mot export av utrustning som kan användas för internt förtryck samt riktade åtgärder i form av reserestriktioner och frysning av tillgångar för medlemmar i Zimbabwes regering samt personer och, beträffande frysning av tillgångar, enheter med koppling till regeringen eller vars verksamhet allvarligt undergräver respekten för de mänskliga rättigheterna, demokratin och rättsstatsprincipen i Zimbabwe. Sedan mars 2013 är de riktade åtgärderna suspenderade för de flesta som omfattas av dem. Åtgärderna har förlängts vid flera tillfällen, senast i februari 2016, och gäller för närvarande till och med den 20 februari 2017. </w:t>
      </w:r>
    </w:p>
    <w:p w14:paraId="46B27362" w14:textId="76DADBB2" w:rsidR="00643D86" w:rsidRDefault="0079018B" w:rsidP="0079018B">
      <w:pPr>
        <w:spacing w:after="280" w:afterAutospacing="1"/>
      </w:pPr>
      <w:r>
        <w:t xml:space="preserve">Rådet förväntas den 17 februari 2017 förlänga de restriktiva åtgärderna att gälla ytterligare ett år, till och med den 20 februari 2018. I samband med beslutet införs även ett undantag från förbudet mot export av utrustning som kan användas för internt förtryck, avseende civil användning av sprängämnen och relaterat material inom ramen för infrastrukturprojekt och projekt i gruvindustrin. </w:t>
      </w:r>
      <w:bookmarkEnd w:id="1"/>
    </w:p>
    <w:p w14:paraId="44E92433" w14:textId="77777777" w:rsidR="003E34E1" w:rsidRDefault="003E34E1" w:rsidP="003E34E1">
      <w:pPr>
        <w:pStyle w:val="Rubrik1"/>
      </w:pPr>
      <w:bookmarkStart w:id="10" w:name="_Toc256000003"/>
      <w:bookmarkStart w:id="11" w:name="_Toc473790014"/>
      <w:r>
        <w:rPr>
          <w:noProof/>
        </w:rPr>
        <w:t>Internal border control</w:t>
      </w:r>
      <w:r>
        <w:rPr>
          <w:noProof/>
        </w:rPr>
        <w:br/>
        <w:t>Proposal for a Council Implementing Decision setting out a recommendation for prolonging temporary internal border control in exceptional circumstances putting the overall functioning of the Schengen area at risk</w:t>
      </w:r>
      <w:bookmarkEnd w:id="10"/>
      <w:bookmarkEnd w:id="11"/>
    </w:p>
    <w:p w14:paraId="3F1E8B66" w14:textId="77777777" w:rsidR="003E34E1" w:rsidRDefault="003E34E1" w:rsidP="003E34E1">
      <w:pPr>
        <w:rPr>
          <w:lang w:val="en-US"/>
        </w:rPr>
      </w:pPr>
      <w:r>
        <w:rPr>
          <w:noProof/>
          <w:lang w:val="en-US"/>
        </w:rPr>
        <w:t>=</w:t>
      </w:r>
      <w:r>
        <w:rPr>
          <w:lang w:val="en-US"/>
        </w:rPr>
        <w:t>Approval of the draft text of the recommendation</w:t>
      </w:r>
      <w:r>
        <w:rPr>
          <w:lang w:val="en-US"/>
        </w:rPr>
        <w:br/>
      </w:r>
      <w:r>
        <w:rPr>
          <w:noProof/>
          <w:lang w:val="en-US"/>
        </w:rPr>
        <w:t>5642</w:t>
      </w:r>
      <w:r>
        <w:rPr>
          <w:lang w:val="en-US"/>
        </w:rPr>
        <w:t>/17 SCH-EVAL 26 FRONT 30 COMIX 57</w:t>
      </w:r>
    </w:p>
    <w:p w14:paraId="11D69DDA" w14:textId="77777777" w:rsidR="003E34E1" w:rsidRDefault="003E34E1" w:rsidP="003E34E1">
      <w:r>
        <w:rPr>
          <w:b/>
        </w:rPr>
        <w:t>Ansvarigt statsråd</w:t>
      </w:r>
      <w:r>
        <w:rPr>
          <w:b/>
        </w:rPr>
        <w:br/>
      </w:r>
      <w:r>
        <w:t>Anders Ygeman</w:t>
      </w:r>
    </w:p>
    <w:p w14:paraId="717266D8" w14:textId="77777777" w:rsidR="003E34E1" w:rsidRDefault="003E34E1" w:rsidP="003E34E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CE06494" w14:textId="77777777" w:rsidR="003E34E1" w:rsidRDefault="003E34E1" w:rsidP="003E34E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77F6232" w14:textId="77777777" w:rsidR="003E34E1" w:rsidRDefault="003E34E1" w:rsidP="003E34E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CE70F99" w14:textId="77777777" w:rsidR="003E34E1" w:rsidRDefault="003E34E1" w:rsidP="003E34E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74E4EF3" w14:textId="77777777" w:rsidR="003E34E1" w:rsidRDefault="003E34E1" w:rsidP="003E34E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37AF78" w14:textId="77777777" w:rsidR="003E34E1" w:rsidRDefault="003E34E1" w:rsidP="003E34E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D537DB6" w14:textId="77777777" w:rsidR="003E34E1" w:rsidRDefault="003E34E1" w:rsidP="003E34E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0A9757" w14:textId="77777777" w:rsidR="003E34E1" w:rsidRDefault="003E34E1" w:rsidP="003E34E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C5CD7D9" w14:textId="77777777" w:rsidR="003E34E1" w:rsidRDefault="003E34E1" w:rsidP="003E34E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0D1613F" w14:textId="77777777" w:rsidR="003E34E1" w:rsidRDefault="003E34E1" w:rsidP="003E34E1">
      <w:r>
        <w:instrText>"</w:instrText>
      </w:r>
      <w:r>
        <w:rPr>
          <w:b/>
        </w:rPr>
        <w:instrText xml:space="preserve"> </w:instrText>
      </w:r>
      <w:r>
        <w:rPr>
          <w:b/>
        </w:rPr>
        <w:fldChar w:fldCharType="end"/>
      </w:r>
      <w:r w:rsidRPr="00B44CE2">
        <w:rPr>
          <w:b/>
        </w:rPr>
        <w:t>Annotering</w:t>
      </w:r>
      <w:r>
        <w:rPr>
          <w:b/>
        </w:rPr>
        <w:br/>
      </w:r>
      <w:r w:rsidRPr="003E4177">
        <w:rPr>
          <w:b/>
        </w:rPr>
        <w:t>Avsikt med behandlingen i råde</w:t>
      </w:r>
      <w:r w:rsidRPr="003E4177">
        <w:t>t:</w:t>
      </w:r>
      <w:r>
        <w:t xml:space="preserve"> Antagande av rekommendationerna. </w:t>
      </w:r>
    </w:p>
    <w:p w14:paraId="6B8C7750" w14:textId="77777777" w:rsidR="003E34E1" w:rsidRDefault="003E34E1" w:rsidP="003E34E1">
      <w:pPr>
        <w:spacing w:after="280" w:afterAutospacing="1"/>
      </w:pPr>
      <w:r w:rsidRPr="003E4177">
        <w:rPr>
          <w:b/>
        </w:rPr>
        <w:t>Hur regeringen ställer sig till den blivande A-punkten:</w:t>
      </w:r>
      <w:r>
        <w:t xml:space="preserve"> Regeringen avser att rösta ja till förslaget.</w:t>
      </w:r>
    </w:p>
    <w:p w14:paraId="06CA3891" w14:textId="77777777" w:rsidR="003E34E1" w:rsidRDefault="003E34E1" w:rsidP="003E34E1">
      <w:pPr>
        <w:spacing w:after="280" w:afterAutospacing="1"/>
      </w:pPr>
      <w:r w:rsidRPr="003E4177">
        <w:rPr>
          <w:b/>
        </w:rPr>
        <w:t>Bakgrund:</w:t>
      </w:r>
      <w:r>
        <w:t xml:space="preserve"> Under våren 2016 uppenbarades allvarliga brister i kontrollen av EU:s yttre gräns och flera medlemsstater återinförde som en reaktion tillfälliga kontroller vid de inre gränserna. För att normalisera situationen inom Schengenområdet föreslog kommissionen ett antal åtgärder i sitt meddelande från den 3 mars, ”Att återvända till Schengen – en färdplan” (KOM (2016) 120 slutlig). En av åtgärderna var att de nationellt återinförda tillfälliga gränskontrollerna skulle ersättas av en gemensam ansats med gränskontroller i enlighet med artikel 29 i EU:s gränskodex (förordning 2016/399). Denna gör det möjligt att baserat på ett EU-beslut återinföra tillfälliga kontroller vid alla eller vissa avsnitt av de inre gränserna om en </w:t>
      </w:r>
      <w:r>
        <w:lastRenderedPageBreak/>
        <w:t xml:space="preserve">Schengenmedlemsstats bristande gränskontroll av den yttre gränsen hotar Schengens funktionssätt. </w:t>
      </w:r>
    </w:p>
    <w:p w14:paraId="16E8D9EF" w14:textId="77777777" w:rsidR="003E34E1" w:rsidRDefault="003E34E1" w:rsidP="003E34E1">
      <w:pPr>
        <w:spacing w:after="280" w:afterAutospacing="1"/>
      </w:pPr>
      <w:r>
        <w:t xml:space="preserve">Förfarandet enligt artikel 29 i gränskodexen måste föregås av en Schengenutvärdering som konstaterar att dylika brister utgör ett hot för Schengens funktionssätt. Under hösten 2015 gjordes en Schengenutvärdering av Grekland, varvid konstaterades att landet hade långtgående brister i sin gränskontroll, bland annat fanns inte tillräckliga personella och tekniska resurser. </w:t>
      </w:r>
    </w:p>
    <w:p w14:paraId="7DFD75B2" w14:textId="77777777" w:rsidR="003E34E1" w:rsidRDefault="003E34E1" w:rsidP="003E34E1">
      <w:pPr>
        <w:spacing w:after="280" w:afterAutospacing="1"/>
      </w:pPr>
      <w:r>
        <w:t>Den 4 maj 2016 presenterade kommissionen ett förslag till rådet i enlighet med nämnda artikel om rekommendationer till medlemsstaterna att under sex månader återinföra tillfälliga gränskontroller i:</w:t>
      </w:r>
      <w:r>
        <w:br/>
        <w:t xml:space="preserve">• Österrike vid den österrikisk-ungerska och österrikisk-slovenska landgränsen </w:t>
      </w:r>
      <w:r>
        <w:br/>
        <w:t>• Tyskland vid den tysk-österrikiska landgränsen</w:t>
      </w:r>
      <w:r>
        <w:br/>
        <w:t>• Danmark i hamnarna med färjeförbindelse till Tyskland och vid den dansk-tyska landgränsen</w:t>
      </w:r>
      <w:r>
        <w:br/>
        <w:t>• Sverige i hamnarna i polisregionerna syd och väst och vid Öresundsbron</w:t>
      </w:r>
      <w:r>
        <w:br/>
        <w:t xml:space="preserve">• Norge i hamnarna med färjeförbindelse med Danmark, Tyskland och Sverige </w:t>
      </w:r>
    </w:p>
    <w:p w14:paraId="7F991FA0" w14:textId="77777777" w:rsidR="003E34E1" w:rsidRDefault="003E34E1" w:rsidP="003E34E1">
      <w:pPr>
        <w:spacing w:after="280" w:afterAutospacing="1"/>
      </w:pPr>
      <w:r>
        <w:t>Rekommendationerna antogs av rådet för utrikes frågor (FAC) som en A-punkt den 12 maj 2016. Skriftligt samråd med nämnden inför detta antagande ägde rum samma dag. Ståndpunkt avseende tillämpning av artikel 29 i EU:s gränskodex (förordning 2016/399), vilken utgör rättslig grund för dylika gränskontroller, förankrades i justitieutskottet under en överläggning den 11 februari 2016.</w:t>
      </w:r>
    </w:p>
    <w:p w14:paraId="142EC52E" w14:textId="77777777" w:rsidR="008F7E44" w:rsidRDefault="003E34E1" w:rsidP="003E34E1">
      <w:pPr>
        <w:spacing w:after="280" w:afterAutospacing="1"/>
      </w:pPr>
      <w:r>
        <w:t>Inför att rekommendationerna skulle löpa ut i november 2016 presenterade kommissionen ett förslag på nya rekommendationer om att förlänga de tillfälliga kontrollerna i ytterligare tre månader. De medlemsstater och gränser som berördes var samma som i rekommendationerna från i maj. Förslaget motiverades med att hotet mot Schengens funktionssätt alltjämt kvarstod. Bland annat ansåg kommissionen att det fanns en risk för sekundära förflyttningar av migranter inom EU om gränskontrollerna skulle tas bort. Kommissionen anförde också att det höga antal irreguljära migranter och asylsökande som anlände till EU under hösten 2015 fortfarande utgjorde en betydande utmaning för viktiga samhällsfunktioner i Schengenländerna. Rekommendationerna antogs av rådet för utrikes frågor (FAC) som en A-punkt den 11 november 2016. Skriftligt samråd med nämnden inför detta antagande ägde rum den 7 november 2016.</w:t>
      </w:r>
      <w:r>
        <w:br/>
        <w:t> </w:t>
      </w:r>
      <w:r>
        <w:br/>
        <w:t>Det förslag som kommissionen nu presenterat innehåller rekommendationer om förlängning av de tillfälliga gränskontrollerna i ytterligare tre månader. Samma medlemsstater och gränser som i de senaste rekommendationerna berörs. Baserat på den rapportering som dessa länder har inkommit med konstaterar kommissionen att situationen stabiliserats och att antal nekade inresor och asylsökande till berörda länder gradvis sjunkit. Kommissionen pekar dock på att det höga antal irreguljära migranter som fortfarande befinner sig i Grekland utgör en fortsatt risk för sekundära förflyttningar och att därför hotet mot den allmänna ordningen och inre säkerheten och därmed hotet mot Schengens övergripande funktionssätt kvarstår. Kommissionen anser av den anledningen att kontroller vid de inre gränserna är fortsatt motiverade.</w:t>
      </w:r>
    </w:p>
    <w:p w14:paraId="4218F55E" w14:textId="77777777" w:rsidR="002A0DAA" w:rsidRDefault="002A0DAA" w:rsidP="003E34E1">
      <w:pPr>
        <w:spacing w:after="280" w:afterAutospacing="1"/>
      </w:pPr>
    </w:p>
    <w:p w14:paraId="03E1B11B" w14:textId="3CC02ECE" w:rsidR="002A0DAA" w:rsidRDefault="002A0DAA" w:rsidP="002A0DAA">
      <w:pPr>
        <w:pStyle w:val="UDrubrik"/>
        <w:tabs>
          <w:tab w:val="left" w:pos="1701"/>
          <w:tab w:val="left" w:pos="1985"/>
        </w:tabs>
        <w:rPr>
          <w:rFonts w:cs="Arial"/>
          <w:sz w:val="28"/>
        </w:rPr>
      </w:pPr>
      <w:r>
        <w:rPr>
          <w:rFonts w:cs="Arial"/>
          <w:sz w:val="28"/>
        </w:rPr>
        <w:lastRenderedPageBreak/>
        <w:t>Färdigförhandlad II-punkt från möte i Coreper II den 25 januari 2017 vilken kan antas som A-punkt vid kommande rådsmöten.</w:t>
      </w:r>
    </w:p>
    <w:p w14:paraId="0453FA3B" w14:textId="77777777" w:rsidR="002A0DAA" w:rsidRDefault="002A0DAA" w:rsidP="002A0DAA">
      <w:pPr>
        <w:spacing w:after="280" w:afterAutospacing="1"/>
      </w:pPr>
      <w:r>
        <w:t xml:space="preserve"> </w:t>
      </w:r>
    </w:p>
    <w:p w14:paraId="0D9E2FBA" w14:textId="77777777" w:rsidR="002A0DAA" w:rsidRDefault="002A0DAA" w:rsidP="002A0DAA">
      <w:pPr>
        <w:pStyle w:val="Rubrik1"/>
      </w:pPr>
      <w:bookmarkStart w:id="12" w:name="_Toc473789843"/>
      <w:bookmarkStart w:id="13" w:name="_Toc473790015"/>
      <w:r>
        <w:rPr>
          <w:noProof/>
        </w:rPr>
        <w:t>PIF : Proposal for a Directive of the European Parliament and of the Council on the</w:t>
      </w:r>
      <w:r>
        <w:rPr>
          <w:noProof/>
        </w:rPr>
        <w:br/>
        <w:t xml:space="preserve"> fight against fraud to the Union's financial interests by means of criminal law</w:t>
      </w:r>
      <w:r>
        <w:rPr>
          <w:noProof/>
        </w:rPr>
        <w:br/>
        <w:t>(First reading)</w:t>
      </w:r>
      <w:bookmarkEnd w:id="12"/>
      <w:bookmarkEnd w:id="13"/>
    </w:p>
    <w:p w14:paraId="08999E68" w14:textId="77777777" w:rsidR="002A0DAA" w:rsidRDefault="002A0DAA" w:rsidP="002A0DAA">
      <w:pPr>
        <w:rPr>
          <w:lang w:val="en-US"/>
        </w:rPr>
      </w:pPr>
      <w:r>
        <w:rPr>
          <w:noProof/>
          <w:lang w:val="en-US"/>
        </w:rPr>
        <w:t>=</w:t>
      </w:r>
      <w:r>
        <w:rPr>
          <w:lang w:val="en-US"/>
        </w:rPr>
        <w:t>Preparation for a political agreement</w:t>
      </w:r>
      <w:r>
        <w:rPr>
          <w:lang w:val="en-US"/>
        </w:rPr>
        <w:br/>
      </w:r>
      <w:r>
        <w:rPr>
          <w:noProof/>
          <w:lang w:val="en-US"/>
        </w:rPr>
        <w:t>5434</w:t>
      </w:r>
      <w:r>
        <w:rPr>
          <w:lang w:val="en-US"/>
        </w:rPr>
        <w:t>/17 DROIPEN 4 JAI 50 GAF 3 FIN 28 CADREFIN 5FISC 19 CODEC 70</w:t>
      </w:r>
    </w:p>
    <w:p w14:paraId="085EB93A" w14:textId="77777777" w:rsidR="002A0DAA" w:rsidRDefault="002A0DAA" w:rsidP="002A0DAA">
      <w:r>
        <w:rPr>
          <w:b/>
        </w:rPr>
        <w:t>Ansvarigt statsråd</w:t>
      </w:r>
      <w:r>
        <w:rPr>
          <w:b/>
        </w:rPr>
        <w:br/>
      </w:r>
      <w:r>
        <w:t>Morgan Johansson</w:t>
      </w:r>
    </w:p>
    <w:p w14:paraId="34F49773" w14:textId="77777777" w:rsidR="002A0DAA" w:rsidRDefault="002A0DAA" w:rsidP="002A0DAA">
      <w:pPr>
        <w:spacing w:after="280" w:afterAutospacing="1"/>
      </w:pPr>
      <w:r>
        <w:rPr>
          <w:b/>
          <w:bCs/>
        </w:rPr>
        <w:t xml:space="preserve">Tidigare behandling i EU-nämnden: </w:t>
      </w:r>
      <w:r>
        <w:rPr>
          <w:b/>
          <w:bCs/>
        </w:rPr>
        <w:br/>
      </w:r>
      <w:r>
        <w:t>2016-12-01 (information)</w:t>
      </w:r>
    </w:p>
    <w:p w14:paraId="2662E527" w14:textId="77777777" w:rsidR="002A0DAA" w:rsidRDefault="002A0DAA" w:rsidP="002A0DAA">
      <w:pPr>
        <w:spacing w:after="280" w:afterAutospacing="1"/>
      </w:pPr>
      <w:r>
        <w:rPr>
          <w:b/>
          <w:bCs/>
        </w:rPr>
        <w:t>Tidigare behandling vid rådsmöte:</w:t>
      </w:r>
      <w:r>
        <w:rPr>
          <w:b/>
          <w:bCs/>
        </w:rPr>
        <w:br/>
      </w:r>
      <w:r>
        <w:t>2016-12-08 vid rådets möte (rättsliga och inrikes frågor)</w:t>
      </w:r>
    </w:p>
    <w:p w14:paraId="3AFDE2DC" w14:textId="77777777" w:rsidR="002A0DAA" w:rsidRPr="00210CA1" w:rsidRDefault="002A0DAA" w:rsidP="002A0DAA">
      <w:pPr>
        <w:spacing w:after="280" w:afterAutospacing="1"/>
        <w:rPr>
          <w:b/>
          <w:bCs/>
        </w:rPr>
      </w:pPr>
      <w:r>
        <w:rPr>
          <w:b/>
          <w:bCs/>
        </w:rPr>
        <w:t>Tidigare behandling i justitieutskottet:</w:t>
      </w:r>
      <w:r>
        <w:rPr>
          <w:b/>
          <w:bCs/>
        </w:rPr>
        <w:br/>
      </w:r>
      <w:r>
        <w:t>2016-12-06 (överläggning)</w:t>
      </w:r>
    </w:p>
    <w:p w14:paraId="38F4D5A8" w14:textId="77777777" w:rsidR="002A0DAA" w:rsidRDefault="002A0DAA" w:rsidP="002A0D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B56FAA" w14:textId="77777777" w:rsidR="002A0DAA" w:rsidRDefault="002A0DAA" w:rsidP="002A0D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2899A3D" w14:textId="77777777" w:rsidR="002A0DAA" w:rsidRDefault="002A0DAA" w:rsidP="002A0D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3EEC297" w14:textId="77777777" w:rsidR="002A0DAA" w:rsidRDefault="002A0DAA" w:rsidP="002A0D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AC100C" w14:textId="77777777" w:rsidR="002A0DAA" w:rsidRDefault="002A0DAA" w:rsidP="002A0D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8F06A0F" w14:textId="77777777" w:rsidR="002A0DAA" w:rsidRDefault="002A0DAA" w:rsidP="002A0D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A21A926" w14:textId="77777777" w:rsidR="002A0DAA" w:rsidRDefault="002A0DAA" w:rsidP="002A0D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862FFA2" w14:textId="77777777" w:rsidR="002A0DAA" w:rsidRDefault="002A0DAA" w:rsidP="002A0D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8F5A1BF" w14:textId="77777777" w:rsidR="002A0DAA" w:rsidRDefault="002A0DAA" w:rsidP="002A0D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4B098E" w14:textId="77777777" w:rsidR="002A0DAA" w:rsidRDefault="002A0DAA" w:rsidP="002A0DA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en politisk överenskommelse om direktivet. </w:t>
      </w:r>
    </w:p>
    <w:p w14:paraId="73BA7F60" w14:textId="77777777" w:rsidR="002A0DAA" w:rsidRDefault="002A0DAA" w:rsidP="002A0DAA">
      <w:pPr>
        <w:spacing w:after="280" w:afterAutospacing="1"/>
      </w:pPr>
      <w:r>
        <w:rPr>
          <w:b/>
          <w:bCs/>
        </w:rPr>
        <w:t>Hur regeringen ställer sig till den blivande A-punkten:</w:t>
      </w:r>
      <w:r>
        <w:t xml:space="preserve"> Regeringen avser att rösta ja till att rådet antar en politisk överenskommelse om direktivet.</w:t>
      </w:r>
    </w:p>
    <w:p w14:paraId="54B56A34" w14:textId="77777777" w:rsidR="002A0DAA" w:rsidRDefault="002A0DAA" w:rsidP="002A0DAA">
      <w:pPr>
        <w:spacing w:after="280" w:afterAutospacing="1"/>
      </w:pPr>
      <w:r>
        <w:rPr>
          <w:b/>
          <w:bCs/>
        </w:rPr>
        <w:t>Bakgrund:</w:t>
      </w:r>
      <w:r>
        <w:t xml:space="preserve"> Direktivförslaget presenterades av kommissionen 2012. Direktivet är avsett att ersätta en befintlig konvention i samma ämne (SEFI-konventionen) och dess tre tilläggsprotokoll. Förslaget syftar till att mer effektivt bekämpa brott mot EU:s budget såsom bedrägerier, korruption, förskingring och penningtvätt. </w:t>
      </w:r>
    </w:p>
    <w:p w14:paraId="4EB82F1F" w14:textId="77777777" w:rsidR="002A0DAA" w:rsidRDefault="002A0DAA" w:rsidP="002A0DAA">
      <w:pPr>
        <w:spacing w:after="280" w:afterAutospacing="1"/>
      </w:pPr>
      <w:r>
        <w:t xml:space="preserve">Rådet antog en allmän inriktning om direktivet den 6 juni 2013 och trepartsförhandlingar inleddes hösten 2014. Dessa strandade dock på grund av oenighet i frågan om momsbedrägerier ska ingå i direktivet. Kommissionen och Europaparlamentet menade att så skulle vara fallet medan rådet hade en motsatt uppfattning. Vid RIF-rådet i oktober 2016 stod det emellertid klart att en majoritet av medlemsstaterna kunde tänka sig en kompromiss som gick ut på att inkludera allvarliga och gränsöverskridande momsbedrägerier. Sverige var en av de medlemsstater som länge motsatte sig att momsbedrägerier skulle omfattas av direktivet. </w:t>
      </w:r>
    </w:p>
    <w:p w14:paraId="0AF49720" w14:textId="77777777" w:rsidR="002A0DAA" w:rsidRDefault="002A0DAA" w:rsidP="002A0DAA">
      <w:pPr>
        <w:spacing w:after="280" w:afterAutospacing="1"/>
      </w:pPr>
      <w:r>
        <w:t xml:space="preserve">Vid ett trepartsmöte den 30 november 2016 enades ordförandeskapet och Europaparlamentet om en preliminär kompromisstext som bl.a. inkluderade gränsöverskridande momsbedrägerier med en total skada om minst 10 miljoner euro. I samband med regeringens överläggning med Justitieutskottet den 6 december samma år, lämnade utskottet stöd åt regeringens förslag till ändrad ståndpunkt avseende momsbedrägerier. Detta innebär att Sverige kan acceptera att den </w:t>
      </w:r>
      <w:r>
        <w:lastRenderedPageBreak/>
        <w:t>typ av momsbedrägerier som anges i kompromissförslaget inkluderas i direktivets tillämpningsområde. Även i övrigt kan direktivet godtas.</w:t>
      </w:r>
    </w:p>
    <w:p w14:paraId="07F23EA4" w14:textId="6D895792" w:rsidR="008F7E44" w:rsidRPr="002A0DAA" w:rsidRDefault="002A0DAA" w:rsidP="002A0DAA">
      <w:pPr>
        <w:spacing w:after="280" w:afterAutospacing="1"/>
      </w:pPr>
      <w:r>
        <w:t xml:space="preserve">Berörda utskott i Europaparlamentet godkände kompromisstexten vid en omröstning den 12 januari 2017. Rådet föreslås nu anta en politisk överenskommelse om direktivet i enlighet med </w:t>
      </w:r>
      <w:bookmarkStart w:id="14" w:name="_GoBack"/>
      <w:bookmarkEnd w:id="14"/>
      <w:r>
        <w:t>kompromisstexten från november förra året.</w:t>
      </w:r>
    </w:p>
    <w:sectPr w:rsidR="008F7E44" w:rsidRPr="002A0DAA"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2737C" w14:textId="77777777" w:rsidR="009029CD" w:rsidRDefault="0079018B">
      <w:pPr>
        <w:spacing w:after="0" w:line="240" w:lineRule="auto"/>
      </w:pPr>
      <w:r>
        <w:separator/>
      </w:r>
    </w:p>
  </w:endnote>
  <w:endnote w:type="continuationSeparator" w:id="0">
    <w:p w14:paraId="46B2737E" w14:textId="77777777" w:rsidR="009029CD" w:rsidRDefault="0079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6B27367" w14:textId="77777777" w:rsidR="00283DF3" w:rsidRDefault="00042062">
        <w:pPr>
          <w:pStyle w:val="Sidfot"/>
          <w:jc w:val="right"/>
        </w:pPr>
      </w:p>
    </w:sdtContent>
  </w:sdt>
  <w:p w14:paraId="46B27368" w14:textId="77777777" w:rsidR="00283DF3" w:rsidRDefault="0004206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27376" w14:textId="77777777" w:rsidR="00283DF3" w:rsidRDefault="00042062">
    <w:pPr>
      <w:pStyle w:val="Sidfot"/>
      <w:jc w:val="right"/>
    </w:pPr>
  </w:p>
  <w:p w14:paraId="46B27377" w14:textId="77777777" w:rsidR="00283DF3" w:rsidRDefault="0004206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27378" w14:textId="77777777" w:rsidR="009029CD" w:rsidRDefault="0079018B">
      <w:pPr>
        <w:spacing w:after="0" w:line="240" w:lineRule="auto"/>
      </w:pPr>
      <w:r>
        <w:separator/>
      </w:r>
    </w:p>
  </w:footnote>
  <w:footnote w:type="continuationSeparator" w:id="0">
    <w:p w14:paraId="46B2737A" w14:textId="77777777" w:rsidR="009029CD" w:rsidRDefault="00790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6B27364" w14:textId="77777777" w:rsidR="002F3A5A" w:rsidRDefault="0079018B" w:rsidP="002F3A5A">
        <w:pPr>
          <w:pStyle w:val="Sidhuvud"/>
          <w:jc w:val="right"/>
        </w:pPr>
        <w:r>
          <w:fldChar w:fldCharType="begin"/>
        </w:r>
        <w:r>
          <w:instrText xml:space="preserve"> PAGE   \* MERGEFORMAT </w:instrText>
        </w:r>
        <w:r>
          <w:fldChar w:fldCharType="separate"/>
        </w:r>
        <w:r w:rsidR="00042062">
          <w:rPr>
            <w:noProof/>
          </w:rPr>
          <w:t>11</w:t>
        </w:r>
        <w:r>
          <w:rPr>
            <w:noProof/>
          </w:rPr>
          <w:fldChar w:fldCharType="end"/>
        </w:r>
      </w:p>
    </w:sdtContent>
  </w:sdt>
  <w:p w14:paraId="46B27365" w14:textId="77777777" w:rsidR="006F1C0D" w:rsidRDefault="0004206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E701A" w14:paraId="46B27370" w14:textId="77777777" w:rsidTr="006E71D7">
      <w:tc>
        <w:tcPr>
          <w:tcW w:w="4606" w:type="dxa"/>
        </w:tcPr>
        <w:p w14:paraId="46B27369" w14:textId="77777777" w:rsidR="006E71D7" w:rsidRDefault="0079018B" w:rsidP="00752770">
          <w:pPr>
            <w:pStyle w:val="Sidhuvud"/>
            <w:ind w:left="0"/>
          </w:pPr>
          <w:r>
            <w:rPr>
              <w:noProof/>
              <w:lang w:eastAsia="sv-SE"/>
            </w:rPr>
            <w:drawing>
              <wp:inline distT="0" distB="0" distL="0" distR="0" wp14:anchorId="46B27378" wp14:editId="46B2737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6B2736A" w14:textId="77777777" w:rsidR="00FB32B9" w:rsidRDefault="00042062"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E701A" w14:paraId="46B2736D" w14:textId="77777777" w:rsidTr="00623763">
            <w:tc>
              <w:tcPr>
                <w:tcW w:w="1833" w:type="dxa"/>
              </w:tcPr>
              <w:p w14:paraId="46B2736B" w14:textId="77777777" w:rsidR="00623763" w:rsidRPr="00623763" w:rsidRDefault="0079018B" w:rsidP="00623763">
                <w:pPr>
                  <w:ind w:left="0"/>
                </w:pPr>
                <w:r w:rsidRPr="00623763">
                  <w:rPr>
                    <w:rFonts w:ascii="TradeGothic" w:hAnsi="TradeGothic"/>
                    <w:b/>
                  </w:rPr>
                  <w:t>Promemoria</w:t>
                </w:r>
              </w:p>
            </w:tc>
            <w:tc>
              <w:tcPr>
                <w:tcW w:w="1833" w:type="dxa"/>
              </w:tcPr>
              <w:p w14:paraId="46B2736C" w14:textId="03419D7D" w:rsidR="00623763" w:rsidRPr="00623763" w:rsidRDefault="0079018B"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5</w:t>
                </w:r>
              </w:p>
            </w:tc>
          </w:tr>
        </w:tbl>
        <w:p w14:paraId="46B2736E" w14:textId="77777777" w:rsidR="00FB32B9" w:rsidRDefault="00042062" w:rsidP="00FB32B9">
          <w:pPr>
            <w:jc w:val="right"/>
          </w:pPr>
        </w:p>
        <w:p w14:paraId="46B2736F" w14:textId="77777777" w:rsidR="006E71D7" w:rsidRDefault="0079018B" w:rsidP="00FB32B9">
          <w:pPr>
            <w:ind w:right="916"/>
          </w:pPr>
          <w:r>
            <w:rPr>
              <w:rFonts w:ascii="TradeGothic" w:hAnsi="TradeGothic"/>
              <w:b/>
              <w:noProof/>
            </w:rPr>
            <w:t>2017-02-01</w:t>
          </w:r>
          <w:r w:rsidRPr="00934953">
            <w:t xml:space="preserve"> </w:t>
          </w:r>
        </w:p>
      </w:tc>
    </w:tr>
  </w:tbl>
  <w:p w14:paraId="46B27371" w14:textId="77777777" w:rsidR="00FB32B9" w:rsidRDefault="00042062" w:rsidP="00FB32B9">
    <w:pPr>
      <w:pStyle w:val="Avsndare"/>
      <w:framePr w:w="0" w:hRule="auto" w:hSpace="0" w:wrap="auto" w:vAnchor="margin" w:hAnchor="text" w:xAlign="left" w:yAlign="inline"/>
      <w:rPr>
        <w:b/>
        <w:i w:val="0"/>
        <w:sz w:val="22"/>
      </w:rPr>
    </w:pPr>
  </w:p>
  <w:p w14:paraId="46B27372" w14:textId="77777777" w:rsidR="00FB32B9" w:rsidRDefault="0079018B" w:rsidP="00FB32B9">
    <w:pPr>
      <w:pStyle w:val="Avsndare"/>
      <w:framePr w:w="0" w:hRule="auto" w:hSpace="0" w:wrap="auto" w:vAnchor="margin" w:hAnchor="text" w:xAlign="left" w:yAlign="inline"/>
      <w:rPr>
        <w:b/>
        <w:i w:val="0"/>
        <w:sz w:val="22"/>
      </w:rPr>
    </w:pPr>
    <w:r>
      <w:rPr>
        <w:b/>
        <w:i w:val="0"/>
        <w:sz w:val="22"/>
      </w:rPr>
      <w:t>Statsrådsberedningen</w:t>
    </w:r>
  </w:p>
  <w:p w14:paraId="46B27373" w14:textId="77777777" w:rsidR="00FB32B9" w:rsidRDefault="00042062" w:rsidP="00FB32B9">
    <w:pPr>
      <w:pStyle w:val="Avsndare"/>
      <w:framePr w:w="0" w:hRule="auto" w:hSpace="0" w:wrap="auto" w:vAnchor="margin" w:hAnchor="text" w:xAlign="left" w:yAlign="inline"/>
    </w:pPr>
  </w:p>
  <w:p w14:paraId="46B27374" w14:textId="77777777" w:rsidR="00FB32B9" w:rsidRDefault="0079018B" w:rsidP="00FB32B9">
    <w:pPr>
      <w:pStyle w:val="Avsndare"/>
      <w:framePr w:w="0" w:hRule="auto" w:hSpace="0" w:wrap="auto" w:vAnchor="margin" w:hAnchor="text" w:xAlign="left" w:yAlign="inline"/>
    </w:pPr>
    <w:r>
      <w:t>EU-kansliet</w:t>
    </w:r>
  </w:p>
  <w:p w14:paraId="46B27375" w14:textId="77777777" w:rsidR="0012376B" w:rsidRDefault="0004206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64B03816">
      <w:start w:val="1"/>
      <w:numFmt w:val="decimal"/>
      <w:pStyle w:val="Rubrik1"/>
      <w:lvlText w:val="%1."/>
      <w:lvlJc w:val="left"/>
      <w:pPr>
        <w:ind w:left="720" w:hanging="360"/>
      </w:pPr>
    </w:lvl>
    <w:lvl w:ilvl="1" w:tplc="35BE0B96" w:tentative="1">
      <w:start w:val="1"/>
      <w:numFmt w:val="lowerLetter"/>
      <w:lvlText w:val="%2."/>
      <w:lvlJc w:val="left"/>
      <w:pPr>
        <w:ind w:left="1440" w:hanging="360"/>
      </w:pPr>
    </w:lvl>
    <w:lvl w:ilvl="2" w:tplc="D39218AA" w:tentative="1">
      <w:start w:val="1"/>
      <w:numFmt w:val="lowerRoman"/>
      <w:lvlText w:val="%3."/>
      <w:lvlJc w:val="right"/>
      <w:pPr>
        <w:ind w:left="2160" w:hanging="180"/>
      </w:pPr>
    </w:lvl>
    <w:lvl w:ilvl="3" w:tplc="7A8009E6" w:tentative="1">
      <w:start w:val="1"/>
      <w:numFmt w:val="decimal"/>
      <w:lvlText w:val="%4."/>
      <w:lvlJc w:val="left"/>
      <w:pPr>
        <w:ind w:left="2880" w:hanging="360"/>
      </w:pPr>
    </w:lvl>
    <w:lvl w:ilvl="4" w:tplc="FD542D58" w:tentative="1">
      <w:start w:val="1"/>
      <w:numFmt w:val="lowerLetter"/>
      <w:lvlText w:val="%5."/>
      <w:lvlJc w:val="left"/>
      <w:pPr>
        <w:ind w:left="3600" w:hanging="360"/>
      </w:pPr>
    </w:lvl>
    <w:lvl w:ilvl="5" w:tplc="EBF0EA4E" w:tentative="1">
      <w:start w:val="1"/>
      <w:numFmt w:val="lowerRoman"/>
      <w:lvlText w:val="%6."/>
      <w:lvlJc w:val="right"/>
      <w:pPr>
        <w:ind w:left="4320" w:hanging="180"/>
      </w:pPr>
    </w:lvl>
    <w:lvl w:ilvl="6" w:tplc="3D58C4D4" w:tentative="1">
      <w:start w:val="1"/>
      <w:numFmt w:val="decimal"/>
      <w:lvlText w:val="%7."/>
      <w:lvlJc w:val="left"/>
      <w:pPr>
        <w:ind w:left="5040" w:hanging="360"/>
      </w:pPr>
    </w:lvl>
    <w:lvl w:ilvl="7" w:tplc="6B7844F8" w:tentative="1">
      <w:start w:val="1"/>
      <w:numFmt w:val="lowerLetter"/>
      <w:lvlText w:val="%8."/>
      <w:lvlJc w:val="left"/>
      <w:pPr>
        <w:ind w:left="5760" w:hanging="360"/>
      </w:pPr>
    </w:lvl>
    <w:lvl w:ilvl="8" w:tplc="4D96CB20" w:tentative="1">
      <w:start w:val="1"/>
      <w:numFmt w:val="lowerRoman"/>
      <w:lvlText w:val="%9."/>
      <w:lvlJc w:val="right"/>
      <w:pPr>
        <w:ind w:left="6480" w:hanging="180"/>
      </w:pPr>
    </w:lvl>
  </w:abstractNum>
  <w:abstractNum w:abstractNumId="1">
    <w:nsid w:val="73990993"/>
    <w:multiLevelType w:val="hybridMultilevel"/>
    <w:tmpl w:val="3BD822EE"/>
    <w:lvl w:ilvl="0" w:tplc="EE92EE02">
      <w:start w:val="1"/>
      <w:numFmt w:val="decimal"/>
      <w:lvlText w:val="%1."/>
      <w:lvlJc w:val="left"/>
      <w:pPr>
        <w:ind w:left="360" w:hanging="360"/>
      </w:pPr>
      <w:rPr>
        <w:b w:val="0"/>
      </w:rPr>
    </w:lvl>
    <w:lvl w:ilvl="1" w:tplc="521697FC" w:tentative="1">
      <w:start w:val="1"/>
      <w:numFmt w:val="lowerLetter"/>
      <w:lvlText w:val="%2."/>
      <w:lvlJc w:val="left"/>
      <w:pPr>
        <w:ind w:left="1080" w:hanging="360"/>
      </w:pPr>
    </w:lvl>
    <w:lvl w:ilvl="2" w:tplc="1A6AC238" w:tentative="1">
      <w:start w:val="1"/>
      <w:numFmt w:val="lowerRoman"/>
      <w:lvlText w:val="%3."/>
      <w:lvlJc w:val="right"/>
      <w:pPr>
        <w:ind w:left="1800" w:hanging="180"/>
      </w:pPr>
    </w:lvl>
    <w:lvl w:ilvl="3" w:tplc="558C72E6" w:tentative="1">
      <w:start w:val="1"/>
      <w:numFmt w:val="decimal"/>
      <w:lvlText w:val="%4."/>
      <w:lvlJc w:val="left"/>
      <w:pPr>
        <w:ind w:left="2520" w:hanging="360"/>
      </w:pPr>
    </w:lvl>
    <w:lvl w:ilvl="4" w:tplc="6B2280B2" w:tentative="1">
      <w:start w:val="1"/>
      <w:numFmt w:val="lowerLetter"/>
      <w:lvlText w:val="%5."/>
      <w:lvlJc w:val="left"/>
      <w:pPr>
        <w:ind w:left="3240" w:hanging="360"/>
      </w:pPr>
    </w:lvl>
    <w:lvl w:ilvl="5" w:tplc="9132C7EC" w:tentative="1">
      <w:start w:val="1"/>
      <w:numFmt w:val="lowerRoman"/>
      <w:lvlText w:val="%6."/>
      <w:lvlJc w:val="right"/>
      <w:pPr>
        <w:ind w:left="3960" w:hanging="180"/>
      </w:pPr>
    </w:lvl>
    <w:lvl w:ilvl="6" w:tplc="58AEA488" w:tentative="1">
      <w:start w:val="1"/>
      <w:numFmt w:val="decimal"/>
      <w:lvlText w:val="%7."/>
      <w:lvlJc w:val="left"/>
      <w:pPr>
        <w:ind w:left="4680" w:hanging="360"/>
      </w:pPr>
    </w:lvl>
    <w:lvl w:ilvl="7" w:tplc="95985E70" w:tentative="1">
      <w:start w:val="1"/>
      <w:numFmt w:val="lowerLetter"/>
      <w:lvlText w:val="%8."/>
      <w:lvlJc w:val="left"/>
      <w:pPr>
        <w:ind w:left="5400" w:hanging="360"/>
      </w:pPr>
    </w:lvl>
    <w:lvl w:ilvl="8" w:tplc="85126F9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1A"/>
    <w:rsid w:val="00042062"/>
    <w:rsid w:val="0025155D"/>
    <w:rsid w:val="002A0DAA"/>
    <w:rsid w:val="003E34E1"/>
    <w:rsid w:val="003E701A"/>
    <w:rsid w:val="00747718"/>
    <w:rsid w:val="0079018B"/>
    <w:rsid w:val="007C1CDE"/>
    <w:rsid w:val="008F7E44"/>
    <w:rsid w:val="009029CD"/>
    <w:rsid w:val="00B129FD"/>
    <w:rsid w:val="00B2623C"/>
    <w:rsid w:val="00EA24A8"/>
    <w:rsid w:val="00EA4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link w:val="Text3Char"/>
    <w:rsid w:val="0079018B"/>
    <w:pPr>
      <w:spacing w:after="0" w:line="240" w:lineRule="auto"/>
      <w:ind w:left="1701"/>
    </w:pPr>
    <w:rPr>
      <w:rFonts w:eastAsiaTheme="minorHAnsi"/>
      <w:sz w:val="24"/>
      <w:lang w:val="en-GB"/>
    </w:rPr>
  </w:style>
  <w:style w:type="character" w:customStyle="1" w:styleId="Text3Char">
    <w:name w:val="Text 3 Char"/>
    <w:link w:val="Text3"/>
    <w:locked/>
    <w:rsid w:val="0079018B"/>
    <w:rPr>
      <w:rFonts w:ascii="Times New Roman" w:eastAsiaTheme="minorHAnsi" w:hAnsi="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link w:val="Text3Char"/>
    <w:rsid w:val="0079018B"/>
    <w:pPr>
      <w:spacing w:after="0" w:line="240" w:lineRule="auto"/>
      <w:ind w:left="1701"/>
    </w:pPr>
    <w:rPr>
      <w:rFonts w:eastAsiaTheme="minorHAnsi"/>
      <w:sz w:val="24"/>
      <w:lang w:val="en-GB"/>
    </w:rPr>
  </w:style>
  <w:style w:type="character" w:customStyle="1" w:styleId="Text3Char">
    <w:name w:val="Text 3 Char"/>
    <w:link w:val="Text3"/>
    <w:locked/>
    <w:rsid w:val="0079018B"/>
    <w:rPr>
      <w:rFonts w:ascii="Times New Roman" w:eastAsiaTheme="minorHAnsi"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JE6N4JFJXNNF-17-42217</_dlc_DocId>
    <_dlc_DocIdUrl xmlns="8b66ae41-1ec6-402e-b662-35d1932ca064">
      <Url>http://rkdhs-sb/enhet/EUKansli/_layouts/DocIdRedir.aspx?ID=JE6N4JFJXNNF-17-42217</Url>
      <Description>JE6N4JFJXNNF-17-42217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AB91-92F3-497B-B189-82B1996B45CB}"/>
</file>

<file path=customXml/itemProps2.xml><?xml version="1.0" encoding="utf-8"?>
<ds:datastoreItem xmlns:ds="http://schemas.openxmlformats.org/officeDocument/2006/customXml" ds:itemID="{4299AFA9-5E7F-45F2-B8B0-A9D67F524309}"/>
</file>

<file path=customXml/itemProps3.xml><?xml version="1.0" encoding="utf-8"?>
<ds:datastoreItem xmlns:ds="http://schemas.openxmlformats.org/officeDocument/2006/customXml" ds:itemID="{48D5C11C-FDA4-41D4-B6A8-477834743DCA}"/>
</file>

<file path=customXml/itemProps4.xml><?xml version="1.0" encoding="utf-8"?>
<ds:datastoreItem xmlns:ds="http://schemas.openxmlformats.org/officeDocument/2006/customXml" ds:itemID="{803B578A-366C-4256-B36A-127AAB05C92E}"/>
</file>

<file path=customXml/itemProps5.xml><?xml version="1.0" encoding="utf-8"?>
<ds:datastoreItem xmlns:ds="http://schemas.openxmlformats.org/officeDocument/2006/customXml" ds:itemID="{668024F8-9C6F-4E5A-BE54-B2D94390F988}"/>
</file>

<file path=customXml/itemProps6.xml><?xml version="1.0" encoding="utf-8"?>
<ds:datastoreItem xmlns:ds="http://schemas.openxmlformats.org/officeDocument/2006/customXml" ds:itemID="{9C2606CB-61D6-4095-BACB-3361D79285CC}"/>
</file>

<file path=customXml/itemProps7.xml><?xml version="1.0" encoding="utf-8"?>
<ds:datastoreItem xmlns:ds="http://schemas.openxmlformats.org/officeDocument/2006/customXml" ds:itemID="{3621FA1F-F523-4150-911C-8B10AAA534DA}"/>
</file>

<file path=docProps/app.xml><?xml version="1.0" encoding="utf-8"?>
<Properties xmlns="http://schemas.openxmlformats.org/officeDocument/2006/extended-properties" xmlns:vt="http://schemas.openxmlformats.org/officeDocument/2006/docPropsVTypes">
  <Template>Normal</Template>
  <TotalTime>0</TotalTime>
  <Pages>11</Pages>
  <Words>4636</Words>
  <Characters>24571</Characters>
  <Application>Microsoft Office Word</Application>
  <DocSecurity>4</DocSecurity>
  <Lines>204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2017-02-02T10:24:00Z</dcterms:created>
  <dcterms:modified xsi:type="dcterms:W3CDTF">2017-02-02T10:24:00Z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4,5,8,9,12,13,14,15,31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5ee8bbc3-33d2-40f5-99cc-3e5ecf52fa22</vt:lpwstr>
  </property>
</Properties>
</file>