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42C72" w:rsidTr="005803F6">
        <w:tblPrEx>
          <w:tblCellMar>
            <w:top w:w="0" w:type="dxa"/>
            <w:bottom w:w="0" w:type="dxa"/>
          </w:tblCellMar>
        </w:tblPrEx>
        <w:tc>
          <w:tcPr>
            <w:tcW w:w="2268" w:type="dxa"/>
          </w:tcPr>
          <w:p w:rsidR="006E4E11" w:rsidRPr="00642C7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42C72" w:rsidRDefault="006E4E11" w:rsidP="007242A3">
            <w:pPr>
              <w:framePr w:w="5035" w:h="1644" w:wrap="notBeside" w:vAnchor="page" w:hAnchor="page" w:x="6573" w:y="721"/>
              <w:rPr>
                <w:rFonts w:ascii="TradeGothic" w:hAnsi="TradeGothic"/>
                <w:i/>
                <w:sz w:val="18"/>
              </w:rPr>
            </w:pPr>
          </w:p>
        </w:tc>
      </w:tr>
      <w:tr w:rsidR="005803F6" w:rsidRPr="00642C72" w:rsidTr="005803F6">
        <w:tblPrEx>
          <w:tblCellMar>
            <w:top w:w="0" w:type="dxa"/>
            <w:bottom w:w="0" w:type="dxa"/>
          </w:tblCellMar>
        </w:tblPrEx>
        <w:tc>
          <w:tcPr>
            <w:tcW w:w="5267" w:type="dxa"/>
            <w:gridSpan w:val="3"/>
          </w:tcPr>
          <w:p w:rsidR="005803F6" w:rsidRPr="00642C72" w:rsidRDefault="005803F6" w:rsidP="007242A3">
            <w:pPr>
              <w:framePr w:w="5035" w:h="1644" w:wrap="notBeside" w:vAnchor="page" w:hAnchor="page" w:x="6573" w:y="721"/>
              <w:rPr>
                <w:rFonts w:ascii="TradeGothic" w:hAnsi="TradeGothic"/>
                <w:b/>
                <w:sz w:val="22"/>
              </w:rPr>
            </w:pPr>
            <w:r w:rsidRPr="00642C72">
              <w:rPr>
                <w:rFonts w:ascii="TradeGothic" w:hAnsi="TradeGothic"/>
                <w:b/>
                <w:sz w:val="22"/>
              </w:rPr>
              <w:t>Rådspromemoria</w:t>
            </w:r>
          </w:p>
        </w:tc>
      </w:tr>
      <w:tr w:rsidR="006E4E11" w:rsidRPr="00642C72" w:rsidTr="005803F6">
        <w:tblPrEx>
          <w:tblCellMar>
            <w:top w:w="0" w:type="dxa"/>
            <w:bottom w:w="0" w:type="dxa"/>
          </w:tblCellMar>
        </w:tblPrEx>
        <w:tc>
          <w:tcPr>
            <w:tcW w:w="3402" w:type="dxa"/>
            <w:gridSpan w:val="2"/>
          </w:tcPr>
          <w:p w:rsidR="006E4E11" w:rsidRPr="00642C72" w:rsidRDefault="001E4BE0" w:rsidP="007242A3">
            <w:pPr>
              <w:framePr w:w="5035" w:h="1644" w:wrap="notBeside" w:vAnchor="page" w:hAnchor="page" w:x="6573" w:y="721"/>
            </w:pPr>
            <w:r w:rsidRPr="00642C72">
              <w:t>Bilaga</w:t>
            </w:r>
            <w:r w:rsidR="00E90D90" w:rsidRPr="00642C72">
              <w:t xml:space="preserve"> 4</w:t>
            </w:r>
          </w:p>
        </w:tc>
        <w:tc>
          <w:tcPr>
            <w:tcW w:w="1865" w:type="dxa"/>
          </w:tcPr>
          <w:p w:rsidR="006E4E11" w:rsidRPr="00642C72" w:rsidRDefault="006E4E11" w:rsidP="007242A3">
            <w:pPr>
              <w:framePr w:w="5035" w:h="1644" w:wrap="notBeside" w:vAnchor="page" w:hAnchor="page" w:x="6573" w:y="721"/>
            </w:pPr>
          </w:p>
        </w:tc>
      </w:tr>
      <w:tr w:rsidR="006E4E11" w:rsidRPr="00642C72" w:rsidTr="005803F6">
        <w:tblPrEx>
          <w:tblCellMar>
            <w:top w:w="0" w:type="dxa"/>
            <w:bottom w:w="0" w:type="dxa"/>
          </w:tblCellMar>
        </w:tblPrEx>
        <w:tc>
          <w:tcPr>
            <w:tcW w:w="2268" w:type="dxa"/>
          </w:tcPr>
          <w:p w:rsidR="006E4E11" w:rsidRPr="00642C72" w:rsidRDefault="005803F6" w:rsidP="007242A3">
            <w:pPr>
              <w:framePr w:w="5035" w:h="1644" w:wrap="notBeside" w:vAnchor="page" w:hAnchor="page" w:x="6573" w:y="721"/>
            </w:pPr>
            <w:r w:rsidRPr="00642C72">
              <w:t>2010-</w:t>
            </w:r>
            <w:r w:rsidR="00C3375A" w:rsidRPr="00642C72">
              <w:t>1</w:t>
            </w:r>
            <w:r w:rsidR="00CC2A7C" w:rsidRPr="00642C72">
              <w:t>2-0</w:t>
            </w:r>
            <w:r w:rsidR="00B9718C" w:rsidRPr="00642C72">
              <w:t>8</w:t>
            </w:r>
          </w:p>
        </w:tc>
        <w:tc>
          <w:tcPr>
            <w:tcW w:w="2999" w:type="dxa"/>
            <w:gridSpan w:val="2"/>
          </w:tcPr>
          <w:p w:rsidR="006E4E11" w:rsidRPr="00642C72" w:rsidRDefault="006E4E11" w:rsidP="007242A3">
            <w:pPr>
              <w:framePr w:w="5035" w:h="1644" w:wrap="notBeside" w:vAnchor="page" w:hAnchor="page" w:x="6573" w:y="721"/>
            </w:pPr>
          </w:p>
        </w:tc>
      </w:tr>
      <w:tr w:rsidR="006E4E11" w:rsidRPr="00642C72" w:rsidTr="005803F6">
        <w:tblPrEx>
          <w:tblCellMar>
            <w:top w:w="0" w:type="dxa"/>
            <w:bottom w:w="0" w:type="dxa"/>
          </w:tblCellMar>
        </w:tblPrEx>
        <w:tc>
          <w:tcPr>
            <w:tcW w:w="2268" w:type="dxa"/>
          </w:tcPr>
          <w:p w:rsidR="006E4E11" w:rsidRPr="00642C72" w:rsidRDefault="006E4E11" w:rsidP="007242A3">
            <w:pPr>
              <w:framePr w:w="5035" w:h="1644" w:wrap="notBeside" w:vAnchor="page" w:hAnchor="page" w:x="6573" w:y="721"/>
            </w:pPr>
          </w:p>
        </w:tc>
        <w:tc>
          <w:tcPr>
            <w:tcW w:w="2999" w:type="dxa"/>
            <w:gridSpan w:val="2"/>
          </w:tcPr>
          <w:p w:rsidR="006E4E11" w:rsidRPr="00642C72" w:rsidRDefault="006E4E11" w:rsidP="007242A3">
            <w:pPr>
              <w:framePr w:w="5035" w:h="1644" w:wrap="notBeside" w:vAnchor="page" w:hAnchor="page" w:x="6573" w:y="721"/>
            </w:pPr>
          </w:p>
        </w:tc>
      </w:tr>
    </w:tbl>
    <w:p w:rsidR="001D110B" w:rsidRPr="00642C72" w:rsidRDefault="001D110B" w:rsidP="001D110B">
      <w:pPr>
        <w:rPr>
          <w:vanish/>
        </w:rPr>
      </w:pPr>
    </w:p>
    <w:tbl>
      <w:tblPr>
        <w:tblW w:w="0" w:type="auto"/>
        <w:tblLayout w:type="fixed"/>
        <w:tblLook w:val="0000" w:firstRow="0" w:lastRow="0" w:firstColumn="0" w:lastColumn="0" w:noHBand="0" w:noVBand="0"/>
      </w:tblPr>
      <w:tblGrid>
        <w:gridCol w:w="4911"/>
      </w:tblGrid>
      <w:tr w:rsidR="006E4E11" w:rsidRPr="00642C72">
        <w:tblPrEx>
          <w:tblCellMar>
            <w:top w:w="0" w:type="dxa"/>
            <w:bottom w:w="0" w:type="dxa"/>
          </w:tblCellMar>
        </w:tblPrEx>
        <w:trPr>
          <w:trHeight w:val="284"/>
        </w:trPr>
        <w:tc>
          <w:tcPr>
            <w:tcW w:w="4911" w:type="dxa"/>
          </w:tcPr>
          <w:p w:rsidR="006E4E11" w:rsidRPr="00642C72" w:rsidRDefault="005803F6">
            <w:pPr>
              <w:pStyle w:val="Avsndare"/>
              <w:framePr w:h="2483" w:wrap="notBeside" w:x="1504"/>
              <w:rPr>
                <w:b/>
                <w:i w:val="0"/>
                <w:sz w:val="22"/>
              </w:rPr>
            </w:pPr>
            <w:r w:rsidRPr="00642C72">
              <w:rPr>
                <w:b/>
                <w:i w:val="0"/>
                <w:sz w:val="22"/>
              </w:rPr>
              <w:t>Miljödepartementet</w:t>
            </w:r>
          </w:p>
        </w:tc>
      </w:tr>
      <w:tr w:rsidR="006E4E11" w:rsidRPr="00642C72">
        <w:tblPrEx>
          <w:tblCellMar>
            <w:top w:w="0" w:type="dxa"/>
            <w:bottom w:w="0" w:type="dxa"/>
          </w:tblCellMar>
        </w:tblPrEx>
        <w:trPr>
          <w:trHeight w:val="284"/>
        </w:trPr>
        <w:tc>
          <w:tcPr>
            <w:tcW w:w="4911" w:type="dxa"/>
          </w:tcPr>
          <w:p w:rsidR="006E4E11" w:rsidRPr="00642C72" w:rsidRDefault="006E4E11">
            <w:pPr>
              <w:pStyle w:val="Avsndare"/>
              <w:framePr w:h="2483" w:wrap="notBeside" w:x="1504"/>
              <w:rPr>
                <w:bCs/>
                <w:iCs/>
              </w:rPr>
            </w:pPr>
          </w:p>
        </w:tc>
      </w:tr>
      <w:tr w:rsidR="006E4E11" w:rsidRPr="00642C72">
        <w:tblPrEx>
          <w:tblCellMar>
            <w:top w:w="0" w:type="dxa"/>
            <w:bottom w:w="0" w:type="dxa"/>
          </w:tblCellMar>
        </w:tblPrEx>
        <w:trPr>
          <w:trHeight w:val="284"/>
        </w:trPr>
        <w:tc>
          <w:tcPr>
            <w:tcW w:w="4911" w:type="dxa"/>
          </w:tcPr>
          <w:p w:rsidR="006E4E11" w:rsidRPr="00642C72" w:rsidRDefault="006E4E11">
            <w:pPr>
              <w:pStyle w:val="Avsndare"/>
              <w:framePr w:h="2483" w:wrap="notBeside" w:x="1504"/>
              <w:rPr>
                <w:bCs/>
                <w:iCs/>
              </w:rPr>
            </w:pPr>
          </w:p>
        </w:tc>
      </w:tr>
      <w:tr w:rsidR="006E4E11" w:rsidRPr="00642C72">
        <w:tblPrEx>
          <w:tblCellMar>
            <w:top w:w="0" w:type="dxa"/>
            <w:bottom w:w="0" w:type="dxa"/>
          </w:tblCellMar>
        </w:tblPrEx>
        <w:trPr>
          <w:trHeight w:val="284"/>
        </w:trPr>
        <w:tc>
          <w:tcPr>
            <w:tcW w:w="4911" w:type="dxa"/>
          </w:tcPr>
          <w:p w:rsidR="006E4E11" w:rsidRPr="00642C72" w:rsidRDefault="006E4E11">
            <w:pPr>
              <w:pStyle w:val="Avsndare"/>
              <w:framePr w:h="2483" w:wrap="notBeside" w:x="1504"/>
              <w:rPr>
                <w:bCs/>
                <w:iCs/>
              </w:rPr>
            </w:pPr>
          </w:p>
        </w:tc>
      </w:tr>
      <w:tr w:rsidR="006E4E11" w:rsidRPr="00642C72">
        <w:tblPrEx>
          <w:tblCellMar>
            <w:top w:w="0" w:type="dxa"/>
            <w:bottom w:w="0" w:type="dxa"/>
          </w:tblCellMar>
        </w:tblPrEx>
        <w:trPr>
          <w:trHeight w:val="284"/>
        </w:trPr>
        <w:tc>
          <w:tcPr>
            <w:tcW w:w="4911" w:type="dxa"/>
          </w:tcPr>
          <w:p w:rsidR="006E4E11" w:rsidRPr="00642C72" w:rsidRDefault="006E4E11">
            <w:pPr>
              <w:pStyle w:val="Avsndare"/>
              <w:framePr w:h="2483" w:wrap="notBeside" w:x="1504"/>
              <w:rPr>
                <w:bCs/>
                <w:iCs/>
              </w:rPr>
            </w:pPr>
          </w:p>
        </w:tc>
      </w:tr>
    </w:tbl>
    <w:p w:rsidR="006E4E11" w:rsidRPr="00642C72" w:rsidRDefault="006E4E11">
      <w:pPr>
        <w:framePr w:w="4400" w:h="2523" w:wrap="notBeside" w:vAnchor="page" w:hAnchor="page" w:x="6453" w:y="2445"/>
        <w:ind w:left="142"/>
        <w:rPr>
          <w:b/>
        </w:rPr>
      </w:pPr>
    </w:p>
    <w:p w:rsidR="005803F6" w:rsidRPr="00642C72" w:rsidRDefault="00B70CDD">
      <w:pPr>
        <w:pStyle w:val="RKrubrik"/>
        <w:pBdr>
          <w:bottom w:val="single" w:sz="6" w:space="1" w:color="auto"/>
        </w:pBdr>
      </w:pPr>
      <w:bookmarkStart w:id="0" w:name="bRubrik"/>
      <w:bookmarkEnd w:id="0"/>
      <w:r w:rsidRPr="00642C72">
        <w:t>Rådets möte den 19 december 2011</w:t>
      </w:r>
    </w:p>
    <w:p w:rsidR="005803F6" w:rsidRPr="00642C72" w:rsidRDefault="005803F6">
      <w:pPr>
        <w:pStyle w:val="RKnormal"/>
      </w:pPr>
    </w:p>
    <w:p w:rsidR="005803F6" w:rsidRPr="00642C72" w:rsidRDefault="00B70CDD">
      <w:pPr>
        <w:pStyle w:val="RKnormal"/>
      </w:pPr>
      <w:r w:rsidRPr="00642C72">
        <w:t>Dagordningspunkt 6</w:t>
      </w:r>
    </w:p>
    <w:p w:rsidR="005803F6" w:rsidRPr="00642C72" w:rsidRDefault="000E2574">
      <w:pPr>
        <w:pStyle w:val="RKnormal"/>
      </w:pPr>
      <w:r w:rsidRPr="00642C72">
        <w:t>EU:s strategi för biologisk mångfald till 2020 –ett ramverk för implementering.</w:t>
      </w:r>
    </w:p>
    <w:p w:rsidR="005803F6" w:rsidRPr="00642C72" w:rsidRDefault="005803F6">
      <w:pPr>
        <w:pStyle w:val="RKnormal"/>
      </w:pPr>
    </w:p>
    <w:p w:rsidR="00B9718C" w:rsidRPr="00642C72" w:rsidRDefault="005803F6">
      <w:pPr>
        <w:pStyle w:val="RKnormal"/>
      </w:pPr>
      <w:r w:rsidRPr="00642C72">
        <w:t>Dokument:</w:t>
      </w:r>
      <w:r w:rsidR="000E2574" w:rsidRPr="00642C72">
        <w:t xml:space="preserve">   </w:t>
      </w:r>
    </w:p>
    <w:p w:rsidR="005803F6" w:rsidRPr="00642C72" w:rsidRDefault="00CC2A7C">
      <w:pPr>
        <w:pStyle w:val="RKnormal"/>
      </w:pPr>
      <w:r w:rsidRPr="00642C72">
        <w:t>15352/3/11</w:t>
      </w:r>
    </w:p>
    <w:p w:rsidR="005803F6" w:rsidRPr="00642C72" w:rsidRDefault="005803F6">
      <w:pPr>
        <w:pStyle w:val="RKnormal"/>
      </w:pPr>
    </w:p>
    <w:p w:rsidR="00734241" w:rsidRPr="00642C72" w:rsidRDefault="005803F6">
      <w:pPr>
        <w:pStyle w:val="RKnormal"/>
      </w:pPr>
      <w:r w:rsidRPr="00642C72">
        <w:t>Tidigare dokument</w:t>
      </w:r>
      <w:r w:rsidR="000E2574" w:rsidRPr="00642C72">
        <w:t xml:space="preserve">: </w:t>
      </w:r>
      <w:r w:rsidR="00B9718C" w:rsidRPr="00642C72">
        <w:t xml:space="preserve">KOM (2011) 244 Meddelande från kommissionen till Europaparlamentet, rådet, Europeiska ekonomiska och sociala kommittén samt Regionkommittén Vår livförsäkring, vårt naturkapital </w:t>
      </w:r>
      <w:r w:rsidR="004F5150" w:rsidRPr="00642C72">
        <w:t>--</w:t>
      </w:r>
      <w:r w:rsidR="00B9718C" w:rsidRPr="00642C72">
        <w:t xml:space="preserve">en strategi för biologisk mångfald i EU </w:t>
      </w:r>
      <w:r w:rsidR="00893B19" w:rsidRPr="00642C72">
        <w:t xml:space="preserve">fram </w:t>
      </w:r>
      <w:r w:rsidR="00B9718C" w:rsidRPr="00642C72">
        <w:t>till 2020</w:t>
      </w:r>
    </w:p>
    <w:p w:rsidR="00893B19" w:rsidRPr="00642C72" w:rsidRDefault="00893B19">
      <w:pPr>
        <w:pStyle w:val="RKnormal"/>
      </w:pPr>
    </w:p>
    <w:p w:rsidR="00893B19" w:rsidRPr="00642C72" w:rsidRDefault="00893B19">
      <w:pPr>
        <w:pStyle w:val="RKnormal"/>
      </w:pPr>
      <w:r w:rsidRPr="00642C72">
        <w:rPr>
          <w:szCs w:val="24"/>
          <w:lang w:eastAsia="sv-SE"/>
        </w:rPr>
        <w:t>Tidigare FaktaPM</w:t>
      </w:r>
      <w:r w:rsidR="004F5150" w:rsidRPr="00642C72">
        <w:rPr>
          <w:szCs w:val="24"/>
          <w:lang w:eastAsia="sv-SE"/>
        </w:rPr>
        <w:t>:</w:t>
      </w:r>
      <w:r w:rsidRPr="00642C72">
        <w:rPr>
          <w:szCs w:val="24"/>
          <w:lang w:eastAsia="sv-SE"/>
        </w:rPr>
        <w:t xml:space="preserve"> </w:t>
      </w:r>
      <w:r w:rsidRPr="00642C72">
        <w:rPr>
          <w:szCs w:val="24"/>
        </w:rPr>
        <w:fldChar w:fldCharType="begin" w:fldLock="1"/>
      </w:r>
      <w:r w:rsidRPr="00642C72">
        <w:rPr>
          <w:szCs w:val="24"/>
        </w:rPr>
        <w:instrText>DOCPROPERTY Ar</w:instrText>
      </w:r>
      <w:r w:rsidRPr="00642C72">
        <w:rPr>
          <w:szCs w:val="24"/>
        </w:rPr>
        <w:fldChar w:fldCharType="separate"/>
      </w:r>
      <w:r w:rsidRPr="00642C72">
        <w:rPr>
          <w:szCs w:val="24"/>
        </w:rPr>
        <w:t>2010/11</w:t>
      </w:r>
      <w:r w:rsidRPr="00642C72">
        <w:rPr>
          <w:szCs w:val="24"/>
        </w:rPr>
        <w:fldChar w:fldCharType="end"/>
      </w:r>
      <w:r w:rsidRPr="00642C72">
        <w:rPr>
          <w:szCs w:val="24"/>
        </w:rPr>
        <w:t>:</w:t>
      </w:r>
      <w:r w:rsidRPr="00642C72">
        <w:rPr>
          <w:szCs w:val="24"/>
        </w:rPr>
        <w:fldChar w:fldCharType="begin" w:fldLock="1"/>
      </w:r>
      <w:r w:rsidRPr="00642C72">
        <w:rPr>
          <w:szCs w:val="24"/>
        </w:rPr>
        <w:instrText>DOCPROPERTY Typ</w:instrText>
      </w:r>
      <w:r w:rsidRPr="00642C72">
        <w:rPr>
          <w:szCs w:val="24"/>
        </w:rPr>
        <w:fldChar w:fldCharType="separate"/>
      </w:r>
      <w:r w:rsidRPr="00642C72">
        <w:rPr>
          <w:szCs w:val="24"/>
        </w:rPr>
        <w:t>FPM</w:t>
      </w:r>
      <w:r w:rsidRPr="00642C72">
        <w:rPr>
          <w:szCs w:val="24"/>
        </w:rPr>
        <w:fldChar w:fldCharType="end"/>
      </w:r>
      <w:r w:rsidRPr="00642C72">
        <w:rPr>
          <w:szCs w:val="24"/>
        </w:rPr>
        <w:fldChar w:fldCharType="begin" w:fldLock="1"/>
      </w:r>
      <w:r w:rsidRPr="00642C72">
        <w:rPr>
          <w:szCs w:val="24"/>
        </w:rPr>
        <w:instrText>DOCPROPERTY Nr</w:instrText>
      </w:r>
      <w:r w:rsidRPr="00642C72">
        <w:rPr>
          <w:szCs w:val="24"/>
        </w:rPr>
        <w:fldChar w:fldCharType="separate"/>
      </w:r>
      <w:r w:rsidRPr="00642C72">
        <w:rPr>
          <w:szCs w:val="24"/>
        </w:rPr>
        <w:t>117</w:t>
      </w:r>
      <w:r w:rsidRPr="00642C72">
        <w:rPr>
          <w:szCs w:val="24"/>
        </w:rPr>
        <w:fldChar w:fldCharType="end"/>
      </w:r>
      <w:r w:rsidR="00B03054" w:rsidRPr="00642C72">
        <w:t xml:space="preserve"> (strategins huvuddrag)</w:t>
      </w:r>
    </w:p>
    <w:p w:rsidR="005803F6" w:rsidRPr="00642C72" w:rsidRDefault="000E2574">
      <w:pPr>
        <w:pStyle w:val="RKnormal"/>
      </w:pPr>
      <w:r w:rsidRPr="00642C72">
        <w:t xml:space="preserve">   </w:t>
      </w:r>
    </w:p>
    <w:p w:rsidR="005803F6" w:rsidRPr="00642C72" w:rsidRDefault="005803F6">
      <w:pPr>
        <w:pStyle w:val="RKnormal"/>
      </w:pPr>
      <w:r w:rsidRPr="00642C72">
        <w:t>Tidigare behandlad vid samråd med E</w:t>
      </w:r>
      <w:r w:rsidR="000E2574" w:rsidRPr="00642C72">
        <w:t xml:space="preserve">U-nämnden: </w:t>
      </w:r>
      <w:r w:rsidR="00734241" w:rsidRPr="00642C72">
        <w:t>17 juni 2011</w:t>
      </w:r>
      <w:r w:rsidR="00B03054" w:rsidRPr="00642C72">
        <w:t xml:space="preserve"> </w:t>
      </w:r>
    </w:p>
    <w:p w:rsidR="00180587" w:rsidRPr="00642C72" w:rsidRDefault="005803F6" w:rsidP="002E2377">
      <w:pPr>
        <w:pStyle w:val="RKrubrik"/>
      </w:pPr>
      <w:r w:rsidRPr="00642C72">
        <w:t>Bakgrund</w:t>
      </w:r>
    </w:p>
    <w:p w:rsidR="00180587" w:rsidRPr="00642C72" w:rsidRDefault="00180587" w:rsidP="00180587">
      <w:pPr>
        <w:pStyle w:val="RKnormal"/>
      </w:pPr>
      <w:r w:rsidRPr="00642C72">
        <w:t>Trots vissa framgångar, som uppbyggandet av Natura 2000, har inte EU:s mål att stoppa förlusten av biologisk mångfald till 2010 nåtts.</w:t>
      </w:r>
      <w:r w:rsidR="00E92F69" w:rsidRPr="00642C72">
        <w:t xml:space="preserve"> Förlusten av den biologiska mångfalden orsakar försvagning eller förluster av för människan viktiga ekosystemtjänster vilket också påverkar ekonomi och samhälle i stort</w:t>
      </w:r>
      <w:r w:rsidR="002E2377" w:rsidRPr="00642C72">
        <w:t>.</w:t>
      </w:r>
    </w:p>
    <w:p w:rsidR="00180587" w:rsidRPr="00642C72" w:rsidRDefault="00180587" w:rsidP="00180587">
      <w:pPr>
        <w:pStyle w:val="RKnormal"/>
      </w:pPr>
    </w:p>
    <w:p w:rsidR="00610573" w:rsidRPr="00642C72" w:rsidRDefault="00180587" w:rsidP="00610573">
      <w:pPr>
        <w:pStyle w:val="RKnormal"/>
      </w:pPr>
      <w:r w:rsidRPr="00642C72">
        <w:t xml:space="preserve">I syfte att komma till rätta med problemet uppmanade miljörådet i mars 2009 till utarbetandet av en ny EU-strategi och nya mål för biologisk mångfald för perioden efter 2010. I januari 2010 presenterade kommissionen ett meddelande med ett förslag till strategi och mål för biologisk mångfald i EU efter 2010. I meddelandet gavs optioner för inriktningen på en EU-strategi. Meddelandet innehöll också en beskrivning av den biologiska mångfaldens </w:t>
      </w:r>
      <w:r w:rsidR="00E92F69" w:rsidRPr="00642C72">
        <w:t xml:space="preserve">status.  Mot bakgrund av detta </w:t>
      </w:r>
      <w:r w:rsidRPr="00642C72">
        <w:t>antog miljörådet den 15 mars 2010 slutsatser om bl.a. mål och vision för biologisk mångfald efter 2010. Slutsatserna omfattade en långsiktig vision om att den biologiska mångfalden i EU och de ekosystemtjänster som denna erbjuder till ska skyddas, värderas och på lämpl</w:t>
      </w:r>
      <w:r w:rsidR="002E2377" w:rsidRPr="00642C72">
        <w:t xml:space="preserve">igt sätt återställs till 2050. </w:t>
      </w:r>
      <w:r w:rsidRPr="00642C72">
        <w:t xml:space="preserve">I slutsatserna enades man också om  att </w:t>
      </w:r>
      <w:r w:rsidRPr="00642C72">
        <w:lastRenderedPageBreak/>
        <w:t xml:space="preserve">stoppa förlusten av biologisk mångfald och förstörelsen av ekosystemtjänster i EU senast 2020 och om att i görligaste mån återställa dem, samtidigt som EU:s bidrag till att förhindra global förlust av biologisk mångfald påskyndas. Vidare uppmanades kommissionen att i samarbete med medlemsstaterna, så snart som möjligt efter den tionde partskonferensen i konventionen för biologisk mångfald (CBD) i Nagoya, med hänsyn till dess resultat, lägga fram en EU-strategi för biologisk mångfald för tiden efter 2010. </w:t>
      </w:r>
      <w:r w:rsidR="00610573" w:rsidRPr="00642C72">
        <w:t xml:space="preserve">Mot bakgrund av detta lade kommissionen i mars 2011 fram ett meddelande om en strategi för biologisk mångfald i EU till 2020. </w:t>
      </w:r>
    </w:p>
    <w:p w:rsidR="00933585" w:rsidRPr="00642C72" w:rsidRDefault="00933585" w:rsidP="00933585">
      <w:pPr>
        <w:pStyle w:val="RKnormal"/>
      </w:pPr>
    </w:p>
    <w:p w:rsidR="00933585" w:rsidRPr="00642C72" w:rsidRDefault="00933585" w:rsidP="00933585">
      <w:pPr>
        <w:pStyle w:val="RKnormal"/>
      </w:pPr>
      <w:r w:rsidRPr="00642C72">
        <w:t>Strategins övergripande mål är att stoppa förlusten av biologisk mångfald och förstörelsen av ekosystemtjänster i EU senast 2020, i möjligaste mån återställa dem och samtidigt förstärka EU:s bidrag för att motverka förlusten av biologisk mångfald på global nivå.</w:t>
      </w:r>
      <w:r w:rsidR="00610573" w:rsidRPr="00642C72">
        <w:t xml:space="preserve"> </w:t>
      </w:r>
      <w:r w:rsidR="00D67C38" w:rsidRPr="00642C72">
        <w:t>Strategin inn</w:t>
      </w:r>
      <w:r w:rsidR="00B03054" w:rsidRPr="00642C72">
        <w:t xml:space="preserve">ehåller </w:t>
      </w:r>
      <w:r w:rsidR="00610573" w:rsidRPr="00642C72">
        <w:t>sex mål: 1)</w:t>
      </w:r>
      <w:r w:rsidRPr="00642C72">
        <w:t xml:space="preserve"> Ett f</w:t>
      </w:r>
      <w:r w:rsidR="00E04407" w:rsidRPr="00642C72">
        <w:t>ullständigt genomförande av EU:</w:t>
      </w:r>
      <w:r w:rsidRPr="00642C72">
        <w:t>s naturvårds</w:t>
      </w:r>
      <w:r w:rsidR="00E04407" w:rsidRPr="00642C72">
        <w:t>direktiv</w:t>
      </w:r>
      <w:r w:rsidRPr="00642C72">
        <w:t xml:space="preserve"> </w:t>
      </w:r>
      <w:r w:rsidR="00B03054" w:rsidRPr="00642C72">
        <w:t xml:space="preserve">om </w:t>
      </w:r>
      <w:r w:rsidRPr="00642C72">
        <w:t>att skydda den biologiska mångfalden</w:t>
      </w:r>
      <w:r w:rsidR="00610573" w:rsidRPr="00642C72">
        <w:t>; 2)</w:t>
      </w:r>
      <w:r w:rsidRPr="00642C72">
        <w:t xml:space="preserve"> Bättre skydd för ekosystem och ökad användning av grön infrastruktur</w:t>
      </w:r>
      <w:r w:rsidR="00610573" w:rsidRPr="00642C72">
        <w:t>; 3)</w:t>
      </w:r>
      <w:r w:rsidRPr="00642C72">
        <w:t>Främja biologisk mångfald genom ett säkerställande av hållbart jordbruk och skogsbruk</w:t>
      </w:r>
      <w:r w:rsidR="00610573" w:rsidRPr="00642C72">
        <w:t>;</w:t>
      </w:r>
      <w:r w:rsidR="00B03054" w:rsidRPr="00642C72">
        <w:t xml:space="preserve"> </w:t>
      </w:r>
      <w:r w:rsidR="00610573" w:rsidRPr="00642C72">
        <w:t>4)</w:t>
      </w:r>
      <w:r w:rsidRPr="00642C72">
        <w:t>Bättre förvaltning av fiskbestånd</w:t>
      </w:r>
      <w:r w:rsidR="00610573" w:rsidRPr="00642C72">
        <w:t xml:space="preserve">; </w:t>
      </w:r>
      <w:r w:rsidRPr="00642C72">
        <w:t>5</w:t>
      </w:r>
      <w:r w:rsidR="00610573" w:rsidRPr="00642C72">
        <w:t>)</w:t>
      </w:r>
      <w:r w:rsidRPr="00642C72">
        <w:t>Strängare kontroller av s</w:t>
      </w:r>
      <w:r w:rsidR="00610573" w:rsidRPr="00642C72">
        <w:t xml:space="preserve">å kallade </w:t>
      </w:r>
      <w:r w:rsidRPr="00642C72">
        <w:t>invasiva främmande arter</w:t>
      </w:r>
      <w:r w:rsidR="00610573" w:rsidRPr="00642C72">
        <w:t>;</w:t>
      </w:r>
      <w:r w:rsidR="00B03054" w:rsidRPr="00642C72">
        <w:t xml:space="preserve"> </w:t>
      </w:r>
      <w:r w:rsidRPr="00642C72">
        <w:t>6</w:t>
      </w:r>
      <w:r w:rsidR="00610573" w:rsidRPr="00642C72">
        <w:t>)</w:t>
      </w:r>
      <w:r w:rsidR="00E566DF" w:rsidRPr="00642C72">
        <w:t xml:space="preserve"> Ett ökat </w:t>
      </w:r>
      <w:r w:rsidR="00E04407" w:rsidRPr="00642C72">
        <w:t>EU-</w:t>
      </w:r>
      <w:r w:rsidRPr="00642C72">
        <w:t>bidrag i arbetet med att avvärja den globala förlusten av biologisk mångfald.</w:t>
      </w:r>
    </w:p>
    <w:p w:rsidR="00933585" w:rsidRPr="00642C72" w:rsidRDefault="00933585" w:rsidP="00933585">
      <w:pPr>
        <w:pStyle w:val="RKnormal"/>
      </w:pPr>
    </w:p>
    <w:p w:rsidR="00933585" w:rsidRPr="00642C72" w:rsidRDefault="004A180B" w:rsidP="00E566DF">
      <w:pPr>
        <w:tabs>
          <w:tab w:val="left" w:pos="709"/>
        </w:tabs>
        <w:spacing w:line="240" w:lineRule="auto"/>
        <w:outlineLvl w:val="0"/>
      </w:pPr>
      <w:r w:rsidRPr="00642C72">
        <w:t>Miljörådet antog den 21 juni 2011 rådsslutsatser om EU:s strategi för biologisk mångfald till 2020, inklusive dess mål, där det i slutsatserna hänvisades till att fortsatta diskussioner om åtgärder var nödvändiga. M</w:t>
      </w:r>
      <w:r w:rsidR="009F6E16" w:rsidRPr="00642C72">
        <w:t>ot bakgrund av detta initierade</w:t>
      </w:r>
      <w:r w:rsidRPr="00642C72">
        <w:t xml:space="preserve"> </w:t>
      </w:r>
      <w:r w:rsidR="00E92F69" w:rsidRPr="00642C72">
        <w:t xml:space="preserve">det polska ordförandeskapet arbetet med att ta fram </w:t>
      </w:r>
      <w:r w:rsidRPr="00642C72">
        <w:t xml:space="preserve">rådsslutsatser om ”ett ramverk för implementering av EU:s strategi för biologisk mångfald till 2020” för antagande vid rådsmötet 19 december. </w:t>
      </w:r>
      <w:r w:rsidR="00E566DF" w:rsidRPr="00642C72">
        <w:t>Inför rådsmötet finns några utestående frågor som framförallt kopplar till jordbrukspolitiken.</w:t>
      </w:r>
    </w:p>
    <w:p w:rsidR="005803F6" w:rsidRPr="00642C72" w:rsidRDefault="005803F6">
      <w:pPr>
        <w:pStyle w:val="RKrubrik"/>
      </w:pPr>
      <w:r w:rsidRPr="00642C72">
        <w:t>Rättslig grund och beslutsförfarande</w:t>
      </w:r>
    </w:p>
    <w:p w:rsidR="005803F6" w:rsidRPr="00642C72" w:rsidRDefault="00783475" w:rsidP="0024243F">
      <w:pPr>
        <w:pStyle w:val="RKnormal"/>
        <w:outlineLvl w:val="0"/>
      </w:pPr>
      <w:r w:rsidRPr="00642C72">
        <w:t>Rådsslutsatser antas med enhällighet.</w:t>
      </w:r>
    </w:p>
    <w:p w:rsidR="005803F6" w:rsidRPr="00642C72" w:rsidRDefault="000B43A6">
      <w:pPr>
        <w:pStyle w:val="RKrubrik"/>
        <w:rPr>
          <w:i/>
          <w:iCs/>
        </w:rPr>
      </w:pPr>
      <w:r w:rsidRPr="00642C72">
        <w:rPr>
          <w:i/>
          <w:iCs/>
        </w:rPr>
        <w:t>Svensk stån</w:t>
      </w:r>
      <w:r w:rsidR="005803F6" w:rsidRPr="00642C72">
        <w:rPr>
          <w:i/>
          <w:iCs/>
        </w:rPr>
        <w:t>dpunkt</w:t>
      </w:r>
    </w:p>
    <w:p w:rsidR="009C6CC0" w:rsidRPr="00642C72" w:rsidRDefault="00180587" w:rsidP="009C6CC0">
      <w:pPr>
        <w:pStyle w:val="RKnormal"/>
      </w:pPr>
      <w:r w:rsidRPr="00642C72">
        <w:t xml:space="preserve">Regeringen har ända sedan ordförandeskapet 2009 lyft fram frågan om att komma till rätta med problemen med förlusterna av biologisk mångfald, och varit pådrivande i arbetet både inom EU och inför CBD:s partsmöte i Nagoya 2010. </w:t>
      </w:r>
      <w:r w:rsidR="00610573" w:rsidRPr="00642C72">
        <w:t>Regeringen välkomnar rådsslutsatserna</w:t>
      </w:r>
      <w:r w:rsidRPr="00642C72">
        <w:t xml:space="preserve"> och stödjer ordförandeskapets ambition att de ska vara tydliga och konkreta. </w:t>
      </w:r>
      <w:r w:rsidR="005F6610" w:rsidRPr="00642C72">
        <w:t xml:space="preserve"> </w:t>
      </w:r>
      <w:r w:rsidRPr="00642C72">
        <w:t>I</w:t>
      </w:r>
      <w:r w:rsidR="009C6CC0" w:rsidRPr="00642C72">
        <w:t xml:space="preserve"> </w:t>
      </w:r>
      <w:r w:rsidR="001E27F2" w:rsidRPr="00642C72">
        <w:t xml:space="preserve">förhandlingarna </w:t>
      </w:r>
      <w:r w:rsidRPr="00642C72">
        <w:t xml:space="preserve">har </w:t>
      </w:r>
      <w:r w:rsidR="001B7B6D" w:rsidRPr="00642C72">
        <w:t>Sverige</w:t>
      </w:r>
      <w:r w:rsidRPr="00642C72">
        <w:t xml:space="preserve"> </w:t>
      </w:r>
      <w:r w:rsidR="009C6CC0" w:rsidRPr="00642C72">
        <w:t>fört fram en positiv inställning till huvuddragen i kommissionens meddelande</w:t>
      </w:r>
      <w:r w:rsidR="00D11FC1" w:rsidRPr="00642C72">
        <w:t>.</w:t>
      </w:r>
      <w:r w:rsidR="009C6CC0" w:rsidRPr="00642C72">
        <w:t xml:space="preserve"> </w:t>
      </w:r>
    </w:p>
    <w:p w:rsidR="00610573" w:rsidRPr="00642C72" w:rsidRDefault="00610573" w:rsidP="00367161">
      <w:pPr>
        <w:pStyle w:val="RKnormal"/>
      </w:pPr>
    </w:p>
    <w:p w:rsidR="002E66B2" w:rsidRPr="00642C72" w:rsidRDefault="00367161" w:rsidP="00367161">
      <w:pPr>
        <w:pStyle w:val="RKnormal"/>
      </w:pPr>
      <w:r w:rsidRPr="00642C72">
        <w:t xml:space="preserve">Regeringen är i huvudsak positiv till </w:t>
      </w:r>
      <w:r w:rsidR="002E66B2" w:rsidRPr="00642C72">
        <w:t>de utkast till rådsslutsatser so</w:t>
      </w:r>
      <w:r w:rsidR="00D67C38" w:rsidRPr="00642C72">
        <w:t>m presenterats och anser att EU-</w:t>
      </w:r>
      <w:r w:rsidR="002E66B2" w:rsidRPr="00642C72">
        <w:t>strategin för biologisk mångfald till 2020 kommer att vara ett viktigt verktyg för att nå 2020-målen. Regeringen har också stött skrivningar om vikten av att integrera biologisk mångfald i sektorspolitiken.</w:t>
      </w:r>
    </w:p>
    <w:p w:rsidR="002E66B2" w:rsidRPr="00642C72" w:rsidRDefault="002E66B2" w:rsidP="00367161">
      <w:pPr>
        <w:pStyle w:val="RKnormal"/>
      </w:pPr>
    </w:p>
    <w:p w:rsidR="002E66B2" w:rsidRPr="00642C72" w:rsidRDefault="00367161" w:rsidP="00367161">
      <w:pPr>
        <w:pStyle w:val="RKnormal"/>
      </w:pPr>
      <w:r w:rsidRPr="00642C72">
        <w:t>Regeringen verkar för ett effektivt och samstämmigt genomförande av strategin</w:t>
      </w:r>
      <w:r w:rsidR="00180587" w:rsidRPr="00642C72">
        <w:t>.</w:t>
      </w:r>
      <w:r w:rsidR="00DC172D" w:rsidRPr="00642C72">
        <w:t xml:space="preserve"> </w:t>
      </w:r>
      <w:r w:rsidR="00180587" w:rsidRPr="00642C72">
        <w:t>V</w:t>
      </w:r>
      <w:r w:rsidR="00DC172D" w:rsidRPr="00642C72">
        <w:t xml:space="preserve">issa av de synpunkter Sverige har lagt fram i diskussionerna har </w:t>
      </w:r>
      <w:r w:rsidR="005F6610" w:rsidRPr="00642C72">
        <w:t xml:space="preserve">hittills </w:t>
      </w:r>
      <w:r w:rsidR="00DC172D" w:rsidRPr="00642C72">
        <w:t>beaktats</w:t>
      </w:r>
      <w:r w:rsidR="005F6610" w:rsidRPr="00642C72">
        <w:t xml:space="preserve">, exempelvis betydelsen av insatser i vardagslandskapet mellan Natura 2000-områdena för att göra det ekologiska nätverket mer fullständigt, att skogbruksplaner är viktiga verktyg men att dessa ska hanteras av </w:t>
      </w:r>
      <w:r w:rsidR="00893B19" w:rsidRPr="00642C72">
        <w:t xml:space="preserve">medlemsstater </w:t>
      </w:r>
      <w:r w:rsidR="005F6610" w:rsidRPr="00642C72">
        <w:t xml:space="preserve">och att det inte är EU-kompetens att styra dessa samt att lyfta fram ekosystemansatsen i fiskefrågorna.  </w:t>
      </w:r>
    </w:p>
    <w:p w:rsidR="002E66B2" w:rsidRPr="00642C72" w:rsidRDefault="002E66B2" w:rsidP="00367161">
      <w:pPr>
        <w:pStyle w:val="RKnormal"/>
      </w:pPr>
    </w:p>
    <w:p w:rsidR="00367161" w:rsidRPr="00642C72" w:rsidRDefault="002E66B2" w:rsidP="00367161">
      <w:pPr>
        <w:pStyle w:val="RKnormal"/>
      </w:pPr>
      <w:r w:rsidRPr="00642C72">
        <w:t>Vidare</w:t>
      </w:r>
      <w:r w:rsidR="00367161" w:rsidRPr="00642C72">
        <w:t xml:space="preserve"> anser regeringen att det är viktigt att förbättra effektiviteten i finansieringen av nödvändiga åtgärder för biologisk mångfald exempelvis genom att främja utveckling och användning av inn</w:t>
      </w:r>
      <w:r w:rsidRPr="00642C72">
        <w:t>ovativa finansieringsmekanismer</w:t>
      </w:r>
      <w:r w:rsidR="00367161" w:rsidRPr="00642C72">
        <w:t xml:space="preserve">. </w:t>
      </w:r>
    </w:p>
    <w:p w:rsidR="00367161" w:rsidRPr="00642C72" w:rsidRDefault="00367161" w:rsidP="00367161">
      <w:pPr>
        <w:pStyle w:val="RKnormal"/>
      </w:pPr>
    </w:p>
    <w:p w:rsidR="002E66B2" w:rsidRPr="00642C72" w:rsidRDefault="00367161" w:rsidP="00367161">
      <w:pPr>
        <w:pStyle w:val="RKnormal"/>
      </w:pPr>
      <w:r w:rsidRPr="00642C72">
        <w:t xml:space="preserve">Regeringen delar kommissionens bedömning i </w:t>
      </w:r>
      <w:r w:rsidR="00C158A4" w:rsidRPr="00642C72">
        <w:t>det första målet</w:t>
      </w:r>
      <w:r w:rsidR="000E22CF" w:rsidRPr="00642C72">
        <w:t xml:space="preserve"> att bl.a. </w:t>
      </w:r>
      <w:r w:rsidRPr="00642C72">
        <w:t>en gynnsam bevarandestatus måste uppnås för alla livsmiljöer och arter av europeisk betydelse</w:t>
      </w:r>
      <w:r w:rsidR="000E22CF" w:rsidRPr="00642C72">
        <w:t>.</w:t>
      </w:r>
      <w:r w:rsidRPr="00642C72">
        <w:t xml:space="preserve"> </w:t>
      </w:r>
      <w:r w:rsidR="002E66B2" w:rsidRPr="00642C72">
        <w:t xml:space="preserve">Regeringens ståndpunkt är också att </w:t>
      </w:r>
      <w:r w:rsidRPr="00642C72">
        <w:t xml:space="preserve">bevarande och förbättring av ekosystem och ekosystemtjänster </w:t>
      </w:r>
      <w:r w:rsidR="002E66B2" w:rsidRPr="00642C72">
        <w:t xml:space="preserve">är viktigt och </w:t>
      </w:r>
      <w:r w:rsidRPr="00642C72">
        <w:t xml:space="preserve">kommer att bidra till EU:s mål för hållbar tillväxt och till en mildring av </w:t>
      </w:r>
      <w:r w:rsidR="00BB41A3" w:rsidRPr="00642C72">
        <w:rPr>
          <w:rFonts w:eastAsia="Batang"/>
          <w:lang w:eastAsia="ko-KR"/>
        </w:rPr>
        <w:t xml:space="preserve">effekterna av </w:t>
      </w:r>
      <w:r w:rsidRPr="00642C72">
        <w:t xml:space="preserve">och anpassning till klimatförändringarna. Det kommer också att säkerställa bättre sammanbindning (konnektivitet) mellan ekosystem inom och mellan Natura 2000-områden och på landsbygden som helhet. </w:t>
      </w:r>
    </w:p>
    <w:p w:rsidR="002E66B2" w:rsidRPr="00642C72" w:rsidRDefault="002E66B2" w:rsidP="00367161">
      <w:pPr>
        <w:pStyle w:val="RKnormal"/>
      </w:pPr>
    </w:p>
    <w:p w:rsidR="00367161" w:rsidRPr="00642C72" w:rsidRDefault="00367161" w:rsidP="00367161">
      <w:pPr>
        <w:pStyle w:val="RKnormal"/>
      </w:pPr>
      <w:r w:rsidRPr="00642C72">
        <w:t xml:space="preserve">Regeringen förordar att insatser som rör ersättning för kollektiva nyttigheter ska vara kostnadseffektiva och skapa en gynnsam utveckling för den biologiska mångfalden. Regeringen anser att om åtgärder ska finansieras på EU-nivå bör detta ske genom målstyrda åtgärder via landsbygdspolitiken.  </w:t>
      </w:r>
      <w:r w:rsidR="0023483E" w:rsidRPr="00642C72">
        <w:t>Regeringen anser</w:t>
      </w:r>
      <w:r w:rsidR="00893B19" w:rsidRPr="00642C72">
        <w:t xml:space="preserve"> vidare</w:t>
      </w:r>
      <w:r w:rsidR="0023483E" w:rsidRPr="00642C72">
        <w:t xml:space="preserve"> att det är angeläget med en stor miljönytta inom CAP, vilket i första hand bör </w:t>
      </w:r>
      <w:r w:rsidR="00893B19" w:rsidRPr="00642C72">
        <w:t>ske inom ramen för pelare II. Sverige</w:t>
      </w:r>
      <w:r w:rsidR="0023483E" w:rsidRPr="00642C72">
        <w:t xml:space="preserve"> anser därför att skrivningarna bör hållas så övergripande som möjligt och undvika referenser till första pelaren.</w:t>
      </w:r>
    </w:p>
    <w:p w:rsidR="00367161" w:rsidRPr="00642C72" w:rsidRDefault="00367161" w:rsidP="00367161">
      <w:pPr>
        <w:pStyle w:val="RKnormal"/>
      </w:pPr>
    </w:p>
    <w:p w:rsidR="00367161" w:rsidRPr="00642C72" w:rsidRDefault="000947E1" w:rsidP="00367161">
      <w:pPr>
        <w:pStyle w:val="RKnormal"/>
      </w:pPr>
      <w:r w:rsidRPr="00642C72">
        <w:t>Att vidare</w:t>
      </w:r>
      <w:r w:rsidR="00367161" w:rsidRPr="00642C72">
        <w:t xml:space="preserve"> utveckla vägar mot ett hållbart fiske</w:t>
      </w:r>
      <w:r w:rsidRPr="00642C72">
        <w:t>, vilket</w:t>
      </w:r>
      <w:r w:rsidR="00367161" w:rsidRPr="00642C72">
        <w:t xml:space="preserve"> tas upp under </w:t>
      </w:r>
      <w:r w:rsidR="000E22CF" w:rsidRPr="00642C72">
        <w:t xml:space="preserve">det fjärde </w:t>
      </w:r>
      <w:r w:rsidR="00367161" w:rsidRPr="00642C72">
        <w:t>mål</w:t>
      </w:r>
      <w:r w:rsidR="000E22CF" w:rsidRPr="00642C72">
        <w:t>et</w:t>
      </w:r>
      <w:r w:rsidRPr="00642C72">
        <w:t>, anser regeringen vara viktigt.</w:t>
      </w:r>
      <w:r w:rsidR="00367161" w:rsidRPr="00642C72">
        <w:t xml:space="preserve"> Det är regeringens uppfattning att utvecklingen av ett hållbart fiske måste ske så snart som möjligt. Regeringen anser också att fiskeripolitiken måste omfatta ett hållbart fiske för de områden i tredje land där EU har fiskeriavtal</w:t>
      </w:r>
      <w:r w:rsidR="000E22CF" w:rsidRPr="00642C72">
        <w:t xml:space="preserve"> och att </w:t>
      </w:r>
      <w:r w:rsidR="00367161" w:rsidRPr="00642C72">
        <w:t xml:space="preserve">EU </w:t>
      </w:r>
      <w:r w:rsidR="000E22CF" w:rsidRPr="00642C72">
        <w:t xml:space="preserve">bör </w:t>
      </w:r>
      <w:r w:rsidR="00367161" w:rsidRPr="00642C72">
        <w:t xml:space="preserve">ta ansvar för att ett hållbart fiske efterlevs. </w:t>
      </w:r>
    </w:p>
    <w:p w:rsidR="005F6610" w:rsidRPr="00642C72" w:rsidRDefault="005F6610" w:rsidP="00367161">
      <w:pPr>
        <w:pStyle w:val="RKnormal"/>
      </w:pPr>
    </w:p>
    <w:p w:rsidR="00E33074" w:rsidRPr="00642C72" w:rsidRDefault="00367161" w:rsidP="00E33074">
      <w:pPr>
        <w:tabs>
          <w:tab w:val="left" w:pos="2835"/>
        </w:tabs>
        <w:overflowPunct/>
        <w:spacing w:line="240" w:lineRule="auto"/>
        <w:textAlignment w:val="auto"/>
      </w:pPr>
      <w:r w:rsidRPr="00642C72">
        <w:t xml:space="preserve">När det gäller </w:t>
      </w:r>
      <w:r w:rsidR="00831316" w:rsidRPr="00642C72">
        <w:t xml:space="preserve">det femte </w:t>
      </w:r>
      <w:r w:rsidRPr="00642C72">
        <w:t>mål</w:t>
      </w:r>
      <w:r w:rsidR="00831316" w:rsidRPr="00642C72">
        <w:t>et</w:t>
      </w:r>
      <w:r w:rsidRPr="00642C72">
        <w:t xml:space="preserve"> som handlar om att bekämpa</w:t>
      </w:r>
      <w:r w:rsidR="00B91C22" w:rsidRPr="00642C72">
        <w:t xml:space="preserve"> invasiva främmande arter, stödjer</w:t>
      </w:r>
      <w:r w:rsidRPr="00642C72">
        <w:t xml:space="preserve"> regeringen </w:t>
      </w:r>
      <w:r w:rsidR="00B91C22" w:rsidRPr="00642C72">
        <w:t xml:space="preserve">att åtgärder </w:t>
      </w:r>
      <w:r w:rsidRPr="00642C72">
        <w:t>vidta</w:t>
      </w:r>
      <w:r w:rsidR="00B91C22" w:rsidRPr="00642C72">
        <w:t>s</w:t>
      </w:r>
      <w:r w:rsidRPr="00642C72">
        <w:t xml:space="preserve"> på EU-nivå eftersom problemen ofta inte går att isolera till enskilda länder. Regeringen kan stödja att en särskild EU-rättsakt införs men kommer </w:t>
      </w:r>
      <w:r w:rsidR="00831316" w:rsidRPr="00642C72">
        <w:t xml:space="preserve">troligen </w:t>
      </w:r>
      <w:r w:rsidRPr="00642C72">
        <w:t xml:space="preserve">att ha detaljerade synpunkter på dess utformning. </w:t>
      </w:r>
      <w:r w:rsidR="00E33074" w:rsidRPr="00642C72">
        <w:t>Det är angeläget att etablera en EU-strategi för invasiva främmande arter snarast möjligt</w:t>
      </w:r>
      <w:r w:rsidR="00831316" w:rsidRPr="00642C72">
        <w:t>.</w:t>
      </w:r>
      <w:r w:rsidR="00E33074" w:rsidRPr="00642C72">
        <w:t xml:space="preserve"> </w:t>
      </w:r>
      <w:r w:rsidR="00831316" w:rsidRPr="00642C72">
        <w:t>R</w:t>
      </w:r>
      <w:r w:rsidR="00E33074" w:rsidRPr="00642C72">
        <w:t xml:space="preserve">egeringen anser därför att EU-kommissionen bör </w:t>
      </w:r>
      <w:r w:rsidR="00831316" w:rsidRPr="00642C72">
        <w:t>ut</w:t>
      </w:r>
      <w:r w:rsidR="00E33074" w:rsidRPr="00642C72">
        <w:t>arbeta förslag till både lagstiftning och prioriterade frivilliga åtgärder.</w:t>
      </w:r>
    </w:p>
    <w:p w:rsidR="00B91C22" w:rsidRPr="00642C72" w:rsidRDefault="00B91C22" w:rsidP="00367161">
      <w:pPr>
        <w:pStyle w:val="RKnormal"/>
      </w:pPr>
    </w:p>
    <w:p w:rsidR="00B91C22" w:rsidRPr="00642C72" w:rsidRDefault="00367161" w:rsidP="00367161">
      <w:pPr>
        <w:pStyle w:val="RKnormal"/>
      </w:pPr>
      <w:r w:rsidRPr="00642C72">
        <w:t xml:space="preserve">Regeringen </w:t>
      </w:r>
      <w:r w:rsidR="00B91C22" w:rsidRPr="00642C72">
        <w:t>anser</w:t>
      </w:r>
      <w:r w:rsidRPr="00642C72">
        <w:t xml:space="preserve"> att EU måste fortsätta öka sina insatser för att motverka förlusten av biologisk mångfald på global nivå.  EU bör öka insatserna för att </w:t>
      </w:r>
      <w:r w:rsidR="00831316" w:rsidRPr="00642C72">
        <w:t xml:space="preserve">ändra </w:t>
      </w:r>
      <w:r w:rsidR="000947E1" w:rsidRPr="00642C72">
        <w:t>konsumtionsmönster</w:t>
      </w:r>
      <w:r w:rsidRPr="00642C72">
        <w:t xml:space="preserve"> och bör gå före andra länder i arbete</w:t>
      </w:r>
      <w:r w:rsidR="00831316" w:rsidRPr="00642C72">
        <w:t>t</w:t>
      </w:r>
      <w:r w:rsidRPr="00642C72">
        <w:t xml:space="preserve"> med att utveckla resurseffektiv</w:t>
      </w:r>
      <w:r w:rsidR="000947E1" w:rsidRPr="00642C72">
        <w:t>i</w:t>
      </w:r>
      <w:r w:rsidR="00B91C22" w:rsidRPr="00642C72">
        <w:t>tet</w:t>
      </w:r>
      <w:r w:rsidR="00831316" w:rsidRPr="00642C72">
        <w:t>.</w:t>
      </w:r>
    </w:p>
    <w:p w:rsidR="00B91C22" w:rsidRPr="00642C72" w:rsidRDefault="00B91C22" w:rsidP="00367161">
      <w:pPr>
        <w:pStyle w:val="RKnormal"/>
      </w:pPr>
    </w:p>
    <w:p w:rsidR="00367161" w:rsidRPr="00642C72" w:rsidRDefault="00367161" w:rsidP="00367161">
      <w:pPr>
        <w:pStyle w:val="RKnormal"/>
      </w:pPr>
      <w:r w:rsidRPr="00642C72">
        <w:t>Regeringen anser att Sverige ska göra en nationell bedömning av behovet av att reglera tillträde till de genetiska resurser som finns inom landets gränser. EU ska inte reglera tillträde till genetiska resurser</w:t>
      </w:r>
      <w:r w:rsidR="009713D1" w:rsidRPr="00642C72">
        <w:t>.</w:t>
      </w:r>
      <w:r w:rsidR="00E566DF" w:rsidRPr="00642C72">
        <w:t xml:space="preserve"> </w:t>
      </w:r>
      <w:r w:rsidRPr="00642C72">
        <w:t>Regeringen ser gärna att upprättande och användande av effektiva och heltäckande skogsbruksplaner uppmuntras, men anser att det är upp till varje enskild medlemsstat att besluta om detta ska ske.</w:t>
      </w:r>
    </w:p>
    <w:p w:rsidR="00367161" w:rsidRPr="00642C72" w:rsidRDefault="00367161" w:rsidP="00367161">
      <w:pPr>
        <w:pStyle w:val="RKnormal"/>
      </w:pPr>
    </w:p>
    <w:p w:rsidR="005803F6" w:rsidRPr="00642C72" w:rsidRDefault="00367161">
      <w:pPr>
        <w:pStyle w:val="RKnormal"/>
      </w:pPr>
      <w:r w:rsidRPr="00642C72">
        <w:t>Regeringen anser att EU-</w:t>
      </w:r>
      <w:r w:rsidR="007400E8" w:rsidRPr="00642C72">
        <w:t xml:space="preserve">medel </w:t>
      </w:r>
      <w:r w:rsidRPr="00642C72">
        <w:t>ska användas för gränsöverskridande kollektiva nyttigheter där det finns ett mervärde i att agera på EU-nivå</w:t>
      </w:r>
      <w:r w:rsidR="007400E8" w:rsidRPr="00642C72">
        <w:t>.</w:t>
      </w:r>
      <w:r w:rsidRPr="00642C72">
        <w:t xml:space="preserve"> </w:t>
      </w:r>
    </w:p>
    <w:p w:rsidR="005803F6" w:rsidRPr="00642C72" w:rsidRDefault="005803F6">
      <w:pPr>
        <w:pStyle w:val="RKrubrik"/>
      </w:pPr>
      <w:r w:rsidRPr="00642C72">
        <w:t>Europaparlamentets inställning</w:t>
      </w:r>
      <w:r w:rsidR="000E2574" w:rsidRPr="00642C72">
        <w:t xml:space="preserve">   </w:t>
      </w:r>
    </w:p>
    <w:p w:rsidR="003C0205" w:rsidRPr="00642C72" w:rsidRDefault="003C0205" w:rsidP="003C0205">
      <w:pPr>
        <w:pStyle w:val="RKnormal"/>
      </w:pPr>
      <w:r w:rsidRPr="00642C72">
        <w:t xml:space="preserve">Europaparlamentet har ingen formell roll vid antagandet av rådsslutsatser. </w:t>
      </w:r>
    </w:p>
    <w:p w:rsidR="009C6CC0" w:rsidRPr="00642C72" w:rsidRDefault="005803F6" w:rsidP="0024243F">
      <w:pPr>
        <w:pStyle w:val="RKrubrik"/>
      </w:pPr>
      <w:r w:rsidRPr="00642C72">
        <w:rPr>
          <w:i/>
          <w:iCs/>
        </w:rPr>
        <w:t>Förslaget</w:t>
      </w:r>
    </w:p>
    <w:p w:rsidR="00CE1B60" w:rsidRPr="00642C72" w:rsidRDefault="00783475" w:rsidP="00CE1B60">
      <w:r w:rsidRPr="00642C72">
        <w:t>F</w:t>
      </w:r>
      <w:r w:rsidR="00DD38C2" w:rsidRPr="00642C72">
        <w:t>örslag</w:t>
      </w:r>
      <w:r w:rsidRPr="00642C72">
        <w:t>et</w:t>
      </w:r>
      <w:r w:rsidR="00DD38C2" w:rsidRPr="00642C72">
        <w:t xml:space="preserve"> till rådsslutsatser </w:t>
      </w:r>
      <w:r w:rsidRPr="00642C72">
        <w:t xml:space="preserve">är </w:t>
      </w:r>
      <w:r w:rsidR="00CE1B60" w:rsidRPr="00642C72">
        <w:t xml:space="preserve">uppdelade i </w:t>
      </w:r>
      <w:r w:rsidRPr="00642C72">
        <w:t>ö</w:t>
      </w:r>
      <w:r w:rsidR="00CE1B60" w:rsidRPr="00642C72">
        <w:t xml:space="preserve">vergripande frågor samt </w:t>
      </w:r>
      <w:r w:rsidR="00AE49B1" w:rsidRPr="00642C72">
        <w:t>ru</w:t>
      </w:r>
      <w:r w:rsidR="0066662F" w:rsidRPr="00642C72">
        <w:t>b</w:t>
      </w:r>
      <w:r w:rsidR="00AE49B1" w:rsidRPr="00642C72">
        <w:t>riker</w:t>
      </w:r>
      <w:r w:rsidR="00CE1B60" w:rsidRPr="00642C72">
        <w:t xml:space="preserve"> som refererar till målen i EU-strategin för biologisk mångfald som antogs </w:t>
      </w:r>
      <w:r w:rsidR="0066662F" w:rsidRPr="00642C72">
        <w:t>under</w:t>
      </w:r>
      <w:r w:rsidR="00CE1B60" w:rsidRPr="00642C72">
        <w:t xml:space="preserve"> junirådet.</w:t>
      </w:r>
    </w:p>
    <w:p w:rsidR="00CE1B60" w:rsidRPr="00642C72" w:rsidRDefault="00CE1B60" w:rsidP="00CE1B60"/>
    <w:p w:rsidR="00CE1B60" w:rsidRPr="00642C72" w:rsidRDefault="00CE1B60" w:rsidP="00CE1B60">
      <w:pPr>
        <w:rPr>
          <w:u w:val="single"/>
        </w:rPr>
      </w:pPr>
      <w:r w:rsidRPr="00642C72">
        <w:t xml:space="preserve">I </w:t>
      </w:r>
      <w:r w:rsidR="009713D1" w:rsidRPr="00642C72">
        <w:t>förslaget</w:t>
      </w:r>
      <w:r w:rsidRPr="00642C72">
        <w:t xml:space="preserve"> erinras om att Europeiska rådet</w:t>
      </w:r>
      <w:r w:rsidR="00B00EAE" w:rsidRPr="00642C72">
        <w:t xml:space="preserve"> den 26 mars 2010</w:t>
      </w:r>
      <w:r w:rsidR="00DD38C2" w:rsidRPr="00642C72">
        <w:t xml:space="preserve"> ant</w:t>
      </w:r>
      <w:r w:rsidR="00B00EAE" w:rsidRPr="00642C72">
        <w:t>og</w:t>
      </w:r>
      <w:r w:rsidR="00DD38C2" w:rsidRPr="00642C72">
        <w:t xml:space="preserve"> </w:t>
      </w:r>
      <w:r w:rsidRPr="00642C72">
        <w:t>en vision och övergripande mål för biologisk må</w:t>
      </w:r>
      <w:r w:rsidR="00DD38C2" w:rsidRPr="00642C72">
        <w:t>ngfald efter 2010 och understr</w:t>
      </w:r>
      <w:r w:rsidR="007400E8" w:rsidRPr="00642C72">
        <w:t>ök</w:t>
      </w:r>
      <w:r w:rsidRPr="00642C72">
        <w:t xml:space="preserve"> det brådskande behovet av att vända den fortsatt negativa utvecklingen för biologisk mångfald och ekosystemtjänster. Vidare </w:t>
      </w:r>
      <w:r w:rsidR="007400E8" w:rsidRPr="00642C72">
        <w:t>hänvisa</w:t>
      </w:r>
      <w:r w:rsidR="009713D1" w:rsidRPr="00642C72">
        <w:t>s</w:t>
      </w:r>
      <w:r w:rsidR="007400E8" w:rsidRPr="00642C72">
        <w:t xml:space="preserve"> till </w:t>
      </w:r>
      <w:r w:rsidRPr="00642C72">
        <w:t>rådets slutsatser den 21 juni 2011 om EU: s strategi för biologisk mångfald till 2020, i vilka rådet godkände strategin och ansåg att den, tillsammans med sina mål är ett viktigt instrument för att EU att nå sitt övergripande 2020</w:t>
      </w:r>
      <w:r w:rsidR="00DD38C2" w:rsidRPr="00642C72">
        <w:t>-</w:t>
      </w:r>
      <w:r w:rsidRPr="00642C72">
        <w:t xml:space="preserve">mål. </w:t>
      </w:r>
    </w:p>
    <w:p w:rsidR="00CE1B60" w:rsidRPr="00642C72" w:rsidRDefault="00CE1B60" w:rsidP="00CE1B60"/>
    <w:p w:rsidR="0015072E" w:rsidRPr="00642C72" w:rsidRDefault="00705FE4" w:rsidP="00CE1B60">
      <w:r w:rsidRPr="00642C72">
        <w:t>K</w:t>
      </w:r>
      <w:r w:rsidR="00CE1B60" w:rsidRPr="00642C72">
        <w:t xml:space="preserve">ommissionen och medlemsstaterna </w:t>
      </w:r>
      <w:r w:rsidR="00285D55" w:rsidRPr="00642C72">
        <w:t xml:space="preserve">uppmanas </w:t>
      </w:r>
      <w:r w:rsidR="002B6879" w:rsidRPr="00642C72">
        <w:t xml:space="preserve">i </w:t>
      </w:r>
      <w:r w:rsidR="009713D1" w:rsidRPr="00642C72">
        <w:t>förslaget</w:t>
      </w:r>
      <w:r w:rsidR="002B6879" w:rsidRPr="00642C72">
        <w:t xml:space="preserve"> </w:t>
      </w:r>
      <w:r w:rsidRPr="00642C72">
        <w:t xml:space="preserve">att integrera </w:t>
      </w:r>
      <w:r w:rsidR="00CE1B60" w:rsidRPr="00642C72">
        <w:t xml:space="preserve">mål om biologisk mångfald i </w:t>
      </w:r>
      <w:r w:rsidR="0015072E" w:rsidRPr="00642C72">
        <w:t>sektorspolitiken</w:t>
      </w:r>
      <w:r w:rsidRPr="00642C72">
        <w:t xml:space="preserve">. </w:t>
      </w:r>
      <w:r w:rsidR="009713D1" w:rsidRPr="00642C72">
        <w:t xml:space="preserve">Förslaget </w:t>
      </w:r>
      <w:r w:rsidR="00CE1B60" w:rsidRPr="00642C72">
        <w:t>understryk</w:t>
      </w:r>
      <w:r w:rsidR="002B6879" w:rsidRPr="00642C72">
        <w:t>er</w:t>
      </w:r>
      <w:r w:rsidR="00CE1B60" w:rsidRPr="00642C72">
        <w:t xml:space="preserve"> att åtgärder för att skydda, värdera och återställa biologisk mångfald och ekosystemtjänster, är avgörande för att uppnå resurseffektivitet och hållbar tillväxt</w:t>
      </w:r>
      <w:r w:rsidRPr="00642C72">
        <w:t>.</w:t>
      </w:r>
    </w:p>
    <w:p w:rsidR="0015072E" w:rsidRPr="00642C72" w:rsidRDefault="0015072E" w:rsidP="00CE1B60"/>
    <w:p w:rsidR="00CE1B60" w:rsidRPr="00642C72" w:rsidRDefault="00285D55" w:rsidP="00CE1B60">
      <w:r w:rsidRPr="00642C72">
        <w:t xml:space="preserve">Vidare </w:t>
      </w:r>
      <w:r w:rsidR="00705FE4" w:rsidRPr="00642C72">
        <w:t>betona</w:t>
      </w:r>
      <w:r w:rsidRPr="00642C72">
        <w:t>s</w:t>
      </w:r>
      <w:r w:rsidR="00705FE4" w:rsidRPr="00642C72">
        <w:t xml:space="preserve"> </w:t>
      </w:r>
      <w:r w:rsidR="00CE1B60" w:rsidRPr="00642C72">
        <w:t>att dessa slutsatser inte föregriper resultatet av förhandlingarna om den fleråriga budgetramen</w:t>
      </w:r>
      <w:r w:rsidR="00D05CFF" w:rsidRPr="00642C72">
        <w:t>,</w:t>
      </w:r>
      <w:r w:rsidR="00CE1B60" w:rsidRPr="00642C72">
        <w:t xml:space="preserve"> den gemensamma jordbrukspolitiken och den gemensamma fiskeripolitiken </w:t>
      </w:r>
      <w:r w:rsidR="0015072E" w:rsidRPr="00642C72">
        <w:t>mm</w:t>
      </w:r>
      <w:r w:rsidR="00705FE4" w:rsidRPr="00642C72">
        <w:t>.</w:t>
      </w:r>
      <w:r w:rsidR="00B00EAE" w:rsidRPr="00642C72">
        <w:t xml:space="preserve"> Samtidigt utgör dock slutsatserna ett sätt att uppmärksamma mål för biologisk mångfald som är kopplade till dessa politikområd</w:t>
      </w:r>
      <w:r w:rsidR="00E55515" w:rsidRPr="00642C72">
        <w:t>en. Vikten av att den fleråriga budgetramen stödjer måluppfyllelse av strategins mål betonas.</w:t>
      </w:r>
    </w:p>
    <w:p w:rsidR="00CE1B60" w:rsidRPr="00642C72" w:rsidRDefault="00CE1B60" w:rsidP="00CE1B60"/>
    <w:p w:rsidR="003B0414" w:rsidRPr="00642C72" w:rsidRDefault="00285D55" w:rsidP="00CE1B60">
      <w:r w:rsidRPr="00642C72">
        <w:t>M</w:t>
      </w:r>
      <w:r w:rsidR="00CE1B60" w:rsidRPr="00642C72">
        <w:t xml:space="preserve">edlemsstaterna </w:t>
      </w:r>
      <w:r w:rsidR="00705FE4" w:rsidRPr="00642C72">
        <w:t xml:space="preserve">och kommissionen </w:t>
      </w:r>
      <w:r w:rsidRPr="00642C72">
        <w:t xml:space="preserve">uppmanas </w:t>
      </w:r>
      <w:r w:rsidR="00CE1B60" w:rsidRPr="00642C72">
        <w:t xml:space="preserve">att säkerställa finansiering av Natura 2000 </w:t>
      </w:r>
      <w:r w:rsidR="00D05CFF" w:rsidRPr="00642C72">
        <w:t>samt</w:t>
      </w:r>
      <w:r w:rsidR="00CE1B60" w:rsidRPr="00642C72">
        <w:t xml:space="preserve"> bevarande och hållbart nyttjande av biologisk mångfald</w:t>
      </w:r>
      <w:r w:rsidR="002B6879" w:rsidRPr="00642C72">
        <w:t xml:space="preserve"> </w:t>
      </w:r>
      <w:r w:rsidR="00CE1B60" w:rsidRPr="00642C72">
        <w:t xml:space="preserve">inom den fleråriga budgetramen 2014 </w:t>
      </w:r>
      <w:r w:rsidR="0024243F" w:rsidRPr="00642C72">
        <w:t>–</w:t>
      </w:r>
      <w:r w:rsidR="00CE1B60" w:rsidRPr="00642C72">
        <w:t xml:space="preserve"> 2020</w:t>
      </w:r>
      <w:r w:rsidR="0024243F" w:rsidRPr="00642C72">
        <w:t>.</w:t>
      </w:r>
      <w:r w:rsidR="00D05CFF" w:rsidRPr="00642C72">
        <w:t xml:space="preserve"> </w:t>
      </w:r>
      <w:r w:rsidRPr="00642C72">
        <w:t xml:space="preserve">Det </w:t>
      </w:r>
      <w:r w:rsidR="00705FE4" w:rsidRPr="00642C72">
        <w:t>understryk</w:t>
      </w:r>
      <w:r w:rsidRPr="00642C72">
        <w:t>s</w:t>
      </w:r>
      <w:r w:rsidR="00CE1B60" w:rsidRPr="00642C72">
        <w:t xml:space="preserve"> </w:t>
      </w:r>
      <w:r w:rsidR="0024243F" w:rsidRPr="00642C72">
        <w:t xml:space="preserve">också </w:t>
      </w:r>
      <w:r w:rsidR="00CE1B60" w:rsidRPr="00642C72">
        <w:t xml:space="preserve">att </w:t>
      </w:r>
      <w:r w:rsidR="003B0414" w:rsidRPr="00642C72">
        <w:t>om strategins mål uppnås, bidrar detta till att nå åtaganden som antogs vid CBD:s partsmöte i Nagoya 2010</w:t>
      </w:r>
      <w:r w:rsidR="00705FE4" w:rsidRPr="00642C72">
        <w:t>.</w:t>
      </w:r>
    </w:p>
    <w:p w:rsidR="003B0414" w:rsidRPr="00642C72" w:rsidRDefault="003B0414" w:rsidP="00CE1B60"/>
    <w:p w:rsidR="00CE1B60" w:rsidRPr="00642C72" w:rsidRDefault="00285D55" w:rsidP="00CE1B60">
      <w:r w:rsidRPr="00642C72">
        <w:t xml:space="preserve">Medlemsstaterna </w:t>
      </w:r>
      <w:r w:rsidR="00E95862" w:rsidRPr="00642C72">
        <w:t>uppmuntra</w:t>
      </w:r>
      <w:r w:rsidRPr="00642C72">
        <w:t xml:space="preserve">s </w:t>
      </w:r>
      <w:r w:rsidR="003B0414" w:rsidRPr="00642C72">
        <w:t xml:space="preserve">att slutföra </w:t>
      </w:r>
      <w:r w:rsidR="00E95862" w:rsidRPr="00642C72">
        <w:t>Natura 2000 genom att bl a</w:t>
      </w:r>
      <w:r w:rsidR="00CE1B60" w:rsidRPr="00642C72">
        <w:t xml:space="preserve"> utveckla och genomföra förvaltningsplaner</w:t>
      </w:r>
      <w:r w:rsidR="00E95862" w:rsidRPr="00642C72">
        <w:t>.</w:t>
      </w:r>
      <w:r w:rsidR="00CE1B60" w:rsidRPr="00642C72">
        <w:t xml:space="preserve"> </w:t>
      </w:r>
      <w:r w:rsidR="0024243F" w:rsidRPr="00642C72">
        <w:t xml:space="preserve"> </w:t>
      </w:r>
      <w:r w:rsidRPr="00642C72">
        <w:t>K</w:t>
      </w:r>
      <w:r w:rsidR="00CE1B60" w:rsidRPr="00642C72">
        <w:t xml:space="preserve">ommissionen och medlemsstaterna </w:t>
      </w:r>
      <w:r w:rsidRPr="00642C72">
        <w:t xml:space="preserve">uppmanas </w:t>
      </w:r>
      <w:r w:rsidR="0024243F" w:rsidRPr="00642C72">
        <w:t xml:space="preserve">dessutom </w:t>
      </w:r>
      <w:r w:rsidR="00CE1B60" w:rsidRPr="00642C72">
        <w:t xml:space="preserve">att </w:t>
      </w:r>
      <w:r w:rsidR="00E95862" w:rsidRPr="00642C72">
        <w:t>ta fram</w:t>
      </w:r>
      <w:r w:rsidR="00CE1B60" w:rsidRPr="00642C72">
        <w:t xml:space="preserve"> instrument och riktlinjer, i linje med målen och bestämmelserna i habitatdirektivet och fågeldirektivet för att mildra eventuella negativa effekter av vilda arter</w:t>
      </w:r>
      <w:r w:rsidR="00E55515" w:rsidRPr="00642C72">
        <w:t xml:space="preserve">. De uppmanas också att integrera bevarandebehov vad gäller såväl arter som naturtyper </w:t>
      </w:r>
      <w:r w:rsidR="00D05CFF" w:rsidRPr="00642C72">
        <w:t>inom</w:t>
      </w:r>
      <w:r w:rsidR="00D67C38" w:rsidRPr="00642C72">
        <w:t xml:space="preserve"> </w:t>
      </w:r>
      <w:r w:rsidR="00E55515" w:rsidRPr="00642C72">
        <w:t>och utanför Natura 2000-områden i viktiga politikområden och finansiella instrument.</w:t>
      </w:r>
      <w:r w:rsidR="00CE1B60" w:rsidRPr="00642C72">
        <w:t xml:space="preserve"> </w:t>
      </w:r>
    </w:p>
    <w:p w:rsidR="00CE1B60" w:rsidRPr="00642C72" w:rsidRDefault="00CE1B60" w:rsidP="00CE1B60"/>
    <w:p w:rsidR="00090573" w:rsidRPr="00642C72" w:rsidRDefault="00285D55" w:rsidP="00CE1B60">
      <w:r w:rsidRPr="00642C72">
        <w:t>B</w:t>
      </w:r>
      <w:r w:rsidR="00CE1B60" w:rsidRPr="00642C72">
        <w:t xml:space="preserve">ehovet av att </w:t>
      </w:r>
      <w:r w:rsidR="00090573" w:rsidRPr="00642C72">
        <w:t xml:space="preserve">bevara och återställa </w:t>
      </w:r>
      <w:r w:rsidR="00CE1B60" w:rsidRPr="00642C72">
        <w:t>ekosystem</w:t>
      </w:r>
      <w:r w:rsidR="00090573" w:rsidRPr="00642C72">
        <w:t>en</w:t>
      </w:r>
      <w:r w:rsidR="00CE1B60" w:rsidRPr="00642C72">
        <w:t xml:space="preserve"> och deras tjänster</w:t>
      </w:r>
      <w:r w:rsidRPr="00642C72">
        <w:t xml:space="preserve"> betonas</w:t>
      </w:r>
      <w:r w:rsidR="0024243F" w:rsidRPr="00642C72">
        <w:t xml:space="preserve"> liksom</w:t>
      </w:r>
      <w:r w:rsidR="00536444" w:rsidRPr="00642C72">
        <w:t xml:space="preserve"> </w:t>
      </w:r>
      <w:r w:rsidR="00090573" w:rsidRPr="00642C72">
        <w:t>vikten av att</w:t>
      </w:r>
      <w:r w:rsidR="00CE1B60" w:rsidRPr="00642C72">
        <w:t xml:space="preserve"> värdera biologisk mångfald och ekosystemtjänster </w:t>
      </w:r>
      <w:r w:rsidR="00090573" w:rsidRPr="00642C72">
        <w:t xml:space="preserve">vilket </w:t>
      </w:r>
      <w:r w:rsidR="00CE1B60" w:rsidRPr="00642C72">
        <w:t xml:space="preserve">kan bidra till att </w:t>
      </w:r>
      <w:r w:rsidR="00E566DF" w:rsidRPr="00642C72">
        <w:t>de integreras</w:t>
      </w:r>
      <w:r w:rsidR="00CE1B60" w:rsidRPr="00642C72">
        <w:t xml:space="preserve"> i beslutsfattande</w:t>
      </w:r>
      <w:r w:rsidR="00AA1E7B" w:rsidRPr="00642C72">
        <w:t xml:space="preserve"> och räkenskaper</w:t>
      </w:r>
      <w:r w:rsidR="00E95862" w:rsidRPr="00642C72">
        <w:t>.</w:t>
      </w:r>
      <w:r w:rsidR="00CE1B60" w:rsidRPr="00642C72">
        <w:t xml:space="preserve"> </w:t>
      </w:r>
    </w:p>
    <w:p w:rsidR="00CE1B60" w:rsidRPr="00642C72" w:rsidRDefault="00CE1B60" w:rsidP="00CE1B60"/>
    <w:p w:rsidR="00CE1B60" w:rsidRPr="00642C72" w:rsidRDefault="00285D55" w:rsidP="00CE1B60">
      <w:r w:rsidRPr="00642C72">
        <w:t>K</w:t>
      </w:r>
      <w:r w:rsidR="00090573" w:rsidRPr="00642C72">
        <w:t xml:space="preserve">ommissionen </w:t>
      </w:r>
      <w:r w:rsidRPr="00642C72">
        <w:t xml:space="preserve">uppmanas </w:t>
      </w:r>
      <w:r w:rsidR="00090573" w:rsidRPr="00642C72">
        <w:t xml:space="preserve">att </w:t>
      </w:r>
      <w:r w:rsidR="00E566DF" w:rsidRPr="00642C72">
        <w:t xml:space="preserve">i </w:t>
      </w:r>
      <w:r w:rsidR="00090573" w:rsidRPr="00642C72">
        <w:t>utveckl</w:t>
      </w:r>
      <w:r w:rsidR="00641405" w:rsidRPr="00642C72">
        <w:t>ingen av</w:t>
      </w:r>
      <w:r w:rsidR="00090573" w:rsidRPr="00642C72">
        <w:t xml:space="preserve"> en strategi för g</w:t>
      </w:r>
      <w:r w:rsidR="00CE1B60" w:rsidRPr="00642C72">
        <w:t xml:space="preserve">rön infrastruktur </w:t>
      </w:r>
      <w:r w:rsidR="00641405" w:rsidRPr="00642C72">
        <w:t xml:space="preserve">bl a överväga </w:t>
      </w:r>
      <w:r w:rsidR="00E95862" w:rsidRPr="00642C72">
        <w:t>finansieringsmöjligheter</w:t>
      </w:r>
      <w:r w:rsidR="00641405" w:rsidRPr="00642C72">
        <w:t xml:space="preserve">, </w:t>
      </w:r>
      <w:r w:rsidR="00F22B1E" w:rsidRPr="00642C72">
        <w:t>betydelsen av samband mellan</w:t>
      </w:r>
      <w:r w:rsidR="00641405" w:rsidRPr="00642C72">
        <w:t xml:space="preserve"> </w:t>
      </w:r>
      <w:r w:rsidR="00CE1B60" w:rsidRPr="00642C72">
        <w:t xml:space="preserve">skyddade områden och grundläggande krav för leverans </w:t>
      </w:r>
      <w:r w:rsidR="00F22B1E" w:rsidRPr="00642C72">
        <w:t>av nödvändiga ekosystemtjänster</w:t>
      </w:r>
      <w:r w:rsidR="00641405" w:rsidRPr="00642C72">
        <w:t xml:space="preserve"> samt</w:t>
      </w:r>
      <w:r w:rsidR="00F22B1E" w:rsidRPr="00642C72">
        <w:t xml:space="preserve"> betydelsen </w:t>
      </w:r>
      <w:r w:rsidR="00CE1B60" w:rsidRPr="00642C72">
        <w:t>av anpassning till klimatförändringarna</w:t>
      </w:r>
      <w:r w:rsidR="00F22B1E" w:rsidRPr="00642C72">
        <w:t>.</w:t>
      </w:r>
    </w:p>
    <w:p w:rsidR="00CE1B60" w:rsidRPr="00642C72" w:rsidRDefault="00CE1B60" w:rsidP="00CE1B60"/>
    <w:p w:rsidR="000D6E80" w:rsidRPr="00642C72" w:rsidRDefault="0024243F" w:rsidP="00CE1B60">
      <w:r w:rsidRPr="00642C72">
        <w:t>Betydelsen</w:t>
      </w:r>
      <w:r w:rsidR="000D6E80" w:rsidRPr="00642C72">
        <w:t xml:space="preserve"> av att säkerställa stöd </w:t>
      </w:r>
      <w:r w:rsidR="00536444" w:rsidRPr="00642C72">
        <w:t xml:space="preserve">på EU eller medlemsstatsnivå </w:t>
      </w:r>
      <w:r w:rsidR="000D6E80" w:rsidRPr="00642C72">
        <w:t>för bevarande</w:t>
      </w:r>
      <w:r w:rsidR="00CE1B60" w:rsidRPr="00642C72">
        <w:t xml:space="preserve"> och restaurering av eko</w:t>
      </w:r>
      <w:r w:rsidR="000D6E80" w:rsidRPr="00642C72">
        <w:t>system och deras tjänster</w:t>
      </w:r>
      <w:r w:rsidR="00285D55" w:rsidRPr="00642C72">
        <w:t xml:space="preserve"> betonas och behovet av </w:t>
      </w:r>
      <w:r w:rsidR="00CE1B60" w:rsidRPr="00642C72">
        <w:t>en gemensam strategi för genomförandet i EU av</w:t>
      </w:r>
      <w:r w:rsidR="0014152B" w:rsidRPr="00642C72">
        <w:t xml:space="preserve"> "ingen nettoförlust''-principen</w:t>
      </w:r>
      <w:r w:rsidR="00285D55" w:rsidRPr="00642C72">
        <w:t xml:space="preserve"> tas upp</w:t>
      </w:r>
      <w:r w:rsidR="000D6E80" w:rsidRPr="00642C72">
        <w:t>.</w:t>
      </w:r>
    </w:p>
    <w:p w:rsidR="000D6E80" w:rsidRPr="00642C72" w:rsidRDefault="000D6E80" w:rsidP="00CE1B60"/>
    <w:p w:rsidR="00CE1B60" w:rsidRPr="00642C72" w:rsidRDefault="00536444" w:rsidP="00CE1B60">
      <w:r w:rsidRPr="00642C72">
        <w:t>Vikten av jordbrukssektorns bidrag för att nå strategins mål tas upp. I de fall miljömålen inom den gemensamma jordbrukspolitiken stärks är det bl a viktigt att b</w:t>
      </w:r>
      <w:r w:rsidR="0024243F" w:rsidRPr="00642C72">
        <w:t>e</w:t>
      </w:r>
      <w:r w:rsidRPr="00642C72">
        <w:t xml:space="preserve">akta </w:t>
      </w:r>
      <w:r w:rsidR="000D6E80" w:rsidRPr="00642C72">
        <w:t>bevarande av</w:t>
      </w:r>
      <w:r w:rsidR="00CE1B60" w:rsidRPr="00642C72">
        <w:t xml:space="preserve"> permanenta gräsmarker</w:t>
      </w:r>
      <w:r w:rsidRPr="00642C72">
        <w:t>, ekologiska fokusområden, e</w:t>
      </w:r>
      <w:r w:rsidR="000D6E80" w:rsidRPr="00642C72">
        <w:t>rsättning</w:t>
      </w:r>
      <w:r w:rsidRPr="00642C72">
        <w:t>ar till</w:t>
      </w:r>
      <w:r w:rsidR="000D6E80" w:rsidRPr="00642C72">
        <w:t xml:space="preserve"> </w:t>
      </w:r>
      <w:r w:rsidRPr="00642C72">
        <w:t xml:space="preserve">jord- och skogsbrukare, </w:t>
      </w:r>
      <w:r w:rsidR="00285D55" w:rsidRPr="00642C72">
        <w:t xml:space="preserve">liksom </w:t>
      </w:r>
      <w:r w:rsidR="000E1390" w:rsidRPr="00642C72">
        <w:t>att</w:t>
      </w:r>
      <w:r w:rsidR="00CE1B60" w:rsidRPr="00642C72">
        <w:t xml:space="preserve"> bidra till att skydda och återställa den biologiska mångfalden </w:t>
      </w:r>
      <w:r w:rsidR="000E1390" w:rsidRPr="00642C72">
        <w:t xml:space="preserve">även </w:t>
      </w:r>
      <w:r w:rsidR="00CE1B60" w:rsidRPr="00642C72">
        <w:t>utanför Natura 2000-områden</w:t>
      </w:r>
      <w:r w:rsidR="000E1390" w:rsidRPr="00642C72">
        <w:t xml:space="preserve"> som bidrar till att binda ihop </w:t>
      </w:r>
      <w:r w:rsidR="00CE1B60" w:rsidRPr="00642C72">
        <w:t>det ekologiska nätverket</w:t>
      </w:r>
      <w:r w:rsidR="000E1390" w:rsidRPr="00642C72">
        <w:t>.</w:t>
      </w:r>
      <w:r w:rsidR="00CE1B60" w:rsidRPr="00642C72">
        <w:t xml:space="preserve"> </w:t>
      </w:r>
    </w:p>
    <w:p w:rsidR="00CE1B60" w:rsidRPr="00642C72" w:rsidRDefault="00CE1B60" w:rsidP="00CE1B60"/>
    <w:p w:rsidR="00CE1B60" w:rsidRPr="00642C72" w:rsidRDefault="00285D55" w:rsidP="00CE1B60">
      <w:r w:rsidRPr="00642C72">
        <w:t>B</w:t>
      </w:r>
      <w:r w:rsidR="00CE1B60" w:rsidRPr="00642C72">
        <w:t xml:space="preserve">evarande </w:t>
      </w:r>
      <w:r w:rsidR="00A12086" w:rsidRPr="00642C72">
        <w:t>av genetisk</w:t>
      </w:r>
      <w:r w:rsidR="00CE1B60" w:rsidRPr="00642C72">
        <w:t xml:space="preserve"> mångfald</w:t>
      </w:r>
      <w:r w:rsidR="00E566DF" w:rsidRPr="00642C72">
        <w:t xml:space="preserve"> som </w:t>
      </w:r>
      <w:r w:rsidR="00A12086" w:rsidRPr="00642C72">
        <w:t>berörs av</w:t>
      </w:r>
      <w:r w:rsidR="00220C38" w:rsidRPr="00642C72">
        <w:t xml:space="preserve"> mat,</w:t>
      </w:r>
      <w:r w:rsidR="00A12086" w:rsidRPr="00642C72">
        <w:t xml:space="preserve"> jord- och skogsbruk</w:t>
      </w:r>
      <w:r w:rsidRPr="00642C72">
        <w:t xml:space="preserve"> uppmuntras</w:t>
      </w:r>
      <w:r w:rsidR="00970B68" w:rsidRPr="00642C72">
        <w:t>.</w:t>
      </w:r>
      <w:r w:rsidR="00482D47" w:rsidRPr="00642C72">
        <w:t xml:space="preserve"> Vidare </w:t>
      </w:r>
      <w:r w:rsidR="00970B68" w:rsidRPr="00642C72">
        <w:t>uppmana</w:t>
      </w:r>
      <w:r w:rsidRPr="00642C72">
        <w:t xml:space="preserve">s </w:t>
      </w:r>
      <w:r w:rsidR="00CE1B60" w:rsidRPr="00642C72">
        <w:t>medlemsstaterna att up</w:t>
      </w:r>
      <w:r w:rsidR="00970B68" w:rsidRPr="00642C72">
        <w:t>pmuntra</w:t>
      </w:r>
      <w:r w:rsidR="00CE1B60" w:rsidRPr="00642C72">
        <w:t xml:space="preserve"> genomfö</w:t>
      </w:r>
      <w:r w:rsidR="00970B68" w:rsidRPr="00642C72">
        <w:t>randet av skogsbruksplaner och</w:t>
      </w:r>
      <w:r w:rsidR="00CE1B60" w:rsidRPr="00642C72">
        <w:t xml:space="preserve"> </w:t>
      </w:r>
      <w:r w:rsidR="00A12086" w:rsidRPr="00642C72">
        <w:t>liknande</w:t>
      </w:r>
      <w:r w:rsidRPr="00642C72">
        <w:t xml:space="preserve"> och </w:t>
      </w:r>
      <w:r w:rsidR="00CE1B60" w:rsidRPr="00642C72">
        <w:t>det pågående arbetet med EU: s framtida skogsstrategi</w:t>
      </w:r>
      <w:r w:rsidRPr="00642C72">
        <w:t xml:space="preserve"> välkomnas</w:t>
      </w:r>
      <w:r w:rsidR="00D05CFF" w:rsidRPr="00642C72">
        <w:t>.</w:t>
      </w:r>
    </w:p>
    <w:p w:rsidR="00CE1B60" w:rsidRPr="00642C72" w:rsidRDefault="00CE1B60" w:rsidP="00CE1B60"/>
    <w:p w:rsidR="00CE1B60" w:rsidRPr="00642C72" w:rsidRDefault="00346211" w:rsidP="00CE1B60">
      <w:r w:rsidRPr="00642C72">
        <w:t>D</w:t>
      </w:r>
      <w:r w:rsidR="00CE1B60" w:rsidRPr="00642C72">
        <w:t>e pågående ansträ</w:t>
      </w:r>
      <w:r w:rsidR="0059336E" w:rsidRPr="00642C72">
        <w:t xml:space="preserve">ngningarna för att bevara </w:t>
      </w:r>
      <w:r w:rsidR="00CE1B60" w:rsidRPr="00642C72">
        <w:t>utsatta fiskbestånd och akvatiska genetiska resurser i inlandsvatten och hav</w:t>
      </w:r>
      <w:r w:rsidRPr="00642C72">
        <w:t xml:space="preserve"> stöds</w:t>
      </w:r>
      <w:r w:rsidR="0024243F" w:rsidRPr="00642C72">
        <w:t xml:space="preserve"> och </w:t>
      </w:r>
    </w:p>
    <w:p w:rsidR="0059336E" w:rsidRPr="00642C72" w:rsidRDefault="0024243F" w:rsidP="00CE1B60">
      <w:r w:rsidRPr="00642C72">
        <w:t>k</w:t>
      </w:r>
      <w:r w:rsidR="00CE1B60" w:rsidRPr="00642C72">
        <w:t xml:space="preserve">ommissionens förslag </w:t>
      </w:r>
      <w:r w:rsidR="004F54E6" w:rsidRPr="00642C72">
        <w:t>från</w:t>
      </w:r>
      <w:r w:rsidR="00CE1B60" w:rsidRPr="00642C72">
        <w:t xml:space="preserve"> </w:t>
      </w:r>
      <w:r w:rsidR="00220C38" w:rsidRPr="00642C72">
        <w:t xml:space="preserve">13 </w:t>
      </w:r>
      <w:r w:rsidR="00CE1B60" w:rsidRPr="00642C72">
        <w:t xml:space="preserve">juli 2011 </w:t>
      </w:r>
      <w:r w:rsidR="00220C38" w:rsidRPr="00642C72">
        <w:t>om</w:t>
      </w:r>
      <w:r w:rsidR="00CE1B60" w:rsidRPr="00642C72">
        <w:t xml:space="preserve"> reformering</w:t>
      </w:r>
      <w:r w:rsidR="0059336E" w:rsidRPr="00642C72">
        <w:t xml:space="preserve"> f</w:t>
      </w:r>
      <w:r w:rsidR="004F54E6" w:rsidRPr="00642C72">
        <w:t>iskeripolitiken</w:t>
      </w:r>
      <w:r w:rsidR="00346211" w:rsidRPr="00642C72">
        <w:t xml:space="preserve"> välkomnas</w:t>
      </w:r>
      <w:r w:rsidR="004F54E6" w:rsidRPr="00642C72">
        <w:t>.</w:t>
      </w:r>
    </w:p>
    <w:p w:rsidR="0059336E" w:rsidRPr="00642C72" w:rsidRDefault="0059336E" w:rsidP="00CE1B60"/>
    <w:p w:rsidR="00CE1B60" w:rsidRPr="00642C72" w:rsidRDefault="00346211" w:rsidP="00CE1B60">
      <w:r w:rsidRPr="00642C72">
        <w:t>K</w:t>
      </w:r>
      <w:r w:rsidR="00CE1B60" w:rsidRPr="00642C72">
        <w:t xml:space="preserve">ommissionen och medlemsstaterna </w:t>
      </w:r>
      <w:r w:rsidRPr="00642C72">
        <w:t xml:space="preserve">uppmanas </w:t>
      </w:r>
      <w:r w:rsidR="00CE1B60" w:rsidRPr="00642C72">
        <w:t>att förstärka insatserna för insamling av vetenskapliga data om fiskbestånden, för att ge starkare vetenskaplig rådgivning;</w:t>
      </w:r>
    </w:p>
    <w:p w:rsidR="00CE1B60" w:rsidRPr="00642C72" w:rsidRDefault="00CE1B60" w:rsidP="00CE1B60"/>
    <w:p w:rsidR="00220C38" w:rsidRPr="00642C72" w:rsidRDefault="00426F24" w:rsidP="00CE1B60">
      <w:r w:rsidRPr="00642C72">
        <w:t>M</w:t>
      </w:r>
      <w:r w:rsidR="00CE1B60" w:rsidRPr="00642C72">
        <w:t xml:space="preserve">edlemsstaterna </w:t>
      </w:r>
      <w:r w:rsidRPr="00642C72">
        <w:t xml:space="preserve">uppmanas </w:t>
      </w:r>
      <w:r w:rsidR="00CE1B60" w:rsidRPr="00642C72">
        <w:t>att</w:t>
      </w:r>
      <w:r w:rsidR="00220C38" w:rsidRPr="00642C72">
        <w:t xml:space="preserve"> försäkra sig om att vidta åtgärder för att nå en god miljöstatus för den marina miljön i linje med ramdirektivet för den marina strategin samt kraven för att uppnå gynnsam bevarandestatus för arter och naturtyper i naturvårdsdirektiven.</w:t>
      </w:r>
    </w:p>
    <w:p w:rsidR="00220C38" w:rsidRPr="00642C72" w:rsidRDefault="00220C38" w:rsidP="00CE1B60"/>
    <w:p w:rsidR="00CE1B60" w:rsidRPr="00642C72" w:rsidRDefault="00960DEB" w:rsidP="00CE1B60">
      <w:r w:rsidRPr="00642C72">
        <w:t>Medlemsstaterna och kommissionen uppmanas att vidta åtgärder för att lösa problemen me</w:t>
      </w:r>
      <w:r w:rsidR="0024243F" w:rsidRPr="00642C72">
        <w:t>d</w:t>
      </w:r>
      <w:r w:rsidRPr="00642C72">
        <w:t xml:space="preserve"> invasiva främmande arter (IAS) </w:t>
      </w:r>
      <w:r w:rsidR="00426F24" w:rsidRPr="00642C72">
        <w:t>B</w:t>
      </w:r>
      <w:r w:rsidR="00CE1B60" w:rsidRPr="00642C72">
        <w:t xml:space="preserve">ehovet av en EU-strategi för </w:t>
      </w:r>
      <w:r w:rsidR="00426F24" w:rsidRPr="00642C72">
        <w:t>I</w:t>
      </w:r>
      <w:r w:rsidRPr="00642C72">
        <w:t>AS</w:t>
      </w:r>
      <w:r w:rsidR="00426F24" w:rsidRPr="00642C72">
        <w:t xml:space="preserve"> påtalas</w:t>
      </w:r>
      <w:r w:rsidR="00CE1B60" w:rsidRPr="00642C72">
        <w:t xml:space="preserve"> </w:t>
      </w:r>
      <w:r w:rsidR="00E566DF" w:rsidRPr="00642C72">
        <w:t xml:space="preserve">inklusive förslag till </w:t>
      </w:r>
      <w:r w:rsidR="00CE1B60" w:rsidRPr="00642C72">
        <w:t>rättsakt</w:t>
      </w:r>
      <w:r w:rsidR="00DD38C2" w:rsidRPr="00642C72">
        <w:t xml:space="preserve"> </w:t>
      </w:r>
      <w:r w:rsidR="00CE1B60" w:rsidRPr="00642C72">
        <w:t xml:space="preserve">senast 2012, som </w:t>
      </w:r>
      <w:r w:rsidR="00DD38C2" w:rsidRPr="00642C72">
        <w:t>bör ta upp bl</w:t>
      </w:r>
      <w:r w:rsidR="00D67C38" w:rsidRPr="00642C72">
        <w:t>.</w:t>
      </w:r>
      <w:r w:rsidR="00DD38C2" w:rsidRPr="00642C72">
        <w:t xml:space="preserve"> a</w:t>
      </w:r>
      <w:r w:rsidR="00D67C38" w:rsidRPr="00642C72">
        <w:t>.</w:t>
      </w:r>
      <w:r w:rsidR="00DD38C2" w:rsidRPr="00642C72">
        <w:t xml:space="preserve"> </w:t>
      </w:r>
      <w:r w:rsidR="00CE1B60" w:rsidRPr="00642C72">
        <w:t>kontroll och utrotning</w:t>
      </w:r>
      <w:r w:rsidR="00426F24" w:rsidRPr="00642C72">
        <w:t>.</w:t>
      </w:r>
      <w:r w:rsidR="00CE1B60" w:rsidRPr="00642C72">
        <w:t xml:space="preserve"> </w:t>
      </w:r>
      <w:r w:rsidRPr="00642C72">
        <w:t>Medlemsstaterna uppmuntras att ratificera ballastkonvention.</w:t>
      </w:r>
    </w:p>
    <w:p w:rsidR="00DD38C2" w:rsidRPr="00642C72" w:rsidRDefault="00DD38C2" w:rsidP="00CE1B60"/>
    <w:p w:rsidR="00DD38C2" w:rsidRPr="00642C72" w:rsidRDefault="00426F24" w:rsidP="00CE1B60">
      <w:r w:rsidRPr="00642C72">
        <w:t>N</w:t>
      </w:r>
      <w:r w:rsidR="00CE1B60" w:rsidRPr="00642C72">
        <w:t>ödvändig</w:t>
      </w:r>
      <w:r w:rsidRPr="00642C72">
        <w:t>heten</w:t>
      </w:r>
      <w:r w:rsidR="00CE1B60" w:rsidRPr="00642C72">
        <w:t xml:space="preserve"> </w:t>
      </w:r>
      <w:r w:rsidRPr="00642C72">
        <w:t xml:space="preserve">av </w:t>
      </w:r>
      <w:r w:rsidR="00CE1B60" w:rsidRPr="00642C72">
        <w:t>att kommi</w:t>
      </w:r>
      <w:r w:rsidR="00DD38C2" w:rsidRPr="00642C72">
        <w:t xml:space="preserve">ssionen och medlemsstaterna </w:t>
      </w:r>
      <w:r w:rsidR="00CE1B60" w:rsidRPr="00642C72">
        <w:t>utveckla</w:t>
      </w:r>
      <w:r w:rsidR="00DD38C2" w:rsidRPr="00642C72">
        <w:t>r</w:t>
      </w:r>
      <w:r w:rsidR="00CE1B60" w:rsidRPr="00642C72">
        <w:t xml:space="preserve"> initiativ för att minska den nega</w:t>
      </w:r>
      <w:r w:rsidR="00DD38C2" w:rsidRPr="00642C72">
        <w:t>tiva påverkan på naturresurser på grund av</w:t>
      </w:r>
      <w:r w:rsidR="00CE1B60" w:rsidRPr="00642C72">
        <w:t xml:space="preserve"> EU: s kons</w:t>
      </w:r>
      <w:r w:rsidR="00DD38C2" w:rsidRPr="00642C72">
        <w:t>umtions-</w:t>
      </w:r>
      <w:r w:rsidR="004F54E6" w:rsidRPr="00642C72">
        <w:t xml:space="preserve"> </w:t>
      </w:r>
      <w:r w:rsidR="00DD38C2" w:rsidRPr="00642C72">
        <w:t>och produktionsmönster</w:t>
      </w:r>
      <w:r w:rsidRPr="00642C72">
        <w:t xml:space="preserve"> påtalas</w:t>
      </w:r>
      <w:r w:rsidR="0034431F" w:rsidRPr="00642C72">
        <w:t xml:space="preserve"> liksom </w:t>
      </w:r>
      <w:r w:rsidR="00CE1B60" w:rsidRPr="00642C72">
        <w:t xml:space="preserve">att den biologiska mångfalden återspeglas i </w:t>
      </w:r>
      <w:r w:rsidR="0034431F" w:rsidRPr="00642C72">
        <w:t>EU:s</w:t>
      </w:r>
      <w:r w:rsidR="0024243F" w:rsidRPr="00642C72">
        <w:t xml:space="preserve"> </w:t>
      </w:r>
      <w:r w:rsidR="00CE1B60" w:rsidRPr="00642C72">
        <w:t xml:space="preserve">handelsavtal </w:t>
      </w:r>
      <w:r w:rsidR="00DD38C2" w:rsidRPr="00642C72">
        <w:t>och utvecklin</w:t>
      </w:r>
      <w:r w:rsidR="004F54E6" w:rsidRPr="00642C72">
        <w:t>g</w:t>
      </w:r>
      <w:r w:rsidR="00DD38C2" w:rsidRPr="00642C72">
        <w:t>ssamarbeten</w:t>
      </w:r>
      <w:r w:rsidR="004F54E6" w:rsidRPr="00642C72">
        <w:t>.</w:t>
      </w:r>
    </w:p>
    <w:p w:rsidR="00CE1B60" w:rsidRPr="00642C72" w:rsidRDefault="00CE1B60" w:rsidP="00CE1B60"/>
    <w:p w:rsidR="00CE1B60" w:rsidRPr="00642C72" w:rsidRDefault="00426F24" w:rsidP="00CE1B60">
      <w:r w:rsidRPr="00642C72">
        <w:t>K</w:t>
      </w:r>
      <w:r w:rsidR="00CE1B60" w:rsidRPr="00642C72">
        <w:t xml:space="preserve">ommissionen </w:t>
      </w:r>
      <w:r w:rsidRPr="00642C72">
        <w:t xml:space="preserve">uppmanas </w:t>
      </w:r>
      <w:r w:rsidR="00CE1B60" w:rsidRPr="00642C72">
        <w:t>att</w:t>
      </w:r>
      <w:r w:rsidR="00DD38C2" w:rsidRPr="00642C72">
        <w:t xml:space="preserve"> </w:t>
      </w:r>
      <w:r w:rsidR="004F54E6" w:rsidRPr="00642C72">
        <w:t>identifiera</w:t>
      </w:r>
      <w:r w:rsidR="00CE1B60" w:rsidRPr="00642C72">
        <w:t xml:space="preserve"> subventioner </w:t>
      </w:r>
      <w:r w:rsidR="004F54E6" w:rsidRPr="00642C72">
        <w:t xml:space="preserve">som </w:t>
      </w:r>
      <w:r w:rsidR="00CE1B60" w:rsidRPr="00642C72">
        <w:t xml:space="preserve">skadar den biologiska mångfalden i både EU och i medlemsstaterna och att utarbeta en färdplan för </w:t>
      </w:r>
      <w:r w:rsidR="0034431F" w:rsidRPr="00642C72">
        <w:t>att</w:t>
      </w:r>
      <w:r w:rsidR="00CE1B60" w:rsidRPr="00642C72">
        <w:t xml:space="preserve"> </w:t>
      </w:r>
      <w:r w:rsidR="00DD38C2" w:rsidRPr="00642C72">
        <w:t xml:space="preserve">eliminera dessa. </w:t>
      </w:r>
    </w:p>
    <w:p w:rsidR="00DD38C2" w:rsidRPr="00642C72" w:rsidRDefault="00DD38C2" w:rsidP="00CE1B60"/>
    <w:p w:rsidR="00CE1B60" w:rsidRPr="00642C72" w:rsidRDefault="00426F24" w:rsidP="00CE1B60">
      <w:r w:rsidRPr="00642C72">
        <w:t>K</w:t>
      </w:r>
      <w:r w:rsidR="00CE1B60" w:rsidRPr="00642C72">
        <w:t xml:space="preserve">ommissionen och medlemsstaterna </w:t>
      </w:r>
      <w:r w:rsidRPr="00642C72">
        <w:t xml:space="preserve">uppmanas </w:t>
      </w:r>
      <w:r w:rsidR="00CE1B60" w:rsidRPr="00642C72">
        <w:t xml:space="preserve">att fullgöra de åtaganden som gjordes vid CBD COP 10 i Nagoya som </w:t>
      </w:r>
      <w:r w:rsidR="00DD38C2" w:rsidRPr="00642C72">
        <w:t>en del av strategin för Resursm</w:t>
      </w:r>
      <w:r w:rsidR="00CE1B60" w:rsidRPr="00642C72">
        <w:t>obilisering</w:t>
      </w:r>
      <w:r w:rsidR="00DD38C2" w:rsidRPr="00642C72">
        <w:t>.</w:t>
      </w:r>
      <w:r w:rsidR="00CE1B60" w:rsidRPr="00642C72">
        <w:t xml:space="preserve"> </w:t>
      </w:r>
    </w:p>
    <w:p w:rsidR="00CE1B60" w:rsidRPr="00642C72" w:rsidRDefault="00CE1B60" w:rsidP="00CE1B60">
      <w:r w:rsidRPr="00642C72">
        <w:t xml:space="preserve"> </w:t>
      </w:r>
    </w:p>
    <w:p w:rsidR="00CE1B60" w:rsidRPr="00642C72" w:rsidRDefault="00426F24" w:rsidP="0024243F">
      <w:r w:rsidRPr="00642C72">
        <w:t>K</w:t>
      </w:r>
      <w:r w:rsidR="00CE1B60" w:rsidRPr="00642C72">
        <w:t xml:space="preserve">ommissionen </w:t>
      </w:r>
      <w:r w:rsidRPr="00642C72">
        <w:t xml:space="preserve">uppmanas </w:t>
      </w:r>
      <w:r w:rsidR="00CE1B60" w:rsidRPr="00642C72">
        <w:t xml:space="preserve">att lägga fram ett förslag </w:t>
      </w:r>
      <w:r w:rsidR="00DD38C2" w:rsidRPr="00642C72">
        <w:t xml:space="preserve">till </w:t>
      </w:r>
      <w:r w:rsidR="00CE1B60" w:rsidRPr="00642C72">
        <w:t xml:space="preserve">ratificering </w:t>
      </w:r>
      <w:r w:rsidR="00DD38C2" w:rsidRPr="00642C72">
        <w:t>av Nagoya</w:t>
      </w:r>
      <w:r w:rsidR="00CE1B60" w:rsidRPr="00642C72">
        <w:t>protokoll</w:t>
      </w:r>
      <w:r w:rsidR="00DD38C2" w:rsidRPr="00642C72">
        <w:t>et</w:t>
      </w:r>
      <w:r w:rsidR="00CE1B60" w:rsidRPr="00642C72">
        <w:t xml:space="preserve"> om tillträde till genetiska resurser och en rättvis fördelning av </w:t>
      </w:r>
      <w:r w:rsidR="00DD38C2" w:rsidRPr="00642C72">
        <w:t xml:space="preserve">deras </w:t>
      </w:r>
      <w:r w:rsidR="00CE1B60" w:rsidRPr="00642C72">
        <w:t>vinster</w:t>
      </w:r>
      <w:r w:rsidR="00DD38C2" w:rsidRPr="00642C72">
        <w:t>.</w:t>
      </w:r>
    </w:p>
    <w:p w:rsidR="005803F6" w:rsidRPr="00642C72" w:rsidRDefault="005803F6">
      <w:pPr>
        <w:pStyle w:val="RKnormal"/>
      </w:pPr>
    </w:p>
    <w:p w:rsidR="000947E1" w:rsidRPr="00642C72" w:rsidRDefault="005803F6" w:rsidP="000947E1">
      <w:pPr>
        <w:pStyle w:val="RKrubrik"/>
        <w:spacing w:line="240" w:lineRule="auto"/>
        <w:rPr>
          <w:i/>
          <w:iCs/>
        </w:rPr>
      </w:pPr>
      <w:r w:rsidRPr="00642C72">
        <w:rPr>
          <w:i/>
          <w:iCs/>
        </w:rPr>
        <w:t>Gällande svenska regler och förslagets effekter på dessa</w:t>
      </w:r>
    </w:p>
    <w:p w:rsidR="005803F6" w:rsidRPr="00642C72" w:rsidRDefault="006F2E67" w:rsidP="000947E1">
      <w:pPr>
        <w:rPr>
          <w:i/>
          <w:iCs/>
        </w:rPr>
      </w:pPr>
      <w:r w:rsidRPr="00642C72">
        <w:t>Förslaget i sig innebär för närvarande inga konsekvenser för svenskt regelverk. Svenska regler om biologisk mångfald finns framförallt i miljöbalken med tillhörande förordningar. Flera av de framtida åtgärder som nämns i strategin kan dock komma att innebära behov av förändringar av det svenska regelverket, exempelvis direktiv om invasiva främmande arter. Hur och i vilken omfattning vårt svenska regelverk kan komma att påverkas av dessa framtida förslag är svårt att bedöma innan förslagen har konkretiserats ytterligare. Troligen blir det frågan om ändringar av mindre omfattning.</w:t>
      </w:r>
    </w:p>
    <w:p w:rsidR="005803F6" w:rsidRPr="00642C72" w:rsidRDefault="005803F6">
      <w:pPr>
        <w:pStyle w:val="RKrubrik"/>
      </w:pPr>
      <w:r w:rsidRPr="00642C72">
        <w:t>Ekonomiska konsekvenser</w:t>
      </w:r>
    </w:p>
    <w:p w:rsidR="006F2E67" w:rsidRPr="00642C72" w:rsidRDefault="00E566DF" w:rsidP="006F2E67">
      <w:pPr>
        <w:pStyle w:val="RKnormal"/>
      </w:pPr>
      <w:r w:rsidRPr="00642C72">
        <w:t>Förslaget</w:t>
      </w:r>
      <w:r w:rsidR="006F2E67" w:rsidRPr="00642C72">
        <w:t xml:space="preserve"> kan få budgetära konsekvenser både för EU:s budget, för statsbudgeten och för berörda näringar. Storleken kan variera mellan marginell och betydande beroende på typ av åtgärd och får sin slutliga utformning beroende på utfallet av de fortsatta förhandlingarna och åtgärdernas slutliga utformning. Många av åtgärderna medför dock enbart administrativa utgifter som kan hanteras inom myndigheternas nuvarande ramar. Om förlusten av biologisk mångfald hejdas och skadade funktioner restaureras kan detta innebära att välfärdsförluster av storleksordningen 7 % av den globala BNP, som beräknats inom TEEB, till 2050 inte blir verklighet.</w:t>
      </w:r>
    </w:p>
    <w:p w:rsidR="005803F6" w:rsidRPr="00642C72" w:rsidRDefault="005803F6">
      <w:pPr>
        <w:pStyle w:val="RKnormal"/>
      </w:pPr>
    </w:p>
    <w:p w:rsidR="005803F6" w:rsidRPr="00642C72" w:rsidRDefault="005803F6">
      <w:pPr>
        <w:pStyle w:val="RKrubrik"/>
      </w:pPr>
      <w:r w:rsidRPr="00642C72">
        <w:t>Övrigt</w:t>
      </w:r>
    </w:p>
    <w:p w:rsidR="005803F6" w:rsidRPr="00642C72" w:rsidRDefault="0024243F">
      <w:pPr>
        <w:pStyle w:val="RKnormal"/>
      </w:pPr>
      <w:r w:rsidRPr="00642C72">
        <w:t>-</w:t>
      </w:r>
    </w:p>
    <w:p w:rsidR="005803F6" w:rsidRPr="00642C72" w:rsidRDefault="005803F6">
      <w:pPr>
        <w:pStyle w:val="RKnormal"/>
        <w:rPr>
          <w:i/>
          <w:iCs/>
        </w:rPr>
      </w:pPr>
    </w:p>
    <w:p w:rsidR="005803F6" w:rsidRPr="00642C72" w:rsidRDefault="005803F6">
      <w:pPr>
        <w:pStyle w:val="RKnormal"/>
        <w:ind w:left="-1134"/>
      </w:pPr>
    </w:p>
    <w:p w:rsidR="006E4E11" w:rsidRPr="00642C72" w:rsidRDefault="006E4E11">
      <w:pPr>
        <w:pStyle w:val="RKrubrik"/>
        <w:spacing w:before="0" w:after="0"/>
      </w:pPr>
    </w:p>
    <w:p w:rsidR="006E4E11" w:rsidRPr="00642C72" w:rsidRDefault="006E4E11">
      <w:pPr>
        <w:pStyle w:val="RKnormal"/>
      </w:pPr>
    </w:p>
    <w:p w:rsidR="005803F6" w:rsidRPr="00642C72" w:rsidRDefault="005803F6">
      <w:pPr>
        <w:pStyle w:val="RKnormal"/>
      </w:pPr>
    </w:p>
    <w:sectPr w:rsidR="005803F6" w:rsidRPr="00642C7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BBB" w:rsidRPr="00642C72" w:rsidRDefault="002F3BBB">
      <w:r w:rsidRPr="00642C72">
        <w:separator/>
      </w:r>
    </w:p>
  </w:endnote>
  <w:endnote w:type="continuationSeparator" w:id="0">
    <w:p w:rsidR="002F3BBB" w:rsidRPr="00642C72" w:rsidRDefault="002F3BBB">
      <w:r w:rsidRPr="00642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BBB" w:rsidRPr="00642C72" w:rsidRDefault="002F3BBB">
      <w:r w:rsidRPr="00642C72">
        <w:separator/>
      </w:r>
    </w:p>
  </w:footnote>
  <w:footnote w:type="continuationSeparator" w:id="0">
    <w:p w:rsidR="002F3BBB" w:rsidRPr="00642C72" w:rsidRDefault="002F3BBB">
      <w:r w:rsidRPr="00642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50" w:rsidRPr="00642C72" w:rsidRDefault="004F5150">
    <w:pPr>
      <w:pStyle w:val="Sidhuvud"/>
      <w:framePr w:wrap="around" w:vAnchor="text" w:hAnchor="margin" w:xAlign="right" w:y="1"/>
      <w:rPr>
        <w:rStyle w:val="Sidnummer"/>
      </w:rPr>
    </w:pPr>
    <w:r w:rsidRPr="00642C72">
      <w:rPr>
        <w:rStyle w:val="Sidnummer"/>
      </w:rPr>
      <w:fldChar w:fldCharType="begin" w:fldLock="1"/>
    </w:r>
    <w:r w:rsidRPr="00642C72">
      <w:rPr>
        <w:rStyle w:val="Sidnummer"/>
      </w:rPr>
      <w:instrText xml:space="preserve">PAGE  </w:instrText>
    </w:r>
    <w:r w:rsidRPr="00642C72">
      <w:rPr>
        <w:rStyle w:val="Sidnummer"/>
      </w:rPr>
      <w:fldChar w:fldCharType="separate"/>
    </w:r>
    <w:r w:rsidR="00B209A5" w:rsidRPr="00642C72">
      <w:rPr>
        <w:rStyle w:val="Sidnummer"/>
      </w:rPr>
      <w:t>6</w:t>
    </w:r>
    <w:r w:rsidRPr="00642C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5150" w:rsidRPr="00642C72">
      <w:tblPrEx>
        <w:tblCellMar>
          <w:top w:w="0" w:type="dxa"/>
          <w:bottom w:w="0" w:type="dxa"/>
        </w:tblCellMar>
      </w:tblPrEx>
      <w:trPr>
        <w:cantSplit/>
      </w:trPr>
      <w:tc>
        <w:tcPr>
          <w:tcW w:w="3119" w:type="dxa"/>
        </w:tcPr>
        <w:p w:rsidR="004F5150" w:rsidRPr="00642C72" w:rsidRDefault="004F5150">
          <w:pPr>
            <w:pStyle w:val="Sidhuvud"/>
            <w:spacing w:line="200" w:lineRule="atLeast"/>
            <w:ind w:right="357"/>
            <w:rPr>
              <w:rFonts w:ascii="TradeGothic" w:hAnsi="TradeGothic"/>
              <w:b/>
              <w:bCs/>
              <w:sz w:val="16"/>
            </w:rPr>
          </w:pPr>
        </w:p>
      </w:tc>
      <w:tc>
        <w:tcPr>
          <w:tcW w:w="4111" w:type="dxa"/>
          <w:tcMar>
            <w:left w:w="567" w:type="dxa"/>
          </w:tcMar>
        </w:tcPr>
        <w:p w:rsidR="004F5150" w:rsidRPr="00642C72" w:rsidRDefault="004F5150">
          <w:pPr>
            <w:pStyle w:val="Sidhuvud"/>
            <w:ind w:right="360"/>
          </w:pPr>
        </w:p>
      </w:tc>
      <w:tc>
        <w:tcPr>
          <w:tcW w:w="1525" w:type="dxa"/>
        </w:tcPr>
        <w:p w:rsidR="004F5150" w:rsidRPr="00642C72" w:rsidRDefault="004F5150">
          <w:pPr>
            <w:pStyle w:val="Sidhuvud"/>
            <w:ind w:right="360"/>
          </w:pPr>
        </w:p>
      </w:tc>
    </w:tr>
  </w:tbl>
  <w:p w:rsidR="004F5150" w:rsidRPr="00642C72" w:rsidRDefault="004F515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50" w:rsidRPr="00642C72" w:rsidRDefault="004F5150">
    <w:pPr>
      <w:pStyle w:val="Sidhuvud"/>
      <w:framePr w:wrap="around" w:vAnchor="text" w:hAnchor="margin" w:xAlign="right" w:y="1"/>
      <w:rPr>
        <w:rStyle w:val="Sidnummer"/>
      </w:rPr>
    </w:pPr>
    <w:r w:rsidRPr="00642C72">
      <w:rPr>
        <w:rStyle w:val="Sidnummer"/>
      </w:rPr>
      <w:fldChar w:fldCharType="begin" w:fldLock="1"/>
    </w:r>
    <w:r w:rsidRPr="00642C72">
      <w:rPr>
        <w:rStyle w:val="Sidnummer"/>
      </w:rPr>
      <w:instrText xml:space="preserve">PAGE  </w:instrText>
    </w:r>
    <w:r w:rsidRPr="00642C72">
      <w:rPr>
        <w:rStyle w:val="Sidnummer"/>
      </w:rPr>
      <w:fldChar w:fldCharType="separate"/>
    </w:r>
    <w:r w:rsidR="00B209A5" w:rsidRPr="00642C72">
      <w:rPr>
        <w:rStyle w:val="Sidnummer"/>
      </w:rPr>
      <w:t>7</w:t>
    </w:r>
    <w:r w:rsidRPr="00642C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F5150" w:rsidRPr="00642C72">
      <w:tblPrEx>
        <w:tblCellMar>
          <w:top w:w="0" w:type="dxa"/>
          <w:bottom w:w="0" w:type="dxa"/>
        </w:tblCellMar>
      </w:tblPrEx>
      <w:trPr>
        <w:cantSplit/>
      </w:trPr>
      <w:tc>
        <w:tcPr>
          <w:tcW w:w="3119" w:type="dxa"/>
        </w:tcPr>
        <w:p w:rsidR="004F5150" w:rsidRPr="00642C72" w:rsidRDefault="004F5150">
          <w:pPr>
            <w:pStyle w:val="Sidhuvud"/>
            <w:spacing w:line="200" w:lineRule="atLeast"/>
            <w:ind w:right="357"/>
            <w:rPr>
              <w:rFonts w:ascii="TradeGothic" w:hAnsi="TradeGothic"/>
              <w:b/>
              <w:bCs/>
              <w:sz w:val="16"/>
            </w:rPr>
          </w:pPr>
        </w:p>
      </w:tc>
      <w:tc>
        <w:tcPr>
          <w:tcW w:w="4111" w:type="dxa"/>
          <w:tcMar>
            <w:left w:w="567" w:type="dxa"/>
          </w:tcMar>
        </w:tcPr>
        <w:p w:rsidR="004F5150" w:rsidRPr="00642C72" w:rsidRDefault="004F5150">
          <w:pPr>
            <w:pStyle w:val="Sidhuvud"/>
            <w:ind w:right="360"/>
          </w:pPr>
        </w:p>
      </w:tc>
      <w:tc>
        <w:tcPr>
          <w:tcW w:w="1525" w:type="dxa"/>
        </w:tcPr>
        <w:p w:rsidR="004F5150" w:rsidRPr="00642C72" w:rsidRDefault="004F5150">
          <w:pPr>
            <w:pStyle w:val="Sidhuvud"/>
            <w:ind w:right="360"/>
          </w:pPr>
        </w:p>
      </w:tc>
    </w:tr>
  </w:tbl>
  <w:p w:rsidR="004F5150" w:rsidRPr="00642C72" w:rsidRDefault="004F515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150" w:rsidRPr="00642C72" w:rsidRDefault="00642C72">
    <w:pPr>
      <w:framePr w:w="2948" w:h="1321" w:hRule="exact" w:wrap="notBeside" w:vAnchor="page" w:hAnchor="page" w:x="1362" w:y="653"/>
    </w:pPr>
    <w:r w:rsidRPr="00642C7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F5150" w:rsidRPr="00642C72" w:rsidRDefault="004F5150">
    <w:pPr>
      <w:pStyle w:val="RKrubrik"/>
      <w:keepNext w:val="0"/>
      <w:tabs>
        <w:tab w:val="clear" w:pos="1134"/>
        <w:tab w:val="clear" w:pos="2835"/>
      </w:tabs>
      <w:spacing w:before="0" w:after="0" w:line="320" w:lineRule="atLeast"/>
      <w:rPr>
        <w:bCs/>
      </w:rPr>
    </w:pPr>
  </w:p>
  <w:p w:rsidR="004F5150" w:rsidRPr="00642C72" w:rsidRDefault="004F5150">
    <w:pPr>
      <w:rPr>
        <w:rFonts w:ascii="TradeGothic" w:hAnsi="TradeGothic"/>
        <w:b/>
        <w:bCs/>
        <w:spacing w:val="12"/>
        <w:sz w:val="22"/>
      </w:rPr>
    </w:pPr>
  </w:p>
  <w:p w:rsidR="004F5150" w:rsidRPr="00642C72" w:rsidRDefault="004F5150">
    <w:pPr>
      <w:pStyle w:val="RKrubrik"/>
      <w:keepNext w:val="0"/>
      <w:tabs>
        <w:tab w:val="clear" w:pos="1134"/>
        <w:tab w:val="clear" w:pos="2835"/>
      </w:tabs>
      <w:spacing w:before="0" w:after="0" w:line="320" w:lineRule="atLeast"/>
      <w:rPr>
        <w:bCs/>
      </w:rPr>
    </w:pPr>
  </w:p>
  <w:p w:rsidR="004F5150" w:rsidRPr="00642C72" w:rsidRDefault="004F515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60150"/>
    <w:rsid w:val="0007641F"/>
    <w:rsid w:val="00090573"/>
    <w:rsid w:val="000947E1"/>
    <w:rsid w:val="000B43A6"/>
    <w:rsid w:val="000D6E80"/>
    <w:rsid w:val="000E1390"/>
    <w:rsid w:val="000E22CF"/>
    <w:rsid w:val="000E2574"/>
    <w:rsid w:val="00101623"/>
    <w:rsid w:val="0011160A"/>
    <w:rsid w:val="00126AD9"/>
    <w:rsid w:val="0014152B"/>
    <w:rsid w:val="00150384"/>
    <w:rsid w:val="0015072E"/>
    <w:rsid w:val="00180587"/>
    <w:rsid w:val="001805B7"/>
    <w:rsid w:val="001B7B6D"/>
    <w:rsid w:val="001C111A"/>
    <w:rsid w:val="001D110B"/>
    <w:rsid w:val="001E27F2"/>
    <w:rsid w:val="001E4BE0"/>
    <w:rsid w:val="00213B65"/>
    <w:rsid w:val="00220C38"/>
    <w:rsid w:val="0023483E"/>
    <w:rsid w:val="00236D54"/>
    <w:rsid w:val="0024243F"/>
    <w:rsid w:val="002533BA"/>
    <w:rsid w:val="00285D55"/>
    <w:rsid w:val="002A5C90"/>
    <w:rsid w:val="002B6879"/>
    <w:rsid w:val="002D6EC2"/>
    <w:rsid w:val="002E1F90"/>
    <w:rsid w:val="002E2377"/>
    <w:rsid w:val="002E66B2"/>
    <w:rsid w:val="002F3BBB"/>
    <w:rsid w:val="0034431F"/>
    <w:rsid w:val="00346211"/>
    <w:rsid w:val="00367161"/>
    <w:rsid w:val="003B0414"/>
    <w:rsid w:val="003C0205"/>
    <w:rsid w:val="00426F24"/>
    <w:rsid w:val="00464079"/>
    <w:rsid w:val="0046418E"/>
    <w:rsid w:val="00482D47"/>
    <w:rsid w:val="004A180B"/>
    <w:rsid w:val="004A328D"/>
    <w:rsid w:val="004F5150"/>
    <w:rsid w:val="004F54E6"/>
    <w:rsid w:val="00533F3D"/>
    <w:rsid w:val="00536444"/>
    <w:rsid w:val="005803F6"/>
    <w:rsid w:val="0059336E"/>
    <w:rsid w:val="005B04F6"/>
    <w:rsid w:val="005E740D"/>
    <w:rsid w:val="005F6610"/>
    <w:rsid w:val="00610573"/>
    <w:rsid w:val="00641405"/>
    <w:rsid w:val="00642C72"/>
    <w:rsid w:val="00645DF2"/>
    <w:rsid w:val="0066662F"/>
    <w:rsid w:val="006E4E11"/>
    <w:rsid w:val="006E51C6"/>
    <w:rsid w:val="006F2E67"/>
    <w:rsid w:val="00705FE4"/>
    <w:rsid w:val="007242A3"/>
    <w:rsid w:val="00734241"/>
    <w:rsid w:val="007400E8"/>
    <w:rsid w:val="00752DA0"/>
    <w:rsid w:val="00776542"/>
    <w:rsid w:val="00783475"/>
    <w:rsid w:val="007C4D25"/>
    <w:rsid w:val="00831316"/>
    <w:rsid w:val="00840645"/>
    <w:rsid w:val="00857B75"/>
    <w:rsid w:val="008812C2"/>
    <w:rsid w:val="00884615"/>
    <w:rsid w:val="008872C3"/>
    <w:rsid w:val="00893B19"/>
    <w:rsid w:val="00933585"/>
    <w:rsid w:val="00960DEB"/>
    <w:rsid w:val="00970B68"/>
    <w:rsid w:val="009713D1"/>
    <w:rsid w:val="00986128"/>
    <w:rsid w:val="009C6CC0"/>
    <w:rsid w:val="009C7759"/>
    <w:rsid w:val="009E2AD6"/>
    <w:rsid w:val="009E4B07"/>
    <w:rsid w:val="009F6E16"/>
    <w:rsid w:val="00A12086"/>
    <w:rsid w:val="00AA1B4D"/>
    <w:rsid w:val="00AA1E7B"/>
    <w:rsid w:val="00AE49B1"/>
    <w:rsid w:val="00B00EAE"/>
    <w:rsid w:val="00B03054"/>
    <w:rsid w:val="00B209A5"/>
    <w:rsid w:val="00B70CDD"/>
    <w:rsid w:val="00B91C22"/>
    <w:rsid w:val="00B9718C"/>
    <w:rsid w:val="00BB41A3"/>
    <w:rsid w:val="00C158A4"/>
    <w:rsid w:val="00C210FA"/>
    <w:rsid w:val="00C3375A"/>
    <w:rsid w:val="00C54DAB"/>
    <w:rsid w:val="00CC2A7C"/>
    <w:rsid w:val="00CE1B60"/>
    <w:rsid w:val="00CF160A"/>
    <w:rsid w:val="00D05CFF"/>
    <w:rsid w:val="00D11FC1"/>
    <w:rsid w:val="00D16F4B"/>
    <w:rsid w:val="00D67C38"/>
    <w:rsid w:val="00DC172D"/>
    <w:rsid w:val="00DC1BDB"/>
    <w:rsid w:val="00DC4BE3"/>
    <w:rsid w:val="00DD38C2"/>
    <w:rsid w:val="00E04407"/>
    <w:rsid w:val="00E04847"/>
    <w:rsid w:val="00E33074"/>
    <w:rsid w:val="00E42AA0"/>
    <w:rsid w:val="00E55515"/>
    <w:rsid w:val="00E566DF"/>
    <w:rsid w:val="00E85758"/>
    <w:rsid w:val="00E90D90"/>
    <w:rsid w:val="00E91531"/>
    <w:rsid w:val="00E92F69"/>
    <w:rsid w:val="00E95862"/>
    <w:rsid w:val="00EC25F9"/>
    <w:rsid w:val="00EE2B54"/>
    <w:rsid w:val="00F22B1E"/>
    <w:rsid w:val="00F935B9"/>
    <w:rsid w:val="00FB1F3A"/>
    <w:rsid w:val="00FC14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1EB92-46A5-4940-A38B-1AF18CDC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933585"/>
    <w:rPr>
      <w:rFonts w:ascii="OrigGarmnd BT" w:hAnsi="OrigGarmnd BT"/>
      <w:sz w:val="24"/>
      <w:lang w:val="sv-SE" w:eastAsia="en-US" w:bidi="ar-SA"/>
    </w:rPr>
  </w:style>
  <w:style w:type="paragraph" w:styleId="Ballongtext">
    <w:name w:val="Balloon Text"/>
    <w:basedOn w:val="Normal"/>
    <w:link w:val="BallongtextChar"/>
    <w:rsid w:val="00610573"/>
    <w:pPr>
      <w:spacing w:line="240" w:lineRule="auto"/>
    </w:pPr>
    <w:rPr>
      <w:rFonts w:ascii="Tahoma" w:hAnsi="Tahoma" w:cs="Tahoma"/>
      <w:sz w:val="16"/>
      <w:szCs w:val="16"/>
    </w:rPr>
  </w:style>
  <w:style w:type="character" w:customStyle="1" w:styleId="BallongtextChar">
    <w:name w:val="Ballongtext Char"/>
    <w:link w:val="Ballongtext"/>
    <w:rsid w:val="00610573"/>
    <w:rPr>
      <w:rFonts w:ascii="Tahoma" w:hAnsi="Tahoma" w:cs="Tahoma"/>
      <w:sz w:val="16"/>
      <w:szCs w:val="16"/>
      <w:lang w:eastAsia="en-US"/>
    </w:rPr>
  </w:style>
  <w:style w:type="character" w:styleId="Hyperlnk">
    <w:name w:val="Hyperlink"/>
    <w:rsid w:val="00242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12261">
      <w:bodyDiv w:val="1"/>
      <w:marLeft w:val="0"/>
      <w:marRight w:val="0"/>
      <w:marTop w:val="0"/>
      <w:marBottom w:val="0"/>
      <w:divBdr>
        <w:top w:val="none" w:sz="0" w:space="0" w:color="auto"/>
        <w:left w:val="none" w:sz="0" w:space="0" w:color="auto"/>
        <w:bottom w:val="none" w:sz="0" w:space="0" w:color="auto"/>
        <w:right w:val="none" w:sz="0" w:space="0" w:color="auto"/>
      </w:divBdr>
    </w:div>
    <w:div w:id="1980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12938</Characters>
  <Application>Microsoft Office Word</Application>
  <DocSecurity>4</DocSecurity>
  <Lines>294</Lines>
  <Paragraphs>70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2011-12-12T12:23:00Z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