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6EA89378" w14:textId="77777777">
        <w:tc>
          <w:tcPr>
            <w:tcW w:w="2268" w:type="dxa"/>
          </w:tcPr>
          <w:p w14:paraId="6CF1FF75"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1AE21767" w14:textId="77777777" w:rsidR="005F1820" w:rsidRDefault="005F1820">
            <w:pPr>
              <w:framePr w:w="4400" w:h="1644" w:wrap="notBeside" w:vAnchor="page" w:hAnchor="page" w:x="6573" w:y="721"/>
              <w:rPr>
                <w:rFonts w:ascii="TradeGothic" w:hAnsi="TradeGothic"/>
                <w:i/>
                <w:sz w:val="18"/>
              </w:rPr>
            </w:pPr>
          </w:p>
        </w:tc>
      </w:tr>
      <w:tr w:rsidR="005F1820" w14:paraId="576BD378" w14:textId="77777777">
        <w:tc>
          <w:tcPr>
            <w:tcW w:w="2268" w:type="dxa"/>
          </w:tcPr>
          <w:p w14:paraId="542E669E"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13239730" w14:textId="77777777" w:rsidR="005F1820" w:rsidRDefault="005F1820">
            <w:pPr>
              <w:framePr w:w="4400" w:h="1644" w:wrap="notBeside" w:vAnchor="page" w:hAnchor="page" w:x="6573" w:y="721"/>
              <w:rPr>
                <w:rFonts w:ascii="TradeGothic" w:hAnsi="TradeGothic"/>
                <w:b/>
                <w:sz w:val="22"/>
              </w:rPr>
            </w:pPr>
          </w:p>
        </w:tc>
      </w:tr>
      <w:tr w:rsidR="005F1820" w14:paraId="3BE29018" w14:textId="77777777">
        <w:trPr>
          <w:trHeight w:val="343"/>
        </w:trPr>
        <w:tc>
          <w:tcPr>
            <w:tcW w:w="3402" w:type="dxa"/>
            <w:gridSpan w:val="2"/>
          </w:tcPr>
          <w:p w14:paraId="5E9C83ED" w14:textId="77777777" w:rsidR="005F1820" w:rsidRDefault="005F1820">
            <w:pPr>
              <w:framePr w:w="4400" w:h="1644" w:wrap="notBeside" w:vAnchor="page" w:hAnchor="page" w:x="6573" w:y="721"/>
            </w:pPr>
          </w:p>
        </w:tc>
        <w:tc>
          <w:tcPr>
            <w:tcW w:w="1213" w:type="dxa"/>
          </w:tcPr>
          <w:p w14:paraId="357DF310" w14:textId="77777777" w:rsidR="005F1820" w:rsidRDefault="005F1820">
            <w:pPr>
              <w:framePr w:w="4400" w:h="1644" w:wrap="notBeside" w:vAnchor="page" w:hAnchor="page" w:x="6573" w:y="721"/>
            </w:pPr>
          </w:p>
        </w:tc>
      </w:tr>
      <w:tr w:rsidR="005F1820" w14:paraId="6A00CE7C" w14:textId="77777777">
        <w:tc>
          <w:tcPr>
            <w:tcW w:w="2268" w:type="dxa"/>
          </w:tcPr>
          <w:p w14:paraId="7DBEB60B" w14:textId="01889A0F" w:rsidR="005F1820" w:rsidRDefault="00DC5C38">
            <w:pPr>
              <w:framePr w:w="4400" w:h="1644" w:wrap="notBeside" w:vAnchor="page" w:hAnchor="page" w:x="6573" w:y="721"/>
            </w:pPr>
            <w:r>
              <w:t>2014-03-2</w:t>
            </w:r>
            <w:r w:rsidR="00763D88">
              <w:t>1</w:t>
            </w:r>
          </w:p>
        </w:tc>
        <w:tc>
          <w:tcPr>
            <w:tcW w:w="2347" w:type="dxa"/>
            <w:gridSpan w:val="2"/>
          </w:tcPr>
          <w:p w14:paraId="185AAF39" w14:textId="77777777" w:rsidR="005F1820" w:rsidRDefault="005F1820">
            <w:pPr>
              <w:framePr w:w="4400" w:h="1644" w:wrap="notBeside" w:vAnchor="page" w:hAnchor="page" w:x="6573" w:y="721"/>
            </w:pPr>
          </w:p>
        </w:tc>
      </w:tr>
      <w:tr w:rsidR="005F1820" w14:paraId="329FC238" w14:textId="77777777">
        <w:tc>
          <w:tcPr>
            <w:tcW w:w="2268" w:type="dxa"/>
          </w:tcPr>
          <w:p w14:paraId="3BFE4E67" w14:textId="77777777" w:rsidR="005F1820" w:rsidRDefault="005F1820">
            <w:pPr>
              <w:framePr w:w="4400" w:h="1644" w:wrap="notBeside" w:vAnchor="page" w:hAnchor="page" w:x="6573" w:y="721"/>
            </w:pPr>
          </w:p>
        </w:tc>
        <w:tc>
          <w:tcPr>
            <w:tcW w:w="2347" w:type="dxa"/>
            <w:gridSpan w:val="2"/>
          </w:tcPr>
          <w:p w14:paraId="261299B7" w14:textId="77777777" w:rsidR="005F1820" w:rsidRDefault="005F1820">
            <w:pPr>
              <w:framePr w:w="4400" w:h="1644" w:wrap="notBeside" w:vAnchor="page" w:hAnchor="page" w:x="6573" w:y="721"/>
            </w:pPr>
          </w:p>
        </w:tc>
      </w:tr>
    </w:tbl>
    <w:p w14:paraId="35EAB5C9"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044EB6B5" w14:textId="77777777">
        <w:trPr>
          <w:trHeight w:val="2400"/>
        </w:trPr>
        <w:tc>
          <w:tcPr>
            <w:tcW w:w="4911" w:type="dxa"/>
          </w:tcPr>
          <w:p w14:paraId="084CB8E3" w14:textId="77777777" w:rsidR="005F1820" w:rsidRDefault="005F1820">
            <w:pPr>
              <w:pStyle w:val="Avsndare"/>
              <w:framePr w:h="2483" w:wrap="notBeside" w:x="1504"/>
              <w:rPr>
                <w:b/>
                <w:i w:val="0"/>
                <w:sz w:val="22"/>
              </w:rPr>
            </w:pPr>
            <w:r>
              <w:rPr>
                <w:b/>
                <w:i w:val="0"/>
                <w:sz w:val="22"/>
              </w:rPr>
              <w:t>Statsrådsberedningen</w:t>
            </w:r>
          </w:p>
          <w:p w14:paraId="025DA047" w14:textId="77777777" w:rsidR="005F1820" w:rsidRDefault="005F1820">
            <w:pPr>
              <w:pStyle w:val="Avsndare"/>
              <w:framePr w:h="2483" w:wrap="notBeside" w:x="1504"/>
            </w:pPr>
          </w:p>
          <w:p w14:paraId="5CDA8607" w14:textId="77777777" w:rsidR="005F1820" w:rsidRDefault="005F1820">
            <w:pPr>
              <w:pStyle w:val="Avsndare"/>
              <w:framePr w:h="2483" w:wrap="notBeside" w:x="1504"/>
            </w:pPr>
            <w:r>
              <w:t>EU-kansliet</w:t>
            </w:r>
          </w:p>
          <w:p w14:paraId="4654AA43" w14:textId="77777777" w:rsidR="005F1820" w:rsidRDefault="005F1820">
            <w:pPr>
              <w:pStyle w:val="Avsndare"/>
              <w:framePr w:h="2483" w:wrap="notBeside" w:x="1504"/>
            </w:pPr>
          </w:p>
          <w:p w14:paraId="3914B684" w14:textId="77777777" w:rsidR="005F1820" w:rsidRDefault="005F1820">
            <w:pPr>
              <w:pStyle w:val="Avsndare"/>
              <w:framePr w:h="2483" w:wrap="notBeside" w:x="1504"/>
            </w:pPr>
          </w:p>
          <w:p w14:paraId="6AAAA830" w14:textId="77777777" w:rsidR="005F1820" w:rsidRDefault="005F1820">
            <w:pPr>
              <w:pStyle w:val="Avsndare"/>
              <w:framePr w:h="2483" w:wrap="notBeside" w:x="1504"/>
            </w:pPr>
          </w:p>
          <w:p w14:paraId="30032928" w14:textId="77777777" w:rsidR="005F1820" w:rsidRDefault="005F1820">
            <w:pPr>
              <w:pStyle w:val="Avsndare"/>
              <w:framePr w:h="2483" w:wrap="notBeside" w:x="1504"/>
              <w:rPr>
                <w:b/>
                <w:i w:val="0"/>
                <w:sz w:val="22"/>
              </w:rPr>
            </w:pPr>
          </w:p>
        </w:tc>
      </w:tr>
    </w:tbl>
    <w:p w14:paraId="5AC3E2B1" w14:textId="77777777" w:rsidR="005F1820" w:rsidRDefault="005F1820">
      <w:pPr>
        <w:framePr w:w="4400" w:h="2523" w:wrap="notBeside" w:vAnchor="page" w:hAnchor="page" w:x="6453" w:y="2445"/>
        <w:ind w:left="142"/>
      </w:pPr>
    </w:p>
    <w:p w14:paraId="27DC8F32" w14:textId="1DFBD243" w:rsidR="005F1820" w:rsidRDefault="00BE249C">
      <w:pPr>
        <w:pStyle w:val="UDrubrik"/>
        <w:tabs>
          <w:tab w:val="left" w:pos="1701"/>
          <w:tab w:val="left" w:pos="1985"/>
        </w:tabs>
        <w:rPr>
          <w:rFonts w:cs="Arial"/>
          <w:sz w:val="28"/>
        </w:rPr>
      </w:pPr>
      <w:bookmarkStart w:id="1" w:name="_Toc67391946"/>
      <w:bookmarkStart w:id="2" w:name="_Toc70473239"/>
      <w:r>
        <w:rPr>
          <w:rFonts w:cs="Arial"/>
          <w:sz w:val="28"/>
        </w:rPr>
        <w:t xml:space="preserve">Komplettering </w:t>
      </w:r>
      <w:r w:rsidR="005F1820">
        <w:rPr>
          <w:rFonts w:cs="Arial"/>
          <w:sz w:val="28"/>
        </w:rPr>
        <w:t>Troliga A-punkter inför kommande rådsmöten</w:t>
      </w:r>
      <w:r w:rsidR="00BE0A3D">
        <w:rPr>
          <w:rFonts w:cs="Arial"/>
          <w:sz w:val="28"/>
        </w:rPr>
        <w:t>.</w:t>
      </w:r>
      <w:r w:rsidR="005F1820">
        <w:rPr>
          <w:rFonts w:cs="Arial"/>
          <w:sz w:val="28"/>
        </w:rPr>
        <w:t xml:space="preserve"> </w:t>
      </w:r>
      <w:bookmarkEnd w:id="1"/>
      <w:bookmarkEnd w:id="2"/>
    </w:p>
    <w:p w14:paraId="35F690C9" w14:textId="77777777" w:rsidR="005236C9" w:rsidRDefault="005236C9" w:rsidP="005236C9">
      <w:pPr>
        <w:pStyle w:val="Brdtext"/>
      </w:pPr>
    </w:p>
    <w:p w14:paraId="29EC4064" w14:textId="77777777" w:rsidR="005236C9" w:rsidRDefault="005236C9" w:rsidP="005236C9">
      <w:pPr>
        <w:pStyle w:val="Brdtext"/>
      </w:pPr>
      <w:r>
        <w:t>Översänds för skriftligt samråd till fredagen den 21 mars 2014, kl 14.00.</w:t>
      </w:r>
    </w:p>
    <w:p w14:paraId="2720616F" w14:textId="77777777" w:rsidR="005236C9" w:rsidRDefault="005236C9">
      <w:pPr>
        <w:spacing w:line="240" w:lineRule="auto"/>
        <w:rPr>
          <w:rFonts w:ascii="Garamond" w:hAnsi="Garamond"/>
        </w:rPr>
      </w:pPr>
      <w:r>
        <w:br w:type="page"/>
      </w:r>
    </w:p>
    <w:p w14:paraId="2F6A49A6" w14:textId="676EF7AC" w:rsidR="005236C9" w:rsidRPr="005236C9" w:rsidRDefault="005236C9" w:rsidP="005236C9">
      <w:pPr>
        <w:pStyle w:val="Brdtext"/>
      </w:pPr>
    </w:p>
    <w:p w14:paraId="536E4469"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2BCEB516" w14:textId="77777777" w:rsidR="00BE0A3D"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3158289" w:history="1">
        <w:r w:rsidR="00BE0A3D" w:rsidRPr="00D87070">
          <w:rPr>
            <w:rStyle w:val="Hyperlnk"/>
            <w:noProof/>
          </w:rPr>
          <w:t>Frågor som lösts i förberedande instanser</w:t>
        </w:r>
        <w:r w:rsidR="00BE0A3D">
          <w:rPr>
            <w:noProof/>
            <w:webHidden/>
          </w:rPr>
          <w:tab/>
        </w:r>
        <w:r w:rsidR="00BE0A3D">
          <w:rPr>
            <w:noProof/>
            <w:webHidden/>
          </w:rPr>
          <w:fldChar w:fldCharType="begin"/>
        </w:r>
        <w:r w:rsidR="00BE0A3D">
          <w:rPr>
            <w:noProof/>
            <w:webHidden/>
          </w:rPr>
          <w:instrText xml:space="preserve"> PAGEREF _Toc383158289 \h </w:instrText>
        </w:r>
        <w:r w:rsidR="00BE0A3D">
          <w:rPr>
            <w:noProof/>
            <w:webHidden/>
          </w:rPr>
        </w:r>
        <w:r w:rsidR="00BE0A3D">
          <w:rPr>
            <w:noProof/>
            <w:webHidden/>
          </w:rPr>
          <w:fldChar w:fldCharType="separate"/>
        </w:r>
        <w:r w:rsidR="00BE0A3D">
          <w:rPr>
            <w:noProof/>
            <w:webHidden/>
          </w:rPr>
          <w:t>3</w:t>
        </w:r>
        <w:r w:rsidR="00BE0A3D">
          <w:rPr>
            <w:noProof/>
            <w:webHidden/>
          </w:rPr>
          <w:fldChar w:fldCharType="end"/>
        </w:r>
      </w:hyperlink>
    </w:p>
    <w:p w14:paraId="3405D17A" w14:textId="77777777" w:rsidR="00BE0A3D" w:rsidRDefault="00FB6983">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3158290" w:history="1">
        <w:r w:rsidR="00BE0A3D" w:rsidRPr="00D87070">
          <w:rPr>
            <w:rStyle w:val="Hyperlnk"/>
            <w:noProof/>
          </w:rPr>
          <w:t>Trolig A-punkt inför kommande rådsmöten.</w:t>
        </w:r>
        <w:r w:rsidR="00BE0A3D">
          <w:rPr>
            <w:noProof/>
            <w:webHidden/>
          </w:rPr>
          <w:tab/>
        </w:r>
        <w:r w:rsidR="00BE0A3D">
          <w:rPr>
            <w:noProof/>
            <w:webHidden/>
          </w:rPr>
          <w:fldChar w:fldCharType="begin"/>
        </w:r>
        <w:r w:rsidR="00BE0A3D">
          <w:rPr>
            <w:noProof/>
            <w:webHidden/>
          </w:rPr>
          <w:instrText xml:space="preserve"> PAGEREF _Toc383158290 \h </w:instrText>
        </w:r>
        <w:r w:rsidR="00BE0A3D">
          <w:rPr>
            <w:noProof/>
            <w:webHidden/>
          </w:rPr>
        </w:r>
        <w:r w:rsidR="00BE0A3D">
          <w:rPr>
            <w:noProof/>
            <w:webHidden/>
          </w:rPr>
          <w:fldChar w:fldCharType="separate"/>
        </w:r>
        <w:r w:rsidR="00BE0A3D">
          <w:rPr>
            <w:noProof/>
            <w:webHidden/>
          </w:rPr>
          <w:t>3</w:t>
        </w:r>
        <w:r w:rsidR="00BE0A3D">
          <w:rPr>
            <w:noProof/>
            <w:webHidden/>
          </w:rPr>
          <w:fldChar w:fldCharType="end"/>
        </w:r>
      </w:hyperlink>
    </w:p>
    <w:p w14:paraId="5E420FE8" w14:textId="77777777" w:rsidR="00BE0A3D" w:rsidRDefault="00FB6983">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158291" w:history="1">
        <w:r w:rsidR="00BE0A3D" w:rsidRPr="00D87070">
          <w:rPr>
            <w:rStyle w:val="Hyperlnk"/>
            <w:noProof/>
          </w:rPr>
          <w:t>1. Förslag till rådets direktiv om ändring i rådets direktiv 2003/48/EG om beskattning av inkomster från sparande i form av räntebetalningar (sparandedirektivet)]</w:t>
        </w:r>
        <w:r w:rsidR="00BE0A3D">
          <w:rPr>
            <w:noProof/>
            <w:webHidden/>
          </w:rPr>
          <w:tab/>
        </w:r>
        <w:r w:rsidR="00BE0A3D">
          <w:rPr>
            <w:noProof/>
            <w:webHidden/>
          </w:rPr>
          <w:fldChar w:fldCharType="begin"/>
        </w:r>
        <w:r w:rsidR="00BE0A3D">
          <w:rPr>
            <w:noProof/>
            <w:webHidden/>
          </w:rPr>
          <w:instrText xml:space="preserve"> PAGEREF _Toc383158291 \h </w:instrText>
        </w:r>
        <w:r w:rsidR="00BE0A3D">
          <w:rPr>
            <w:noProof/>
            <w:webHidden/>
          </w:rPr>
        </w:r>
        <w:r w:rsidR="00BE0A3D">
          <w:rPr>
            <w:noProof/>
            <w:webHidden/>
          </w:rPr>
          <w:fldChar w:fldCharType="separate"/>
        </w:r>
        <w:r w:rsidR="00BE0A3D">
          <w:rPr>
            <w:noProof/>
            <w:webHidden/>
          </w:rPr>
          <w:t>3</w:t>
        </w:r>
        <w:r w:rsidR="00BE0A3D">
          <w:rPr>
            <w:noProof/>
            <w:webHidden/>
          </w:rPr>
          <w:fldChar w:fldCharType="end"/>
        </w:r>
      </w:hyperlink>
    </w:p>
    <w:p w14:paraId="0584FC10" w14:textId="77777777" w:rsidR="005F1820" w:rsidRDefault="005F1820">
      <w:pPr>
        <w:pStyle w:val="RKnormal"/>
        <w:ind w:left="0"/>
        <w:rPr>
          <w:b/>
          <w:bCs/>
        </w:rPr>
      </w:pPr>
      <w:r>
        <w:rPr>
          <w:b/>
          <w:bCs/>
        </w:rPr>
        <w:fldChar w:fldCharType="end"/>
      </w:r>
    </w:p>
    <w:p w14:paraId="59C6B16D"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3158289"/>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691849B"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5037FB22" w14:textId="04E3B929" w:rsidR="005236C9" w:rsidRDefault="00763D88" w:rsidP="005236C9">
      <w:pPr>
        <w:pStyle w:val="Rubrik1"/>
      </w:pPr>
      <w:bookmarkStart w:id="55" w:name="_Toc383158290"/>
      <w:r>
        <w:t>Trolig A-punkt</w:t>
      </w:r>
      <w:r w:rsidR="005236C9">
        <w:t xml:space="preserve"> inför kommande rådsmöten</w:t>
      </w:r>
      <w:r w:rsidR="00BE0A3D">
        <w:t>.</w:t>
      </w:r>
      <w:bookmarkEnd w:id="55"/>
      <w:r w:rsidR="00BE0A3D">
        <w:t xml:space="preserve"> </w:t>
      </w:r>
    </w:p>
    <w:p w14:paraId="127906E6" w14:textId="77777777" w:rsidR="00071F02" w:rsidRPr="005236C9" w:rsidRDefault="00071F02">
      <w:pPr>
        <w:pStyle w:val="RKnormal"/>
        <w:tabs>
          <w:tab w:val="clear" w:pos="1843"/>
          <w:tab w:val="left" w:pos="0"/>
        </w:tabs>
        <w:ind w:left="0"/>
      </w:pPr>
      <w:r w:rsidRPr="005236C9">
        <w:t xml:space="preserve">  </w:t>
      </w:r>
    </w:p>
    <w:p w14:paraId="52592C4F" w14:textId="23B0DB8C" w:rsidR="00BE249C" w:rsidRPr="00A46AB2" w:rsidRDefault="00BE249C" w:rsidP="00BE249C">
      <w:pPr>
        <w:pStyle w:val="Rubrik2"/>
      </w:pPr>
      <w:bookmarkStart w:id="56" w:name="_Toc383158291"/>
      <w:r>
        <w:t xml:space="preserve">1. Förslag till rådets direktiv om ändring i rådets direktiv 2003/48/EG om beskattning av inkomster från sparande i form av räntebetalningar </w:t>
      </w:r>
      <w:r w:rsidRPr="00A46AB2">
        <w:t>(sparandedirektivet)</w:t>
      </w:r>
      <w:r>
        <w:t>]</w:t>
      </w:r>
      <w:bookmarkEnd w:id="56"/>
    </w:p>
    <w:p w14:paraId="6D770A49" w14:textId="6AD9DFFA" w:rsidR="00BE249C" w:rsidRDefault="00BE249C" w:rsidP="00BE249C">
      <w:pPr>
        <w:pStyle w:val="RKnormal"/>
        <w:ind w:left="0"/>
      </w:pPr>
      <w:r>
        <w:t xml:space="preserve">17162/14 </w:t>
      </w:r>
    </w:p>
    <w:p w14:paraId="7207769E" w14:textId="77777777" w:rsidR="00BE249C" w:rsidRDefault="00BE249C" w:rsidP="00BE249C">
      <w:pPr>
        <w:pStyle w:val="RKnormal"/>
        <w:ind w:left="0"/>
      </w:pPr>
    </w:p>
    <w:p w14:paraId="235E775F" w14:textId="7A16479B" w:rsidR="00BE249C" w:rsidRDefault="00BE249C" w:rsidP="00BE249C">
      <w:pPr>
        <w:pStyle w:val="RKnormal"/>
        <w:ind w:left="0"/>
      </w:pPr>
      <w:r>
        <w:t>Ansvarigt departement: Finansdepartementet</w:t>
      </w:r>
    </w:p>
    <w:p w14:paraId="0AD2937A" w14:textId="77777777" w:rsidR="00BE249C" w:rsidRDefault="00BE249C" w:rsidP="00BE249C">
      <w:pPr>
        <w:pStyle w:val="RKnormal"/>
      </w:pPr>
    </w:p>
    <w:p w14:paraId="4B7053A9" w14:textId="77777777" w:rsidR="00BE249C" w:rsidRPr="00BE249C" w:rsidRDefault="00BE249C" w:rsidP="00BE249C">
      <w:pPr>
        <w:pStyle w:val="RKnormal"/>
        <w:ind w:left="0"/>
      </w:pPr>
      <w:r w:rsidRPr="00BE249C">
        <w:t>Ansvarigt statsråd: Anders Borg</w:t>
      </w:r>
    </w:p>
    <w:p w14:paraId="2F4657E8" w14:textId="77777777" w:rsidR="00BE249C" w:rsidRPr="00BE249C" w:rsidRDefault="00BE249C" w:rsidP="00BE249C">
      <w:pPr>
        <w:pStyle w:val="RKnormal"/>
      </w:pPr>
    </w:p>
    <w:p w14:paraId="38A72D22" w14:textId="77777777" w:rsidR="00BE249C" w:rsidRDefault="00BE249C" w:rsidP="00BE249C">
      <w:pPr>
        <w:pStyle w:val="RKnormal"/>
        <w:ind w:left="0"/>
      </w:pPr>
      <w:r w:rsidRPr="00BE249C">
        <w:t>Tidigare behandling i riksdagen: 2014-03-19</w:t>
      </w:r>
    </w:p>
    <w:p w14:paraId="41B6FEBD" w14:textId="566D8926" w:rsidR="00BE0A3D" w:rsidRDefault="00BE0A3D" w:rsidP="00BE249C">
      <w:pPr>
        <w:pStyle w:val="RKnormal"/>
        <w:ind w:left="0"/>
      </w:pPr>
    </w:p>
    <w:p w14:paraId="5C6D2C5F" w14:textId="0603C13D" w:rsidR="00BE0A3D" w:rsidRDefault="00BE0A3D" w:rsidP="00BE0A3D">
      <w:r>
        <w:t>Frågan behandlades vid Coreper II 2014-03-15 och vid E</w:t>
      </w:r>
      <w:r w:rsidR="00456437">
        <w:t>uropeiska Rådets möte 2014-03-20</w:t>
      </w:r>
      <w:r>
        <w:t xml:space="preserve">. </w:t>
      </w:r>
    </w:p>
    <w:p w14:paraId="125B5F8E" w14:textId="77777777" w:rsidR="00BE0A3D" w:rsidRPr="00BE249C" w:rsidRDefault="00BE0A3D" w:rsidP="00BE249C">
      <w:pPr>
        <w:pStyle w:val="RKnormal"/>
        <w:ind w:left="0"/>
      </w:pPr>
    </w:p>
    <w:p w14:paraId="43C60C2E" w14:textId="77777777" w:rsidR="00BE249C" w:rsidRPr="00BE249C" w:rsidRDefault="00BE249C" w:rsidP="00BE249C">
      <w:pPr>
        <w:pStyle w:val="RKnormal"/>
        <w:ind w:left="0" w:right="142"/>
      </w:pPr>
      <w:bookmarkStart w:id="57" w:name="tmp"/>
      <w:r w:rsidRPr="00BE249C">
        <w:t xml:space="preserve">Avsikt med behandlingen i rådet: </w:t>
      </w:r>
    </w:p>
    <w:p w14:paraId="1FAEDA79" w14:textId="1FCE18C1" w:rsidR="00BE249C" w:rsidRPr="00BE249C" w:rsidRDefault="00BE249C" w:rsidP="00BE249C">
      <w:pPr>
        <w:pStyle w:val="RKnormal"/>
        <w:ind w:left="0" w:right="142"/>
      </w:pPr>
      <w:r w:rsidRPr="00BE249C">
        <w:lastRenderedPageBreak/>
        <w:t>Avsikten är att ändringsdirektivet ska antas.</w:t>
      </w:r>
    </w:p>
    <w:p w14:paraId="120005D3" w14:textId="77777777" w:rsidR="00BE249C" w:rsidRPr="00BE249C" w:rsidRDefault="00BE249C" w:rsidP="00BE249C">
      <w:pPr>
        <w:pStyle w:val="RKnormal"/>
        <w:ind w:left="142" w:right="142"/>
      </w:pPr>
    </w:p>
    <w:p w14:paraId="40986800" w14:textId="77777777" w:rsidR="00BE249C" w:rsidRPr="00BE249C" w:rsidRDefault="00BE249C" w:rsidP="00BE249C">
      <w:pPr>
        <w:pStyle w:val="RKnormal"/>
        <w:ind w:left="0" w:right="142"/>
      </w:pPr>
      <w:r w:rsidRPr="00BE249C">
        <w:t xml:space="preserve">Hur regeringen ställer sig till den blivande a-punkten: </w:t>
      </w:r>
    </w:p>
    <w:p w14:paraId="25EC31C7" w14:textId="31DA9135" w:rsidR="00BE249C" w:rsidRPr="00BE249C" w:rsidRDefault="00BE249C" w:rsidP="00BE249C">
      <w:pPr>
        <w:pStyle w:val="RKnormal"/>
        <w:ind w:left="0" w:right="142"/>
      </w:pPr>
      <w:r w:rsidRPr="00BE249C">
        <w:t xml:space="preserve">Regeringen avser att rösta ja till att rådet antar rådets direktiv om ändring i sparandedirektivet </w:t>
      </w:r>
    </w:p>
    <w:p w14:paraId="713E7160" w14:textId="77777777" w:rsidR="00BE249C" w:rsidRPr="00BE249C" w:rsidRDefault="00BE249C" w:rsidP="00BE249C">
      <w:pPr>
        <w:pStyle w:val="RKnormal"/>
        <w:ind w:left="142" w:right="142"/>
      </w:pPr>
    </w:p>
    <w:p w14:paraId="03905C6A" w14:textId="3FDA520F" w:rsidR="00BE249C" w:rsidRPr="00BE249C" w:rsidRDefault="00BE249C" w:rsidP="00BE249C">
      <w:pPr>
        <w:pStyle w:val="RKnormal"/>
        <w:ind w:left="0" w:right="142"/>
      </w:pPr>
      <w:r w:rsidRPr="00BE249C">
        <w:t>Bakgrund</w:t>
      </w:r>
      <w:r w:rsidR="00633977">
        <w:t>:</w:t>
      </w:r>
    </w:p>
    <w:p w14:paraId="372799D2" w14:textId="355285F5" w:rsidR="00BE249C" w:rsidRPr="00BE249C" w:rsidRDefault="00BE249C" w:rsidP="00BE249C">
      <w:pPr>
        <w:pStyle w:val="RKnormal"/>
        <w:ind w:left="0" w:right="142"/>
      </w:pPr>
      <w:r w:rsidRPr="00BE249C">
        <w:t>Sparandedirektivet började tillämpas 2005. Kommissionen lade i november 2008 fram förslag till omfattande ändringar i direktivet. Sparandedirektivet innebär automatiskt utbyte av information om räntebetalningar mellan medlemsstaterna vilket möjliggör beskatt-ning av räntebetalningarna i den medlemsstat där betalningsmotta-garen bor. De föreslagna ändringarna innebär en utvidgning av tillämpningsområdet till vissa ränteliknande inkomster som inte formellt är ränta, samt krav på att rapportera betalningar som görs via en juridisk konstruktion men där den verkliga mottagaren är en fysisk person bosatt i EU. Syftet är att täppa till kryphål i det nuvarande direktivet.</w:t>
      </w:r>
      <w:bookmarkEnd w:id="57"/>
    </w:p>
    <w:sectPr w:rsidR="00BE249C" w:rsidRPr="00BE249C">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2BEE" w14:textId="77777777" w:rsidR="005236C9" w:rsidRDefault="005236C9">
      <w:r>
        <w:separator/>
      </w:r>
    </w:p>
  </w:endnote>
  <w:endnote w:type="continuationSeparator" w:id="0">
    <w:p w14:paraId="4E8F8184" w14:textId="77777777" w:rsidR="005236C9" w:rsidRDefault="0052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FDE1" w14:textId="77777777" w:rsidR="005236C9" w:rsidRDefault="005236C9">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FB6983">
      <w:rPr>
        <w:rStyle w:val="Sidnummer"/>
        <w:noProof/>
        <w:sz w:val="16"/>
      </w:rPr>
      <w:t>4</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FB6983">
      <w:rPr>
        <w:rStyle w:val="Sidnummer"/>
        <w:noProof/>
        <w:sz w:val="16"/>
      </w:rPr>
      <w:t>4</w:t>
    </w:r>
    <w:r>
      <w:rPr>
        <w:rStyle w:val="Sidnummer"/>
        <w:sz w:val="16"/>
      </w:rPr>
      <w:fldChar w:fldCharType="end"/>
    </w:r>
    <w:r>
      <w:rPr>
        <w:rStyle w:val="Sidnummer"/>
        <w:sz w:val="16"/>
      </w:rPr>
      <w:t>)</w:t>
    </w:r>
  </w:p>
  <w:p w14:paraId="679E6AD7" w14:textId="77777777" w:rsidR="005236C9" w:rsidRDefault="005236C9">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320A" w14:textId="77777777" w:rsidR="005236C9" w:rsidRDefault="005236C9">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FB6983">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FB6983">
      <w:rPr>
        <w:rStyle w:val="Sidnummer"/>
        <w:noProof/>
        <w:sz w:val="16"/>
      </w:rPr>
      <w:t>4</w:t>
    </w:r>
    <w:r>
      <w:rPr>
        <w:rStyle w:val="Sidnummer"/>
        <w:sz w:val="16"/>
      </w:rPr>
      <w:fldChar w:fldCharType="end"/>
    </w:r>
    <w:r>
      <w:rPr>
        <w:rStyle w:val="Sidnummer"/>
        <w:sz w:val="16"/>
      </w:rPr>
      <w:t>)</w:t>
    </w:r>
  </w:p>
  <w:p w14:paraId="6F6B75E8" w14:textId="77777777" w:rsidR="005236C9" w:rsidRDefault="005236C9">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A7764" w14:textId="77777777" w:rsidR="005236C9" w:rsidRDefault="005236C9">
      <w:r>
        <w:separator/>
      </w:r>
    </w:p>
  </w:footnote>
  <w:footnote w:type="continuationSeparator" w:id="0">
    <w:p w14:paraId="12923018" w14:textId="77777777" w:rsidR="005236C9" w:rsidRDefault="00523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0CCA" w14:textId="77777777" w:rsidR="005236C9" w:rsidRDefault="005236C9">
    <w:pPr>
      <w:pStyle w:val="Sidhuvud"/>
      <w:framePr w:wrap="around" w:vAnchor="text" w:hAnchor="margin" w:xAlign="right" w:y="1"/>
      <w:rPr>
        <w:rStyle w:val="Sidnummer"/>
      </w:rPr>
    </w:pPr>
  </w:p>
  <w:p w14:paraId="42135C34" w14:textId="77777777" w:rsidR="005236C9" w:rsidRDefault="005236C9">
    <w:pPr>
      <w:pStyle w:val="Sidhuvud"/>
      <w:ind w:right="360"/>
    </w:pPr>
  </w:p>
  <w:p w14:paraId="7BC500EB" w14:textId="77777777" w:rsidR="005236C9" w:rsidRDefault="005236C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477D8" w14:textId="1BA276F8" w:rsidR="005236C9" w:rsidRDefault="005236C9">
    <w:pPr>
      <w:framePr w:w="2948" w:h="1321" w:hRule="exact" w:wrap="notBeside" w:vAnchor="page" w:hAnchor="page" w:x="1362" w:y="653"/>
    </w:pPr>
    <w:r>
      <w:rPr>
        <w:noProof/>
        <w:lang w:eastAsia="sv-SE"/>
      </w:rPr>
      <w:drawing>
        <wp:inline distT="0" distB="0" distL="0" distR="0" wp14:anchorId="550DD245" wp14:editId="00DC39CF">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0C566C58" w14:textId="77777777" w:rsidR="005236C9" w:rsidRDefault="005236C9">
    <w:pPr>
      <w:pStyle w:val="Sidhuvud"/>
    </w:pPr>
  </w:p>
  <w:p w14:paraId="6A871B65" w14:textId="77777777" w:rsidR="005236C9" w:rsidRDefault="005236C9">
    <w:pPr>
      <w:pStyle w:val="Sidhuvud"/>
      <w:ind w:right="360"/>
    </w:pPr>
  </w:p>
  <w:p w14:paraId="5C32F111" w14:textId="77777777" w:rsidR="005236C9" w:rsidRDefault="005236C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D3DBE" w14:textId="4ED50BAB" w:rsidR="005236C9" w:rsidRDefault="005236C9">
    <w:pPr>
      <w:framePr w:w="2948" w:h="1321" w:hRule="exact" w:wrap="notBeside" w:vAnchor="page" w:hAnchor="page" w:x="1362" w:y="653"/>
    </w:pPr>
    <w:r>
      <w:rPr>
        <w:noProof/>
        <w:lang w:eastAsia="sv-SE"/>
      </w:rPr>
      <w:drawing>
        <wp:inline distT="0" distB="0" distL="0" distR="0" wp14:anchorId="0E4879B6" wp14:editId="7DFF866D">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C68022" w14:textId="77777777" w:rsidR="005236C9" w:rsidRDefault="005236C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071F02"/>
    <w:rsid w:val="0007071E"/>
    <w:rsid w:val="00071F02"/>
    <w:rsid w:val="002D5AB4"/>
    <w:rsid w:val="00456437"/>
    <w:rsid w:val="005236C9"/>
    <w:rsid w:val="00552EEB"/>
    <w:rsid w:val="005A23F9"/>
    <w:rsid w:val="005C212F"/>
    <w:rsid w:val="005F1820"/>
    <w:rsid w:val="00633977"/>
    <w:rsid w:val="006C4209"/>
    <w:rsid w:val="00726AC0"/>
    <w:rsid w:val="0074766E"/>
    <w:rsid w:val="00763D88"/>
    <w:rsid w:val="00847B54"/>
    <w:rsid w:val="00877273"/>
    <w:rsid w:val="008D7F86"/>
    <w:rsid w:val="00936272"/>
    <w:rsid w:val="00A72123"/>
    <w:rsid w:val="00AB6389"/>
    <w:rsid w:val="00AF0928"/>
    <w:rsid w:val="00B462AC"/>
    <w:rsid w:val="00BA6B91"/>
    <w:rsid w:val="00BE0A3D"/>
    <w:rsid w:val="00BE249C"/>
    <w:rsid w:val="00CF1C61"/>
    <w:rsid w:val="00DC5C38"/>
    <w:rsid w:val="00E26AE2"/>
    <w:rsid w:val="00EC3C7C"/>
    <w:rsid w:val="00ED5DCC"/>
    <w:rsid w:val="00F056A7"/>
    <w:rsid w:val="00FB6983"/>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BB6C7"/>
  <w15:docId w15:val="{82008127-C4D5-413E-8DA1-D6E5E5D4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5236C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36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JE6N4JFJXNNF-9-61232</_dlc_DocId>
    <_dlc_DocIdUrl xmlns="8b66ae41-1ec6-402e-b662-35d1932ca064">
      <Url>http://rkdhs-sb/enhet/EUKansli/_layouts/DocIdRedir.aspx?ID=JE6N4JFJXNNF-9-61232</Url>
      <Description>JE6N4JFJXNNF-9-61232</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21B9-AE45-45D6-96D2-CDAE4AB7B0BE}">
  <ds:schemaRefs>
    <ds:schemaRef ds:uri="http://schemas.microsoft.com/sharepoint/v3/contenttype/forms/url"/>
  </ds:schemaRefs>
</ds:datastoreItem>
</file>

<file path=customXml/itemProps2.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B4E87-D707-4B5C-B468-B31F1819341C}">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4.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5.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6.xml><?xml version="1.0" encoding="utf-8"?>
<ds:datastoreItem xmlns:ds="http://schemas.openxmlformats.org/officeDocument/2006/customXml" ds:itemID="{553670C3-F980-4998-9C07-749281A38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2013</Characters>
  <Application>Microsoft Office Word</Application>
  <DocSecurity>4</DocSecurity>
  <Lines>83</Lines>
  <Paragraphs>30</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2290</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2014-03-21T08:24:00Z</cp:lastPrinted>
  <dcterms:created xsi:type="dcterms:W3CDTF">2014-03-21T10:02:00Z</dcterms:created>
  <dcterms:modified xsi:type="dcterms:W3CDTF">2014-03-21T10:02:00Z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61294609-fb6a-4b91-b4c3-4a22f62306e5</vt:lpwstr>
  </property>
</Properties>
</file>