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3A24" w:rsidRPr="00003A24" w:rsidRDefault="00003A24">
      <w:pPr>
        <w:pStyle w:val="Frslagsrubrik"/>
      </w:pPr>
      <w:r w:rsidRPr="00003A24">
        <w:t>Förslag till riksdagsbeslut</w:t>
      </w:r>
    </w:p>
    <w:p w:rsidR="00003A24" w:rsidRPr="00003A24" w:rsidRDefault="00003A24">
      <w:pPr>
        <w:pStyle w:val="Hemstlatt"/>
        <w:numPr>
          <w:ilvl w:val="0"/>
          <w:numId w:val="1"/>
        </w:numPr>
      </w:pPr>
      <w:r w:rsidRPr="00003A24">
        <w:t>Riksdagen tillkännager för regeringen som sin mening vad som anförs i motionen om fristående lokala eller region</w:t>
      </w:r>
      <w:r w:rsidRPr="00003A24">
        <w:t>a</w:t>
      </w:r>
      <w:r w:rsidRPr="00003A24">
        <w:t>la järnvägsnät när det gäller behörighet för lokförare.</w:t>
      </w:r>
    </w:p>
    <w:p w:rsidR="00003A24" w:rsidRPr="00003A24" w:rsidRDefault="00003A24">
      <w:pPr>
        <w:pStyle w:val="Hemstlatt"/>
        <w:numPr>
          <w:ilvl w:val="0"/>
          <w:numId w:val="1"/>
        </w:numPr>
      </w:pPr>
      <w:r w:rsidRPr="00003A24">
        <w:t>Riksdagen tillkännager för regeringen som sin mening vad som anförs i motionen om ändring i järnvägslagen (2004:519) när det gäller register över järnvägsinfrastruktur och järnvägsfo</w:t>
      </w:r>
      <w:r w:rsidRPr="00003A24">
        <w:t>r</w:t>
      </w:r>
      <w:r w:rsidRPr="00003A24">
        <w:t>don.</w:t>
      </w:r>
    </w:p>
    <w:p w:rsidR="00003A24" w:rsidRPr="00003A24" w:rsidRDefault="00003A24">
      <w:pPr>
        <w:pStyle w:val="Rubrik1"/>
      </w:pPr>
      <w:r w:rsidRPr="00003A24">
        <w:t>Inledning</w:t>
      </w:r>
    </w:p>
    <w:p w:rsidR="00003A24" w:rsidRPr="00003A24" w:rsidRDefault="00003A24">
      <w:r w:rsidRPr="00003A24">
        <w:t>I proposition 2010/11:122 lämnas förslag till lagändringar som krävs för att genomföra Europaparlamentets och rådets direktiv om behörighetsprövning m.m. av lokförare som framför tåg och lok på järnvägsystem i gemenskapen. Detta direktiv och regeringens lagförslag är en del i en serie reformer för att skapa en gemensam och bättre fungerande marknad för järnvägstjänster g</w:t>
      </w:r>
      <w:r w:rsidRPr="00003A24">
        <w:t>e</w:t>
      </w:r>
      <w:r w:rsidRPr="00003A24">
        <w:t>nom att öppna marknaderna och skapa tekniska och juridiska förutsättningar för gränsöverskridande trafik. Vi har en positiv inställning till hela denna reformering av de europeiska järnvägsnäten.</w:t>
      </w:r>
    </w:p>
    <w:p w:rsidR="00003A24" w:rsidRPr="00003A24" w:rsidRDefault="00003A24">
      <w:pPr>
        <w:pStyle w:val="Rubrik1"/>
      </w:pPr>
      <w:r w:rsidRPr="00003A24">
        <w:t>Undantag för fristående järnvägsnät</w:t>
      </w:r>
    </w:p>
    <w:p w:rsidR="00003A24" w:rsidRPr="00003A24" w:rsidRDefault="00003A24">
      <w:r w:rsidRPr="00003A24">
        <w:t>Direktiven kring de europeiska järnvägsnäten gör emellertid undantag för delar av järnvägstrafiken, också i Sverige. Ett sådant undantag är fristående lokala och regionala järnvägsnät, liksom tunnelbanor och spårvägar m.m. I förslaget till lag om behörighet för lokförare anges förutsättningar för unda</w:t>
      </w:r>
      <w:r w:rsidRPr="00003A24">
        <w:t>n</w:t>
      </w:r>
      <w:r w:rsidRPr="00003A24">
        <w:t>tag i 1 kap. 2 §. I skälen för regeringens förslag anges dessa främst vara Sal</w:t>
      </w:r>
      <w:r w:rsidRPr="00003A24">
        <w:t>t</w:t>
      </w:r>
      <w:r w:rsidRPr="00003A24">
        <w:t xml:space="preserve">sjöbanan, Lidingöbanan och Roslagsbanan. Vi stöder detta. Den följande </w:t>
      </w:r>
      <w:r w:rsidRPr="00003A24">
        <w:lastRenderedPageBreak/>
        <w:t>meningen (s. 30, rad 15–16 i propositionen) är emellertid i regeringens u</w:t>
      </w:r>
      <w:r w:rsidRPr="00003A24">
        <w:t>t</w:t>
      </w:r>
      <w:r w:rsidRPr="00003A24">
        <w:t xml:space="preserve">formning inte tillräckligt vägledande för tillämpningen. Regeringen skriver: ”Men även fristående nät enbart avsedda för museitrafik </w:t>
      </w:r>
      <w:r w:rsidRPr="00003A24">
        <w:rPr>
          <w:i/>
        </w:rPr>
        <w:t>kan</w:t>
      </w:r>
      <w:r w:rsidRPr="00003A24">
        <w:t xml:space="preserve"> falla in under undantaget.”</w:t>
      </w:r>
    </w:p>
    <w:p w:rsidR="00003A24" w:rsidRPr="00003A24" w:rsidRDefault="00003A24">
      <w:pPr>
        <w:pStyle w:val="Normaltindrag"/>
      </w:pPr>
      <w:r w:rsidRPr="00003A24">
        <w:t>Att i motivtexten distinkt utpeka Saltsjöbanan m.fl., men använda ordet ”kan” beträffande museijärnvägar på fristående nät</w:t>
      </w:r>
      <w:r w:rsidRPr="00003A24">
        <w:t>, ger upphov till möjligh</w:t>
      </w:r>
      <w:r w:rsidRPr="00003A24">
        <w:t>e</w:t>
      </w:r>
      <w:r w:rsidRPr="00003A24">
        <w:t>ten att den tillämpande myndigheten, Transportstyrelsen, inte följer regerin</w:t>
      </w:r>
      <w:r w:rsidRPr="00003A24">
        <w:t>g</w:t>
      </w:r>
      <w:r w:rsidRPr="00003A24">
        <w:t>ens och riksdagens intentioner. Vi anser att riksdagen här klart bör tillkännage att ”även fristående nät enbart avsedda för museitrafik</w:t>
      </w:r>
      <w:r w:rsidRPr="00003A24">
        <w:rPr>
          <w:b/>
        </w:rPr>
        <w:t xml:space="preserve"> </w:t>
      </w:r>
      <w:r w:rsidRPr="00003A24">
        <w:rPr>
          <w:i/>
        </w:rPr>
        <w:t>ska</w:t>
      </w:r>
      <w:r w:rsidRPr="00003A24">
        <w:t xml:space="preserve"> falla in under u</w:t>
      </w:r>
      <w:r w:rsidRPr="00003A24">
        <w:t>n</w:t>
      </w:r>
      <w:r w:rsidRPr="00003A24">
        <w:t>dantaget”.</w:t>
      </w:r>
    </w:p>
    <w:p w:rsidR="00003A24" w:rsidRPr="00003A24" w:rsidRDefault="00003A24">
      <w:pPr>
        <w:pStyle w:val="Rubrik1"/>
      </w:pPr>
      <w:r w:rsidRPr="00003A24">
        <w:t>Tillsyn av järnvägsfordon</w:t>
      </w:r>
    </w:p>
    <w:p w:rsidR="00003A24" w:rsidRPr="00003A24" w:rsidRDefault="00003A24">
      <w:r w:rsidRPr="00003A24">
        <w:t>Även i tidigare direktiv från EU-organen görs undantag för museitrafik, vilket emellertid inte fått genomslag i lagstiftningen och tillämpningen i Sverige. Vi vill därför, när regeringen i proposition 2010/11:122 föreslår ändringar i jär</w:t>
      </w:r>
      <w:r w:rsidRPr="00003A24">
        <w:t>n</w:t>
      </w:r>
      <w:r w:rsidRPr="00003A24">
        <w:t>vägslagen, också väcka frågan om en samtidig ändring i järnvägslagen i ett parallellt hänseende.</w:t>
      </w:r>
    </w:p>
    <w:p w:rsidR="00003A24" w:rsidRPr="00003A24" w:rsidRDefault="00003A24">
      <w:pPr>
        <w:pStyle w:val="Normaltindrag"/>
      </w:pPr>
      <w:r w:rsidRPr="00003A24">
        <w:t>Transportstyrelsen hävdar med hänvisning till dåvarande Järnvägsstyre</w:t>
      </w:r>
      <w:r w:rsidRPr="00003A24">
        <w:t>l</w:t>
      </w:r>
      <w:r w:rsidRPr="00003A24">
        <w:t>sens föreskrifter (JvSFS 2007:7) om registrering och märkning av järnväg</w:t>
      </w:r>
      <w:r w:rsidRPr="00003A24">
        <w:t>s</w:t>
      </w:r>
      <w:r w:rsidRPr="00003A24">
        <w:t>fordon att museijärnvägsfordon obligatoriskt ska registreras med åtföljande betydande registreringskostnader för de ideella museijärnvägsföreningarna.</w:t>
      </w:r>
    </w:p>
    <w:p w:rsidR="00003A24" w:rsidRPr="00003A24" w:rsidRDefault="00003A24">
      <w:pPr>
        <w:pStyle w:val="Normaltindrag"/>
      </w:pPr>
      <w:r w:rsidRPr="00003A24">
        <w:t>Enligt 11 § JvSFS 2007:7 gäller visserligen att Transportstyrelsen får meddela undantag från föreskrifterna om registrering och märkning. Tran</w:t>
      </w:r>
      <w:r w:rsidRPr="00003A24">
        <w:t>s</w:t>
      </w:r>
      <w:r w:rsidRPr="00003A24">
        <w:t xml:space="preserve">portstyrelsen har emellertid under hand meddelat att den inte anser att denna undantagsbestämmelse kan tillämpas generellt på museijärnvägsfordon. JvFS 2007:7 är utfärdad med stöd av 1 kap. 2 § andra stycket, 2 kap. 16 § och 6 kap. 10 § järnvägsförordningen (2004:526), förkortad </w:t>
      </w:r>
      <w:r w:rsidRPr="00003A24">
        <w:rPr>
          <w:iCs/>
        </w:rPr>
        <w:t>JvF</w:t>
      </w:r>
      <w:r w:rsidRPr="00003A24">
        <w:t xml:space="preserve">. Föreskrifterna i JvF går i sin tur tillbaka på regleringen i 8 kap. 8, 10 och 11 §§ järnvägslagen (2004:519), förkortad </w:t>
      </w:r>
      <w:r w:rsidRPr="00003A24">
        <w:rPr>
          <w:iCs/>
        </w:rPr>
        <w:t>JvL</w:t>
      </w:r>
      <w:r w:rsidRPr="00003A24">
        <w:t>. I 8 kap. 8 § JvL föreskrivs följande:</w:t>
      </w:r>
    </w:p>
    <w:p w:rsidR="00003A24" w:rsidRPr="00003A24" w:rsidRDefault="00003A24">
      <w:pPr>
        <w:pStyle w:val="Citat"/>
      </w:pPr>
      <w:r w:rsidRPr="00003A24">
        <w:t xml:space="preserve">Tillsynsmyndigheten skall föra och ge offentlighet åt register </w:t>
      </w:r>
      <w:r w:rsidRPr="00003A24">
        <w:t>över jär</w:t>
      </w:r>
      <w:r w:rsidRPr="00003A24">
        <w:t>n</w:t>
      </w:r>
      <w:r w:rsidRPr="00003A24">
        <w:t>vägsinfrastruktur och järnvägsfordon. Den som bedriver verksamhet som omfattas av denna lag skall till tillsynsmyndigheten lämna de uppgifter som behövs för att föra sådana register.</w:t>
      </w:r>
    </w:p>
    <w:p w:rsidR="00003A24" w:rsidRPr="00003A24" w:rsidRDefault="00003A24">
      <w:pPr>
        <w:autoSpaceDE w:val="0"/>
        <w:autoSpaceDN w:val="0"/>
        <w:adjustRightInd w:val="0"/>
        <w:rPr>
          <w:color w:val="000000"/>
          <w:szCs w:val="18"/>
        </w:rPr>
      </w:pPr>
      <w:r w:rsidRPr="00003A24">
        <w:rPr>
          <w:color w:val="000000"/>
        </w:rPr>
        <w:t>Denna reglering går i sin tur tillbaka på Europaparlamentets och rådets dire</w:t>
      </w:r>
      <w:r w:rsidRPr="00003A24">
        <w:rPr>
          <w:color w:val="000000"/>
        </w:rPr>
        <w:t>k</w:t>
      </w:r>
      <w:r w:rsidRPr="00003A24">
        <w:rPr>
          <w:color w:val="000000"/>
        </w:rPr>
        <w:t>tiv 2001/16/EG om driftskompabiliteten hos det transeuropeiska järnvägss</w:t>
      </w:r>
      <w:r w:rsidRPr="00003A24">
        <w:rPr>
          <w:color w:val="000000"/>
        </w:rPr>
        <w:t>y</w:t>
      </w:r>
      <w:r w:rsidRPr="00003A24">
        <w:rPr>
          <w:color w:val="000000"/>
        </w:rPr>
        <w:t>stemet för konventionella tåg (artikel 14.4) i dess lydelse enligt Europaparl</w:t>
      </w:r>
      <w:r w:rsidRPr="00003A24">
        <w:rPr>
          <w:color w:val="000000"/>
        </w:rPr>
        <w:t>a</w:t>
      </w:r>
      <w:r w:rsidRPr="00003A24">
        <w:rPr>
          <w:color w:val="000000"/>
        </w:rPr>
        <w:t>ments och rådets direktiv 2004/50/EG av den 29 april 2004 (artikel 14.4), se proposition 2006/07:45 Andra järnvägspaketet – fortsatt EU harmoniering av järnvägslagstiftning. I EU-direktivet föreskrivs bl.a.: ”</w:t>
      </w:r>
      <w:r w:rsidRPr="00003A24">
        <w:rPr>
          <w:color w:val="000000"/>
          <w:szCs w:val="18"/>
        </w:rPr>
        <w:t>Detta direktiv syftar till att fastställa de villkor som måste uppfyllas för att driftskompatibiliteten hos det</w:t>
      </w:r>
      <w:r w:rsidRPr="00003A24">
        <w:rPr>
          <w:color w:val="000000"/>
        </w:rPr>
        <w:t xml:space="preserve"> </w:t>
      </w:r>
      <w:r w:rsidRPr="00003A24">
        <w:rPr>
          <w:color w:val="000000"/>
          <w:szCs w:val="18"/>
        </w:rPr>
        <w:t>transeuropeiska järnvägsystemet för kon</w:t>
      </w:r>
      <w:r w:rsidRPr="00003A24">
        <w:rPr>
          <w:color w:val="000000"/>
          <w:szCs w:val="18"/>
        </w:rPr>
        <w:t>ventionella tåg, som såsom de beskrivs i bilaga I, skall kunna</w:t>
      </w:r>
      <w:r w:rsidRPr="00003A24">
        <w:rPr>
          <w:color w:val="000000"/>
        </w:rPr>
        <w:t xml:space="preserve"> </w:t>
      </w:r>
      <w:r w:rsidRPr="00003A24">
        <w:rPr>
          <w:color w:val="000000"/>
          <w:szCs w:val="18"/>
        </w:rPr>
        <w:t xml:space="preserve">genomföras inom gemenskapen” (artikel 1 punkt 1). </w:t>
      </w:r>
      <w:r w:rsidRPr="00003A24">
        <w:rPr>
          <w:color w:val="000000"/>
        </w:rPr>
        <w:t xml:space="preserve">Och vidare: </w:t>
      </w:r>
      <w:r w:rsidRPr="00003A24">
        <w:rPr>
          <w:color w:val="000000"/>
          <w:szCs w:val="18"/>
        </w:rPr>
        <w:t>”När medlemsstaterna godkänner att rullande material tas i bruk, skall de ansvara för att se till att varje fordon förses med en ident</w:t>
      </w:r>
      <w:r w:rsidRPr="00003A24">
        <w:rPr>
          <w:color w:val="000000"/>
          <w:szCs w:val="18"/>
        </w:rPr>
        <w:t>i</w:t>
      </w:r>
      <w:r w:rsidRPr="00003A24">
        <w:rPr>
          <w:color w:val="000000"/>
          <w:szCs w:val="18"/>
        </w:rPr>
        <w:t>fikationskod i alfanumerisk form. Denna kod skall anbringas på varje fordon och föras in i ett nationellt fordonsregister, som skall uppfylla följande krit</w:t>
      </w:r>
      <w:r w:rsidRPr="00003A24">
        <w:rPr>
          <w:color w:val="000000"/>
          <w:szCs w:val="18"/>
        </w:rPr>
        <w:t>e</w:t>
      </w:r>
      <w:r w:rsidRPr="00003A24">
        <w:rPr>
          <w:color w:val="000000"/>
          <w:szCs w:val="18"/>
        </w:rPr>
        <w:t>rier:” (artikel 14 punkt 4).</w:t>
      </w:r>
    </w:p>
    <w:p w:rsidR="00003A24" w:rsidRPr="00003A24" w:rsidRDefault="00003A24">
      <w:pPr>
        <w:pStyle w:val="Normaltindrag"/>
      </w:pPr>
      <w:r w:rsidRPr="00003A24">
        <w:t>Som en naturlig konsekvens av syftet med direktivet föreskrivs vida</w:t>
      </w:r>
      <w:r w:rsidRPr="00003A24">
        <w:t>re:</w:t>
      </w:r>
    </w:p>
    <w:p w:rsidR="00003A24" w:rsidRPr="00003A24" w:rsidRDefault="00003A24">
      <w:pPr>
        <w:pStyle w:val="Citat"/>
        <w:rPr>
          <w:szCs w:val="18"/>
        </w:rPr>
      </w:pPr>
      <w:r w:rsidRPr="00003A24">
        <w:rPr>
          <w:szCs w:val="18"/>
        </w:rPr>
        <w:t>Räckvidden för detta direktiv skall gradvis utsträckas till att omfatta hela järnvägssystemet för konventionella tåg, inklusive spårförbindelser till terminaler och de huvudfunktioner i hamnar som betjänar eller kan betj</w:t>
      </w:r>
      <w:r w:rsidRPr="00003A24">
        <w:rPr>
          <w:szCs w:val="18"/>
        </w:rPr>
        <w:t>ä</w:t>
      </w:r>
      <w:r w:rsidRPr="00003A24">
        <w:rPr>
          <w:szCs w:val="18"/>
        </w:rPr>
        <w:t xml:space="preserve">na mer än en användare, </w:t>
      </w:r>
      <w:r w:rsidRPr="00003A24">
        <w:rPr>
          <w:i/>
          <w:szCs w:val="18"/>
        </w:rPr>
        <w:t>med undantag för infrastruktur och rullande materiel avsedd att</w:t>
      </w:r>
      <w:r w:rsidRPr="00003A24">
        <w:rPr>
          <w:szCs w:val="18"/>
        </w:rPr>
        <w:t xml:space="preserve"> </w:t>
      </w:r>
      <w:r w:rsidRPr="00003A24">
        <w:rPr>
          <w:i/>
          <w:szCs w:val="18"/>
        </w:rPr>
        <w:t>användas uteslutande för lokala ändamål, historiska ändamål eller turiständamål eller sådan infrastruktur</w:t>
      </w:r>
      <w:r w:rsidRPr="00003A24">
        <w:rPr>
          <w:szCs w:val="18"/>
        </w:rPr>
        <w:t xml:space="preserve"> </w:t>
      </w:r>
      <w:r w:rsidRPr="00003A24">
        <w:rPr>
          <w:i/>
          <w:szCs w:val="18"/>
        </w:rPr>
        <w:t xml:space="preserve">vars funktion är fristående från det övriga järnvägssystemet, </w:t>
      </w:r>
      <w:r w:rsidRPr="00003A24">
        <w:rPr>
          <w:szCs w:val="18"/>
        </w:rPr>
        <w:t>och utan att de påverkar de undantag från tillämpningen av TSD [tekniska specifikationer för drift</w:t>
      </w:r>
      <w:r w:rsidRPr="00003A24">
        <w:rPr>
          <w:szCs w:val="18"/>
        </w:rPr>
        <w:t>s</w:t>
      </w:r>
      <w:r w:rsidRPr="00003A24">
        <w:rPr>
          <w:szCs w:val="18"/>
        </w:rPr>
        <w:t>kompabilitet] som anges i artikel 7. (artikel 1 punkt 3, motionärernas ku</w:t>
      </w:r>
      <w:r w:rsidRPr="00003A24">
        <w:rPr>
          <w:szCs w:val="18"/>
        </w:rPr>
        <w:t>r</w:t>
      </w:r>
      <w:r w:rsidRPr="00003A24">
        <w:rPr>
          <w:szCs w:val="18"/>
        </w:rPr>
        <w:t>sivering)</w:t>
      </w:r>
    </w:p>
    <w:p w:rsidR="00003A24" w:rsidRPr="00003A24" w:rsidRDefault="00003A24">
      <w:pPr>
        <w:pStyle w:val="Rubrik1"/>
      </w:pPr>
      <w:r w:rsidRPr="00003A24">
        <w:t>EU-rättens företräde</w:t>
      </w:r>
    </w:p>
    <w:p w:rsidR="00003A24" w:rsidRPr="00003A24" w:rsidRDefault="00003A24">
      <w:pPr>
        <w:autoSpaceDE w:val="0"/>
        <w:autoSpaceDN w:val="0"/>
        <w:adjustRightInd w:val="0"/>
        <w:rPr>
          <w:color w:val="000000"/>
        </w:rPr>
      </w:pPr>
      <w:r w:rsidRPr="00003A24">
        <w:rPr>
          <w:color w:val="000000"/>
        </w:rPr>
        <w:t>EU-rätten har generellt företräde framför nationell rätt vid en normkonflikt. Ett EU-direktiv gäller inte omedelbart utan ska implementeras i nationell rätt. Implementeringen ska vara korrekt och lojal. Om så inte sker kan enskilda i många fall åberopa direktivet framför nationell rätt (s.k. direkt effekt). En felaktig eller utebliven implementering kan också grunda skadeståndssky</w:t>
      </w:r>
      <w:r w:rsidRPr="00003A24">
        <w:rPr>
          <w:color w:val="000000"/>
        </w:rPr>
        <w:t>l</w:t>
      </w:r>
      <w:r w:rsidRPr="00003A24">
        <w:rPr>
          <w:color w:val="000000"/>
        </w:rPr>
        <w:t>dighet för den felande staten. Något hinder för Sverige att införa strängare registreringsregler än vad som följer av EU-direktivet torde i och för sig inte finnas, men det får anses uppenbart att döma av den aktuella propositionen att avsikten aldrig varit att sådana strängare regler skulle införas.</w:t>
      </w:r>
    </w:p>
    <w:p w:rsidR="00003A24" w:rsidRPr="00003A24" w:rsidRDefault="00003A24">
      <w:pPr>
        <w:pStyle w:val="Rubrik1"/>
      </w:pPr>
      <w:r w:rsidRPr="00003A24">
        <w:t>Slutsats</w:t>
      </w:r>
    </w:p>
    <w:p w:rsidR="00003A24" w:rsidRPr="00003A24" w:rsidRDefault="00003A24">
      <w:r w:rsidRPr="00003A24">
        <w:t>Riksdagen och regeringen har, förmodligen av förbiseende, implementerat EU-direktivet om spårfordonsregistrering på ett mindre lämpligt sätt, då man inte uttryckligen implementerat direktivets undantag för historiska fordon.</w:t>
      </w:r>
    </w:p>
    <w:p w:rsidR="00003A24" w:rsidRPr="00003A24" w:rsidRDefault="00003A24">
      <w:pPr>
        <w:pStyle w:val="Normaltindrag"/>
      </w:pPr>
      <w:r w:rsidRPr="00003A24">
        <w:t>Transportstyrelsen tillämpar den svenska lagstiftningen på ett felaktigt sätt, trots att man upplysts om att tillämpningen strider inte bara mot EU-direktivets syfte utan också mot dess uttryckliga detaljreglering. Det senare är inte acceptabelt då det strider mot grundprincipen att EU-rätten har företräde framför nationell rätt. Transportstyrelsens författningstillämpning strider därtill mot europarättens grundläggande proportionalitetsprincip. Den felakt</w:t>
      </w:r>
      <w:r w:rsidRPr="00003A24">
        <w:t>i</w:t>
      </w:r>
      <w:r w:rsidRPr="00003A24">
        <w:t>ga tillämpningen drabbar ideella föreningar som verkar under knappa ekon</w:t>
      </w:r>
      <w:r w:rsidRPr="00003A24">
        <w:t>o</w:t>
      </w:r>
      <w:r w:rsidRPr="00003A24">
        <w:t>miska förhållanden. Föreningar som därtill bedriver en verksamhet av allmänt intresse.</w:t>
      </w:r>
    </w:p>
    <w:p w:rsidR="00003A24" w:rsidRPr="00003A24" w:rsidRDefault="00003A24">
      <w:pPr>
        <w:pStyle w:val="Normaltindrag"/>
      </w:pPr>
      <w:r w:rsidRPr="00003A24">
        <w:t>Mot bakgrund av ovanstående bör riksdagen tillkännage att regeringen bör lägga fram förslag till riksdagen om att 8 kap. 8 § järnvägslagen ändras så att det uttryckligen framgår att registerföring av järnvägsinfrastruktur och jär</w:t>
      </w:r>
      <w:r w:rsidRPr="00003A24">
        <w:t>n</w:t>
      </w:r>
      <w:r w:rsidRPr="00003A24">
        <w:t>vägsfordon inte ska göras beträffande bl.a. järnvägar med historiska ändamål eller turiständamål, dvs. de undantag som framgår av rådets direktiv 2004/50/EG av den 24 april 2004.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03A24">
        <w:trPr>
          <w:cantSplit/>
        </w:trPr>
        <w:tc>
          <w:tcPr>
            <w:tcW w:w="3046" w:type="dxa"/>
          </w:tcPr>
          <w:p w:rsidR="00003A24" w:rsidRPr="00003A24" w:rsidRDefault="00003A24">
            <w:pPr>
              <w:pStyle w:val="UnderskriftDatum"/>
              <w:spacing w:before="240"/>
            </w:pPr>
            <w:r w:rsidRPr="00003A24">
              <w:t>Stockholm den 6 april 2011</w:t>
            </w:r>
          </w:p>
        </w:tc>
        <w:tc>
          <w:tcPr>
            <w:tcW w:w="3047" w:type="dxa"/>
          </w:tcPr>
          <w:p w:rsidR="00003A24" w:rsidRPr="00003A24" w:rsidRDefault="00003A24">
            <w:pPr>
              <w:pStyle w:val="Underskrifter"/>
              <w:spacing w:before="240"/>
            </w:pPr>
          </w:p>
        </w:tc>
      </w:tr>
      <w:tr w:rsidR="00000000" w:rsidRPr="00003A24">
        <w:trPr>
          <w:cantSplit/>
        </w:trPr>
        <w:tc>
          <w:tcPr>
            <w:tcW w:w="3046" w:type="dxa"/>
          </w:tcPr>
          <w:p w:rsidR="00003A24" w:rsidRPr="00003A24" w:rsidRDefault="00003A24">
            <w:pPr>
              <w:pStyle w:val="Underskrifter"/>
            </w:pPr>
            <w:r w:rsidRPr="00003A24">
              <w:t>Björn von Sydow (S)</w:t>
            </w:r>
          </w:p>
        </w:tc>
        <w:tc>
          <w:tcPr>
            <w:tcW w:w="3046" w:type="dxa"/>
          </w:tcPr>
          <w:p w:rsidR="00003A24" w:rsidRPr="00003A24" w:rsidRDefault="00003A24">
            <w:pPr>
              <w:pStyle w:val="Underskrifter"/>
            </w:pPr>
            <w:r w:rsidRPr="00003A24">
              <w:t>Lennart Axelsson (S)</w:t>
            </w:r>
          </w:p>
        </w:tc>
      </w:tr>
    </w:tbl>
    <w:p w:rsidR="00003A24" w:rsidRPr="00003A24" w:rsidRDefault="00003A24">
      <w:pPr>
        <w:pStyle w:val="Normaltindrag"/>
      </w:pPr>
    </w:p>
    <w:sectPr w:rsidR="00000000" w:rsidRPr="00003A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3A24" w:rsidRPr="00003A24" w:rsidRDefault="00003A24">
      <w:r w:rsidRPr="00003A24">
        <w:separator/>
      </w:r>
    </w:p>
  </w:endnote>
  <w:endnote w:type="continuationSeparator" w:id="0">
    <w:p w:rsidR="00003A24" w:rsidRPr="00003A24" w:rsidRDefault="00003A24">
      <w:r w:rsidRPr="00003A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A24" w:rsidRPr="00003A24" w:rsidRDefault="00003A24">
    <w:pPr>
      <w:pStyle w:val="Sidfot"/>
    </w:pPr>
    <w:r w:rsidRPr="00003A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55539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A24" w:rsidRDefault="00003A2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03A24" w:rsidRDefault="00003A2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A24" w:rsidRPr="00003A24" w:rsidRDefault="00003A24">
    <w:pPr>
      <w:pStyle w:val="Sidfot"/>
    </w:pPr>
    <w:r w:rsidRPr="00003A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80913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A24" w:rsidRDefault="00003A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3A24" w:rsidRDefault="00003A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A24" w:rsidRPr="00003A24" w:rsidRDefault="00003A24">
    <w:pPr>
      <w:pStyle w:val="Sidfot"/>
    </w:pPr>
    <w:r w:rsidRPr="00003A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46585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A24" w:rsidRDefault="00003A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3A24" w:rsidRDefault="00003A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3A24" w:rsidRPr="00003A24" w:rsidRDefault="00003A24">
      <w:r w:rsidRPr="00003A24">
        <w:separator/>
      </w:r>
    </w:p>
  </w:footnote>
  <w:footnote w:type="continuationSeparator" w:id="0">
    <w:p w:rsidR="00003A24" w:rsidRPr="00003A24" w:rsidRDefault="00003A24">
      <w:r w:rsidRPr="00003A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A24" w:rsidRPr="00003A24" w:rsidRDefault="00003A24">
    <w:pPr>
      <w:pStyle w:val="Sidhuvud"/>
    </w:pPr>
    <w:r w:rsidRPr="00003A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31317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A24" w:rsidRDefault="00003A2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03A24" w:rsidRDefault="00003A2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A24" w:rsidRPr="00003A24" w:rsidRDefault="00003A24">
    <w:pPr>
      <w:pStyle w:val="Sidhuvud"/>
    </w:pPr>
    <w:r w:rsidRPr="00003A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07940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A24" w:rsidRDefault="00003A2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03A24" w:rsidRDefault="00003A2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A24" w:rsidRPr="00003A24" w:rsidRDefault="00003A24">
    <w:pPr>
      <w:pStyle w:val="FSHNormal"/>
      <w:tabs>
        <w:tab w:val="right" w:pos="5840"/>
      </w:tabs>
    </w:pPr>
    <w:r w:rsidRPr="00003A24">
      <w:br/>
    </w:r>
    <w:r w:rsidRPr="00003A24">
      <w:fldChar w:fldCharType="begin" w:fldLock="1"/>
    </w:r>
    <w:r w:rsidRPr="00003A24">
      <w:instrText xml:space="preserve"> DOCPROPERTY</w:instrText>
    </w:r>
    <w:r w:rsidRPr="00003A24">
      <w:rPr>
        <w:sz w:val="18"/>
      </w:rPr>
      <w:instrText xml:space="preserve"> "YearUser" *\charformat </w:instrText>
    </w:r>
    <w:r w:rsidRPr="00003A24">
      <w:fldChar w:fldCharType="separate"/>
    </w:r>
    <w:r w:rsidRPr="00003A24">
      <w:t>2010/11</w:t>
    </w:r>
    <w:r w:rsidRPr="00003A24">
      <w:fldChar w:fldCharType="end"/>
    </w:r>
    <w:r w:rsidRPr="00003A24">
      <w:t xml:space="preserve"> </w:t>
    </w:r>
    <w:r w:rsidRPr="00003A24">
      <w:tab/>
      <w:t xml:space="preserve">mnr: </w:t>
    </w:r>
    <w:r w:rsidRPr="00003A24">
      <w:fldChar w:fldCharType="begin" w:fldLock="1"/>
    </w:r>
    <w:r w:rsidRPr="00003A24">
      <w:instrText xml:space="preserve"> DOCPROPERTY</w:instrText>
    </w:r>
    <w:r w:rsidRPr="00003A24">
      <w:rPr>
        <w:sz w:val="18"/>
      </w:rPr>
      <w:instrText xml:space="preserve"> "Motionsnummer" *\charformat </w:instrText>
    </w:r>
    <w:r w:rsidRPr="00003A24">
      <w:fldChar w:fldCharType="separate"/>
    </w:r>
    <w:r w:rsidRPr="00003A24">
      <w:t>T15</w:t>
    </w:r>
    <w:r w:rsidRPr="00003A24">
      <w:fldChar w:fldCharType="end"/>
    </w:r>
    <w:r w:rsidRPr="00003A24">
      <w:br/>
    </w:r>
    <w:r w:rsidRPr="00003A24">
      <w:fldChar w:fldCharType="begin" w:fldLock="1"/>
    </w:r>
    <w:r w:rsidRPr="00003A24">
      <w:instrText xml:space="preserve"> DOCPROPERTY</w:instrText>
    </w:r>
    <w:r w:rsidRPr="00003A24">
      <w:rPr>
        <w:sz w:val="18"/>
      </w:rPr>
      <w:instrText xml:space="preserve"> "Samling" *\charformat </w:instrText>
    </w:r>
    <w:r w:rsidRPr="00003A24">
      <w:fldChar w:fldCharType="end"/>
    </w:r>
    <w:r w:rsidRPr="00003A24">
      <w:tab/>
      <w:t xml:space="preserve">pnr: </w:t>
    </w:r>
    <w:r w:rsidRPr="00003A24">
      <w:fldChar w:fldCharType="begin" w:fldLock="1"/>
    </w:r>
    <w:r w:rsidRPr="00003A24">
      <w:instrText xml:space="preserve"> DOCPROPERTY</w:instrText>
    </w:r>
    <w:r w:rsidRPr="00003A24">
      <w:rPr>
        <w:sz w:val="18"/>
      </w:rPr>
      <w:instrText xml:space="preserve"> "Partinummer" *\charformat </w:instrText>
    </w:r>
    <w:r w:rsidRPr="00003A24">
      <w:fldChar w:fldCharType="separate"/>
    </w:r>
    <w:r w:rsidRPr="00003A24">
      <w:t>S1001</w:t>
    </w:r>
    <w:r w:rsidRPr="00003A24">
      <w:fldChar w:fldCharType="end"/>
    </w:r>
  </w:p>
  <w:p w:rsidR="00003A24" w:rsidRPr="00003A24" w:rsidRDefault="00003A24">
    <w:pPr>
      <w:pStyle w:val="FSHRub1"/>
    </w:pPr>
    <w:r w:rsidRPr="00003A24">
      <w:t>Motion till riksdagen</w:t>
    </w:r>
    <w:r w:rsidRPr="00003A24">
      <w:br/>
    </w:r>
    <w:r w:rsidRPr="00003A24">
      <w:fldChar w:fldCharType="begin" w:fldLock="1"/>
    </w:r>
    <w:r w:rsidRPr="00003A24">
      <w:instrText xml:space="preserve"> DOCPROPERTY "YearUser" *\charformat </w:instrText>
    </w:r>
    <w:r w:rsidRPr="00003A24">
      <w:fldChar w:fldCharType="separate"/>
    </w:r>
    <w:r w:rsidRPr="00003A24">
      <w:t>2010/11</w:t>
    </w:r>
    <w:r w:rsidRPr="00003A24">
      <w:fldChar w:fldCharType="end"/>
    </w:r>
    <w:r w:rsidRPr="00003A24">
      <w:t>:</w:t>
    </w:r>
    <w:r w:rsidRPr="00003A24">
      <w:fldChar w:fldCharType="begin" w:fldLock="1"/>
    </w:r>
    <w:r w:rsidRPr="00003A24">
      <w:instrText xml:space="preserve"> DOCPROPERTY "Motionsnummer" *\charformat </w:instrText>
    </w:r>
    <w:r w:rsidRPr="00003A24">
      <w:fldChar w:fldCharType="separate"/>
    </w:r>
    <w:r w:rsidRPr="00003A24">
      <w:t>T15</w:t>
    </w:r>
    <w:r w:rsidRPr="00003A24">
      <w:fldChar w:fldCharType="end"/>
    </w:r>
  </w:p>
  <w:p w:rsidR="00003A24" w:rsidRPr="00003A24" w:rsidRDefault="00003A24">
    <w:pPr>
      <w:pStyle w:val="FSHNormalS5"/>
    </w:pPr>
    <w:r w:rsidRPr="00003A24">
      <w:fldChar w:fldCharType="begin" w:fldLock="1"/>
    </w:r>
    <w:r w:rsidRPr="00003A24">
      <w:instrText xml:space="preserve"> DOCPROPERTY "MotionarText" *\charformat </w:instrText>
    </w:r>
    <w:r w:rsidRPr="00003A24">
      <w:fldChar w:fldCharType="separate"/>
    </w:r>
    <w:r w:rsidRPr="00003A24">
      <w:t>av Björn von Sydow och Lennart Axelsson (S)</w:t>
    </w:r>
    <w:r w:rsidRPr="00003A24">
      <w:fldChar w:fldCharType="end"/>
    </w:r>
    <w:r w:rsidRPr="00003A24">
      <w:br/>
    </w:r>
    <w:r w:rsidRPr="00003A24">
      <w:fldChar w:fldCharType="begin" w:fldLock="1"/>
    </w:r>
    <w:r w:rsidRPr="00003A24">
      <w:instrText xml:space="preserve"> DOCPROPERTY "SvarFrasKort" *\charformat </w:instrText>
    </w:r>
    <w:r w:rsidRPr="00003A24">
      <w:fldChar w:fldCharType="separate"/>
    </w:r>
    <w:r w:rsidRPr="00003A24">
      <w:t>med anledning av prop. 2010/11:122</w:t>
    </w:r>
    <w:r w:rsidRPr="00003A24">
      <w:fldChar w:fldCharType="end"/>
    </w:r>
  </w:p>
  <w:p w:rsidR="00003A24" w:rsidRPr="00003A24" w:rsidRDefault="00003A24">
    <w:pPr>
      <w:pStyle w:val="FSHTitel"/>
    </w:pPr>
    <w:r w:rsidRPr="00003A24">
      <w:fldChar w:fldCharType="begin" w:fldLock="1"/>
    </w:r>
    <w:r w:rsidRPr="00003A24">
      <w:instrText xml:space="preserve"> DOCPROPERTY</w:instrText>
    </w:r>
    <w:r w:rsidRPr="00003A24">
      <w:rPr>
        <w:sz w:val="18"/>
      </w:rPr>
      <w:instrText xml:space="preserve"> "RubrikSvar" *\charformat </w:instrText>
    </w:r>
    <w:r w:rsidRPr="00003A24">
      <w:fldChar w:fldCharType="separate"/>
    </w:r>
    <w:r w:rsidRPr="00003A24">
      <w:t>Behörighet för lokförare</w:t>
    </w:r>
    <w:r w:rsidRPr="00003A24">
      <w:fldChar w:fldCharType="end"/>
    </w:r>
  </w:p>
  <w:p w:rsidR="00003A24" w:rsidRPr="00003A24" w:rsidRDefault="00003A24">
    <w:pPr>
      <w:pStyle w:val="Normal00"/>
    </w:pPr>
  </w:p>
  <w:p w:rsidR="00003A24" w:rsidRPr="00003A24" w:rsidRDefault="00003A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09F28C4"/>
    <w:multiLevelType w:val="hybridMultilevel"/>
    <w:tmpl w:val="B0C62D1C"/>
    <w:lvl w:ilvl="0" w:tplc="2E16690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53067037">
    <w:abstractNumId w:val="3"/>
  </w:num>
  <w:num w:numId="2" w16cid:durableId="818965302">
    <w:abstractNumId w:val="2"/>
  </w:num>
  <w:num w:numId="3" w16cid:durableId="960068897">
    <w:abstractNumId w:val="1"/>
  </w:num>
  <w:num w:numId="4" w16cid:durableId="726219580">
    <w:abstractNumId w:val="0"/>
  </w:num>
  <w:num w:numId="5" w16cid:durableId="579556776">
    <w:abstractNumId w:val="7"/>
  </w:num>
  <w:num w:numId="6" w16cid:durableId="1487824130">
    <w:abstractNumId w:val="6"/>
  </w:num>
  <w:num w:numId="7" w16cid:durableId="1002510280">
    <w:abstractNumId w:val="5"/>
  </w:num>
  <w:num w:numId="8" w16cid:durableId="136729507">
    <w:abstractNumId w:val="4"/>
  </w:num>
  <w:num w:numId="9" w16cid:durableId="1240486770">
    <w:abstractNumId w:val="8"/>
  </w:num>
  <w:num w:numId="10" w16cid:durableId="242178080">
    <w:abstractNumId w:val="9"/>
  </w:num>
  <w:num w:numId="11" w16cid:durableId="449977401">
    <w:abstractNumId w:val="10"/>
  </w:num>
  <w:num w:numId="12" w16cid:durableId="1731029880">
    <w:abstractNumId w:val="13"/>
  </w:num>
  <w:num w:numId="13" w16cid:durableId="532688849">
    <w:abstractNumId w:val="15"/>
  </w:num>
  <w:num w:numId="14" w16cid:durableId="768161080">
    <w:abstractNumId w:val="17"/>
  </w:num>
  <w:num w:numId="15" w16cid:durableId="1372731162">
    <w:abstractNumId w:val="11"/>
  </w:num>
  <w:num w:numId="16" w16cid:durableId="798955136">
    <w:abstractNumId w:val="19"/>
  </w:num>
  <w:num w:numId="17" w16cid:durableId="1602955447">
    <w:abstractNumId w:val="18"/>
  </w:num>
  <w:num w:numId="18" w16cid:durableId="574320330">
    <w:abstractNumId w:val="14"/>
  </w:num>
  <w:num w:numId="19" w16cid:durableId="496269072">
    <w:abstractNumId w:val="12"/>
  </w:num>
  <w:num w:numId="20" w16cid:durableId="18147865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4-18"/>
    <w:docVar w:name="PersonGUIDs" w:val="{82C3FA83-7AA3-44A1-B2DB-E57937F7F577},{19096B9C-3FC1-41EE-9C04-83C2889F8AD3}"/>
  </w:docVars>
  <w:rsids>
    <w:rsidRoot w:val="004B61FB"/>
    <w:rsid w:val="00003A24"/>
    <w:rsid w:val="004B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3FC6FEFE-BB9F-4BC1-AE5A-0DE2C56A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1004</Words>
  <Characters>6391</Characters>
  <Application>Microsoft Office Word</Application>
  <DocSecurity>4</DocSecurity>
  <Lines>114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s1001</vt:lpstr>
    </vt:vector>
  </TitlesOfParts>
  <Company>Riksdagen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s1001</dc:title>
  <dc:subject>s1001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2011-04-19T06:37:00Z</cp:lastPrinted>
  <dcterms:created xsi:type="dcterms:W3CDTF">2025-12-18T02:51:00Z</dcterms:created>
  <dcterms:modified xsi:type="dcterms:W3CDTF">2025-12-18T02:51:00Z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mot2000_530_2011-04-18</vt:lpwstr>
  </property>
  <property fmtid="{D5CDD505-2E9C-101B-9397-08002B2CF9AE}" pid="3" name="version">
    <vt:lpwstr>mot2000_524_2011-04-05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2010/11:122 Behörighet för lokförare</vt:lpwstr>
  </property>
  <property fmtid="{D5CDD505-2E9C-101B-9397-08002B2CF9AE}" pid="11" name="SvarFrasKort">
    <vt:lpwstr>med anledning av prop. 2010/11:122</vt:lpwstr>
  </property>
  <property fmtid="{D5CDD505-2E9C-101B-9397-08002B2CF9AE}" pid="12" name="Svar">
    <vt:lpwstr>Proposition</vt:lpwstr>
  </property>
  <property fmtid="{D5CDD505-2E9C-101B-9397-08002B2CF9AE}" pid="13" name="SvarNr">
    <vt:lpwstr>2010/11:122</vt:lpwstr>
  </property>
  <property fmtid="{D5CDD505-2E9C-101B-9397-08002B2CF9AE}" pid="14" name="RubrikSvar">
    <vt:lpwstr>Behörighet för lokförare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Björn von Sydow och Lennart Axelsson (S)</vt:lpwstr>
  </property>
  <property fmtid="{D5CDD505-2E9C-101B-9397-08002B2CF9AE}" pid="26" name="MotionarLista">
    <vt:lpwstr>von Sydow, Björn (S)\Axelsson, Lennart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von Sydow (S), Lennart Axelsson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april 2011</vt:lpwstr>
  </property>
  <property fmtid="{D5CDD505-2E9C-101B-9397-08002B2CF9AE}" pid="44" name="NotesUID">
    <vt:lpwstr>magdalena.emreus@riksdagen.se</vt:lpwstr>
  </property>
  <property fmtid="{D5CDD505-2E9C-101B-9397-08002B2CF9AE}" pid="45" name="ReservUID">
    <vt:lpwstr>ma0417aa</vt:lpwstr>
  </property>
  <property fmtid="{D5CDD505-2E9C-101B-9397-08002B2CF9AE}" pid="46" name="MotionID">
    <vt:lpwstr>20102011000000000115000010010069</vt:lpwstr>
  </property>
  <property fmtid="{D5CDD505-2E9C-101B-9397-08002B2CF9AE}" pid="47" name="datum">
    <vt:lpwstr>110406</vt:lpwstr>
  </property>
  <property fmtid="{D5CDD505-2E9C-101B-9397-08002B2CF9AE}" pid="48" name="avsändar-e-post">
    <vt:lpwstr>magdalena.emreus@riksdagen.se</vt:lpwstr>
  </property>
  <property fmtid="{D5CDD505-2E9C-101B-9397-08002B2CF9AE}" pid="49" name="id">
    <vt:lpwstr>20102011000000000115000010010069</vt:lpwstr>
  </property>
  <property fmtid="{D5CDD505-2E9C-101B-9397-08002B2CF9AE}" pid="50" name="nummer">
    <vt:lpwstr>15</vt:lpwstr>
  </property>
  <property fmtid="{D5CDD505-2E9C-101B-9397-08002B2CF9AE}" pid="51" name="utskottsbeteckning">
    <vt:lpwstr>T</vt:lpwstr>
  </property>
  <property fmtid="{D5CDD505-2E9C-101B-9397-08002B2CF9AE}" pid="52" name="GlobalUID">
    <vt:lpwstr>{EB7F8FCC-6F25-4688-9F47-67F87BAF3576}</vt:lpwstr>
  </property>
  <property fmtid="{D5CDD505-2E9C-101B-9397-08002B2CF9AE}" pid="53" name="Överföringar">
    <vt:i4>0</vt:i4>
  </property>
  <property fmtid="{D5CDD505-2E9C-101B-9397-08002B2CF9AE}" pid="54" name="Checksum">
    <vt:lpwstr>*1017917887166*</vt:lpwstr>
  </property>
  <property fmtid="{D5CDD505-2E9C-101B-9397-08002B2CF9AE}" pid="55" name="skuggnummer">
    <vt:lpwstr/>
  </property>
  <property fmtid="{D5CDD505-2E9C-101B-9397-08002B2CF9AE}" pid="56" name="urixVersion">
    <vt:lpwstr>4.4.0.7</vt:lpwstr>
  </property>
  <property fmtid="{D5CDD505-2E9C-101B-9397-08002B2CF9AE}" pid="57" name="urixOrigin">
    <vt:lpwstr>110419 08:39:24.848</vt:lpwstr>
  </property>
  <property fmtid="{D5CDD505-2E9C-101B-9397-08002B2CF9AE}" pid="58" name="urixGuid">
    <vt:lpwstr>{1CFEE7D3-2DBE-40D3-B935-716CD76BC27A}</vt:lpwstr>
  </property>
</Properties>
</file>