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CC0F0" w14:textId="77777777" w:rsidR="0096348C" w:rsidRDefault="0096348C" w:rsidP="0096348C"/>
    <w:p w14:paraId="78827F0A" w14:textId="77777777" w:rsidR="0096348C" w:rsidRDefault="0096348C" w:rsidP="0096348C"/>
    <w:p w14:paraId="4150AA41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5139436B" w14:textId="77777777" w:rsidTr="00103F5F">
        <w:trPr>
          <w:cantSplit/>
          <w:trHeight w:val="742"/>
        </w:trPr>
        <w:tc>
          <w:tcPr>
            <w:tcW w:w="1985" w:type="dxa"/>
          </w:tcPr>
          <w:p w14:paraId="4EA050C3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774717D0" w14:textId="7777777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56EDB">
              <w:rPr>
                <w:b/>
              </w:rPr>
              <w:t>23</w:t>
            </w:r>
          </w:p>
          <w:p w14:paraId="7D6971A2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3799ACC0" w14:textId="77777777" w:rsidTr="00103F5F">
        <w:tc>
          <w:tcPr>
            <w:tcW w:w="1985" w:type="dxa"/>
          </w:tcPr>
          <w:p w14:paraId="1CDC4B8C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A4AEE02" w14:textId="7777777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C56EDB">
              <w:t>1-12-09</w:t>
            </w:r>
          </w:p>
        </w:tc>
      </w:tr>
      <w:tr w:rsidR="0096348C" w14:paraId="0E653E3C" w14:textId="77777777" w:rsidTr="00103F5F">
        <w:tc>
          <w:tcPr>
            <w:tcW w:w="1985" w:type="dxa"/>
          </w:tcPr>
          <w:p w14:paraId="1D851C6A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169FE01C" w14:textId="77777777"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85458C">
              <w:t>12.34</w:t>
            </w:r>
          </w:p>
        </w:tc>
      </w:tr>
      <w:tr w:rsidR="0096348C" w14:paraId="2794ABC4" w14:textId="77777777" w:rsidTr="00103F5F">
        <w:tc>
          <w:tcPr>
            <w:tcW w:w="1985" w:type="dxa"/>
          </w:tcPr>
          <w:p w14:paraId="5D112FC7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7762D708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25E043C5" w14:textId="77777777" w:rsidR="003C0E60" w:rsidRDefault="003C0E60" w:rsidP="00E97AED">
            <w:pPr>
              <w:ind w:right="-269"/>
            </w:pPr>
          </w:p>
        </w:tc>
      </w:tr>
    </w:tbl>
    <w:p w14:paraId="0D8E57D2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56EDB" w14:paraId="098FEA7B" w14:textId="77777777" w:rsidTr="008035C8">
        <w:tc>
          <w:tcPr>
            <w:tcW w:w="567" w:type="dxa"/>
          </w:tcPr>
          <w:p w14:paraId="28CBD00F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2DF98ED7" w14:textId="77777777" w:rsidR="006E6922" w:rsidRDefault="00C56EDB" w:rsidP="006E69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bookmarkStart w:id="0" w:name="_Hlk90298443"/>
            <w:bookmarkStart w:id="1" w:name="_Hlk90301609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Ändringar i EU:s kapitaltäckningsregelverk</w:t>
            </w:r>
            <w:bookmarkEnd w:id="0"/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Utskottet överlade med </w:t>
            </w:r>
            <w:r w:rsidR="008D0745">
              <w:rPr>
                <w:rFonts w:eastAsiaTheme="minorHAnsi"/>
                <w:color w:val="000000"/>
                <w:szCs w:val="24"/>
                <w:lang w:eastAsia="en-US"/>
              </w:rPr>
              <w:t>f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inansmarknadsminister Max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6E6922">
              <w:rPr>
                <w:rFonts w:eastAsiaTheme="minorHAnsi"/>
                <w:color w:val="000000"/>
                <w:szCs w:val="24"/>
                <w:lang w:eastAsia="en-US"/>
              </w:rPr>
              <w:t>om kommissionens förslag till ä</w:t>
            </w:r>
            <w:r w:rsidR="006E6922" w:rsidRPr="006E6922">
              <w:rPr>
                <w:rFonts w:eastAsiaTheme="minorHAnsi"/>
                <w:color w:val="000000"/>
                <w:szCs w:val="24"/>
                <w:lang w:eastAsia="en-US"/>
              </w:rPr>
              <w:t>ndringar i EU:s kapitaltäckningsregelverk</w:t>
            </w:r>
            <w:r w:rsid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hyperlink r:id="rId8" w:history="1">
              <w:r w:rsidR="006E6922" w:rsidRPr="006E6922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COM(2021) 663</w:t>
              </w:r>
            </w:hyperlink>
            <w:r w:rsidR="006E6922" w:rsidRPr="006E6922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, </w:t>
            </w:r>
            <w:hyperlink r:id="rId9" w:history="1">
              <w:r w:rsidR="006E6922" w:rsidRPr="006E6922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COM(2021) 664</w:t>
              </w:r>
            </w:hyperlink>
            <w:r w:rsidR="006E6922" w:rsidRPr="006E6922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och </w:t>
            </w:r>
            <w:hyperlink r:id="rId10" w:history="1">
              <w:r w:rsidR="006E6922" w:rsidRPr="006E6922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COM(2021) 665</w:t>
              </w:r>
            </w:hyperlink>
            <w:r w:rsidR="006E6922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>.</w:t>
            </w:r>
          </w:p>
          <w:bookmarkEnd w:id="1"/>
          <w:p w14:paraId="59E99B35" w14:textId="77777777" w:rsidR="006E6922" w:rsidRDefault="006E6922" w:rsidP="006E6922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1F41692" w14:textId="2D15FCF1" w:rsidR="006E6922" w:rsidRPr="00F23F38" w:rsidRDefault="006E6922" w:rsidP="006E6922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E6922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Underlaget utgjordes 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av </w:t>
            </w:r>
            <w:r w:rsidR="00185C70">
              <w:rPr>
                <w:rFonts w:eastAsiaTheme="minorHAnsi"/>
                <w:color w:val="000000" w:themeColor="text1"/>
                <w:szCs w:val="24"/>
                <w:lang w:eastAsia="en-US"/>
              </w:rPr>
              <w:t>R</w:t>
            </w:r>
            <w:r w:rsidR="00185C70" w:rsidRPr="006E6922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egeringskansliets </w:t>
            </w:r>
            <w:r w:rsidRPr="006E6922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fakta-PM 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(</w:t>
            </w:r>
            <w:hyperlink r:id="rId11" w:history="1">
              <w:r w:rsidRPr="006E6922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2021/</w:t>
              </w:r>
              <w:proofErr w:type="gramStart"/>
              <w:r w:rsidRPr="006E6922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22:FPM</w:t>
              </w:r>
              <w:proofErr w:type="gramEnd"/>
              <w:r w:rsidRPr="006E6922">
                <w:rPr>
                  <w:rStyle w:val="Hyperlnk"/>
                  <w:rFonts w:eastAsiaTheme="minorHAnsi"/>
                  <w:color w:val="000000" w:themeColor="text1"/>
                  <w:szCs w:val="24"/>
                  <w:u w:val="none"/>
                  <w:lang w:eastAsia="en-US"/>
                </w:rPr>
                <w:t>18</w:t>
              </w:r>
            </w:hyperlink>
            <w:r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>)</w:t>
            </w:r>
            <w:r w:rsidRPr="006E6922">
              <w:rPr>
                <w:rStyle w:val="Hyperlnk"/>
                <w:rFonts w:eastAsiaTheme="minorHAnsi"/>
                <w:color w:val="000000" w:themeColor="text1"/>
                <w:szCs w:val="24"/>
                <w:u w:val="none"/>
                <w:lang w:eastAsia="en-US"/>
              </w:rPr>
              <w:t xml:space="preserve"> och en presentation</w:t>
            </w:r>
            <w:r w:rsidRPr="006E6922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</w:t>
            </w:r>
            <w:r w:rsidRPr="00D614E9">
              <w:rPr>
                <w:rFonts w:eastAsiaTheme="minorHAnsi"/>
                <w:color w:val="000000"/>
                <w:szCs w:val="24"/>
                <w:lang w:eastAsia="en-US"/>
              </w:rPr>
              <w:t>(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dnr. </w:t>
            </w:r>
            <w:proofErr w:type="gramStart"/>
            <w:r w:rsidR="008D0745">
              <w:t>855-2021</w:t>
            </w:r>
            <w:proofErr w:type="gramEnd"/>
            <w:r w:rsidR="008D0745">
              <w:t>/22</w:t>
            </w:r>
            <w:r>
              <w:t>)</w:t>
            </w:r>
            <w:r w:rsidR="008D0745">
              <w:t>.</w:t>
            </w:r>
          </w:p>
          <w:p w14:paraId="3C12C278" w14:textId="77777777" w:rsidR="006E6922" w:rsidRDefault="006E6922" w:rsidP="006E6922">
            <w:pPr>
              <w:outlineLvl w:val="0"/>
              <w:rPr>
                <w:bCs/>
                <w:szCs w:val="24"/>
              </w:rPr>
            </w:pPr>
          </w:p>
          <w:p w14:paraId="36BB50EF" w14:textId="3F95718F" w:rsidR="006E6922" w:rsidRDefault="006E6922" w:rsidP="006E6922">
            <w:pPr>
              <w:outlineLvl w:val="0"/>
              <w:rPr>
                <w:bCs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Stats</w:t>
            </w:r>
            <w:r w:rsidR="00185C70">
              <w:rPr>
                <w:rFonts w:eastAsiaTheme="minorHAnsi"/>
                <w:color w:val="000000"/>
                <w:szCs w:val="24"/>
                <w:lang w:eastAsia="en-US"/>
              </w:rPr>
              <w:t>rådet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542CC6">
              <w:rPr>
                <w:bCs/>
                <w:szCs w:val="24"/>
              </w:rPr>
              <w:t>redogjorde för regeringens ståndpunkt</w:t>
            </w:r>
            <w:r>
              <w:rPr>
                <w:bCs/>
                <w:szCs w:val="24"/>
              </w:rPr>
              <w:t xml:space="preserve"> i enlighet med fakta-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promemorian: </w:t>
            </w:r>
          </w:p>
          <w:p w14:paraId="4B1CA469" w14:textId="77777777" w:rsidR="006E6922" w:rsidRPr="006E6922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Välkapitaliserade och motståndskraftiga banker är viktigt för att värna den</w:t>
            </w:r>
          </w:p>
          <w:p w14:paraId="24DC23D7" w14:textId="77777777" w:rsidR="006E6922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 xml:space="preserve">finansiella stabiliteten. </w:t>
            </w:r>
          </w:p>
          <w:p w14:paraId="2C57C4D3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förespråkar kapitalkrav som speglar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riskern</w:t>
            </w:r>
            <w:r>
              <w:rPr>
                <w:bCs/>
                <w:szCs w:val="24"/>
              </w:rPr>
              <w:t>a</w:t>
            </w:r>
            <w:r w:rsidRPr="006E6922">
              <w:rPr>
                <w:bCs/>
                <w:szCs w:val="24"/>
              </w:rPr>
              <w:t xml:space="preserve"> i bankernas verksamheter.</w:t>
            </w:r>
          </w:p>
          <w:p w14:paraId="3E26A4B3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välkomnar att internationella överenskommelser genomförs i</w:t>
            </w:r>
          </w:p>
          <w:p w14:paraId="6B893CE5" w14:textId="77777777" w:rsidR="006E6922" w:rsidRPr="006E6922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EU:s kapitaltäckningsregelverk. Detta skapar förutsättningar för likvärdiga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villkor för banker både inom och utanför EU. Stärkt riskkänslighet i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schablonmetoderna och ett golvkrav för riskvägda tillgångar kan bidra till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internationellt tillförlitliga kapitalkrav som speglar riskerna i bankernas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verksamheter.</w:t>
            </w:r>
          </w:p>
          <w:p w14:paraId="0AF1FD2E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anser att specifika EU-förhållanden bör beaktas när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Basel</w:t>
            </w:r>
            <w:r>
              <w:rPr>
                <w:bCs/>
                <w:szCs w:val="24"/>
              </w:rPr>
              <w:t>-</w:t>
            </w:r>
            <w:r w:rsidRPr="006E6922">
              <w:rPr>
                <w:bCs/>
                <w:szCs w:val="24"/>
              </w:rPr>
              <w:t>överenskommelsen genomförs i EU:s regelverk. Banker har en viktig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roll som kreditförmedlare till hushåll och företag, och regeringen anser att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det är angeläget att Baselöverenskommelsen genomförs på ett sätt som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säkerställer att en välfungerande kreditgivning kan upprätthållas i Sverige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och som undviker oavsedda och oproportionerliga effekter för banksektorn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och den bredare samhällsekonomin. Regeringen kommer därför att verka för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 xml:space="preserve">att Baselöverenskommelsen ska genomföras i enlighet med </w:t>
            </w:r>
            <w:proofErr w:type="spellStart"/>
            <w:r w:rsidRPr="006E6922">
              <w:rPr>
                <w:bCs/>
                <w:szCs w:val="24"/>
              </w:rPr>
              <w:t>Ekofin</w:t>
            </w:r>
            <w:proofErr w:type="spellEnd"/>
            <w:r>
              <w:rPr>
                <w:bCs/>
                <w:szCs w:val="24"/>
              </w:rPr>
              <w:t>-</w:t>
            </w:r>
            <w:r w:rsidRPr="006E6922">
              <w:rPr>
                <w:bCs/>
                <w:szCs w:val="24"/>
              </w:rPr>
              <w:t>rådets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slutsatser.</w:t>
            </w:r>
          </w:p>
          <w:p w14:paraId="008A750D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är pådrivande för att skapa en hållbar finansmarknad inom EU</w:t>
            </w:r>
          </w:p>
          <w:p w14:paraId="5AB9350F" w14:textId="77777777" w:rsidR="006E6922" w:rsidRPr="006E6922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och i det syftet tydligt integrera hållbarhetsrisker i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kapitaltäcknings</w:t>
            </w:r>
            <w:r>
              <w:rPr>
                <w:bCs/>
                <w:szCs w:val="24"/>
              </w:rPr>
              <w:t>-</w:t>
            </w:r>
            <w:r w:rsidRPr="006E6922">
              <w:rPr>
                <w:bCs/>
                <w:szCs w:val="24"/>
              </w:rPr>
              <w:t>regelverket.</w:t>
            </w:r>
          </w:p>
          <w:p w14:paraId="0E356947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är positiv till att bankernas motståndskraft mot operativa risker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stärks.</w:t>
            </w:r>
          </w:p>
          <w:p w14:paraId="32148C28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förespråkar ett proportionerligt och ändamålsenligt regelverk</w:t>
            </w:r>
          </w:p>
          <w:p w14:paraId="59519952" w14:textId="77777777" w:rsidR="006E6922" w:rsidRPr="006E6922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som beaktar administrativ börda för såväl myndigheter som banker, inte</w:t>
            </w:r>
          </w:p>
          <w:p w14:paraId="2A73C0DF" w14:textId="77777777" w:rsidR="006E6922" w:rsidRPr="006E6922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minst små banker. Mot bakgrund av Sveriges budgetrestriktiva hållning ska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Sverige agera för att förslagets ekonomiska konsekvenser begränsas både för</w:t>
            </w:r>
            <w:r>
              <w:rPr>
                <w:bCs/>
                <w:szCs w:val="24"/>
              </w:rPr>
              <w:t xml:space="preserve"> </w:t>
            </w:r>
            <w:r w:rsidRPr="006E6922">
              <w:rPr>
                <w:bCs/>
                <w:szCs w:val="24"/>
              </w:rPr>
              <w:t>statens budget och EU-budgeten.</w:t>
            </w:r>
          </w:p>
          <w:p w14:paraId="35BAFBEF" w14:textId="77777777" w:rsidR="006E6922" w:rsidRPr="006E6922" w:rsidRDefault="006E6922" w:rsidP="006E6922">
            <w:pPr>
              <w:spacing w:before="120"/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t>Regeringen är positiv till förslaget om avdrag för indirekt innehav i vissa</w:t>
            </w:r>
          </w:p>
          <w:p w14:paraId="615FE041" w14:textId="77777777" w:rsidR="006E6922" w:rsidRPr="00EB1CEB" w:rsidRDefault="006E6922" w:rsidP="006E6922">
            <w:pPr>
              <w:ind w:left="340"/>
              <w:jc w:val="both"/>
              <w:outlineLvl w:val="0"/>
              <w:rPr>
                <w:bCs/>
                <w:szCs w:val="24"/>
              </w:rPr>
            </w:pPr>
            <w:r w:rsidRPr="006E6922">
              <w:rPr>
                <w:bCs/>
                <w:szCs w:val="24"/>
              </w:rPr>
              <w:lastRenderedPageBreak/>
              <w:t>instrument och skuldposter och tydliggörandet om kravet på kapitalbas och</w:t>
            </w:r>
            <w:r>
              <w:rPr>
                <w:bCs/>
                <w:szCs w:val="24"/>
              </w:rPr>
              <w:t xml:space="preserve"> </w:t>
            </w:r>
          </w:p>
          <w:p w14:paraId="362B150D" w14:textId="77777777" w:rsidR="006E6922" w:rsidRPr="006E6922" w:rsidRDefault="006E6922" w:rsidP="006E6922">
            <w:pPr>
              <w:ind w:left="340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E6922">
              <w:rPr>
                <w:rFonts w:eastAsiaTheme="minorHAnsi"/>
                <w:color w:val="000000"/>
                <w:szCs w:val="24"/>
                <w:lang w:eastAsia="en-US"/>
              </w:rPr>
              <w:t>kvalificerade skulder för vissa globalt systemviktiga institut. Detta skapar</w:t>
            </w:r>
          </w:p>
          <w:p w14:paraId="2DD35BBB" w14:textId="77777777" w:rsidR="00C56EDB" w:rsidRDefault="006E6922" w:rsidP="006E6922">
            <w:pPr>
              <w:ind w:left="340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E6922">
              <w:rPr>
                <w:rFonts w:eastAsiaTheme="minorHAnsi"/>
                <w:color w:val="000000"/>
                <w:szCs w:val="24"/>
                <w:lang w:eastAsia="en-US"/>
              </w:rPr>
              <w:t>förutsättningar för ett ändamålsenligt regelverk.</w:t>
            </w:r>
          </w:p>
          <w:p w14:paraId="2072DDC4" w14:textId="77777777" w:rsidR="006E6922" w:rsidRDefault="006E6922" w:rsidP="006E6922">
            <w:pPr>
              <w:ind w:left="340"/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1B270F5" w14:textId="77777777" w:rsidR="006E6922" w:rsidRPr="0090138D" w:rsidRDefault="006E6922" w:rsidP="006E6922">
            <w:pPr>
              <w:outlineLvl w:val="0"/>
            </w:pPr>
            <w:r>
              <w:t xml:space="preserve">Ordföranden konstaterade att det fanns stöd för den redovisade ståndpunkten.  </w:t>
            </w:r>
          </w:p>
          <w:p w14:paraId="65A44F27" w14:textId="77777777" w:rsidR="006E6922" w:rsidRDefault="006E6922" w:rsidP="006E6922"/>
          <w:p w14:paraId="6B7D7796" w14:textId="633243C7" w:rsidR="006E6922" w:rsidRDefault="006E6922" w:rsidP="006E6922">
            <w:pPr>
              <w:rPr>
                <w:sz w:val="22"/>
              </w:rPr>
            </w:pPr>
            <w:bookmarkStart w:id="2" w:name="_Hlk90301533"/>
            <w:r>
              <w:t xml:space="preserve">Avvikande ståndpunkt anmäldes av V-ledamoten som ansåg att det s.k. golvkravet för riskvägda tillgångar ska ligga på 90 procent och att det ska vara en minimiförordning för att högre kapitalkrav ska kunna ställas i olika medlemsstater. </w:t>
            </w:r>
          </w:p>
          <w:bookmarkEnd w:id="2"/>
          <w:p w14:paraId="4761AF53" w14:textId="77777777" w:rsidR="00C56EDB" w:rsidRDefault="00C56EDB" w:rsidP="006E6922">
            <w:pPr>
              <w:outlineLvl w:val="0"/>
              <w:rPr>
                <w:b/>
              </w:rPr>
            </w:pPr>
          </w:p>
        </w:tc>
      </w:tr>
      <w:tr w:rsidR="00C56EDB" w14:paraId="688C3A6D" w14:textId="77777777" w:rsidTr="008035C8">
        <w:tc>
          <w:tcPr>
            <w:tcW w:w="567" w:type="dxa"/>
          </w:tcPr>
          <w:p w14:paraId="712336AA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2</w:t>
            </w:r>
          </w:p>
        </w:tc>
        <w:tc>
          <w:tcPr>
            <w:tcW w:w="7655" w:type="dxa"/>
          </w:tcPr>
          <w:p w14:paraId="6EF50A9F" w14:textId="77777777" w:rsidR="006E6922" w:rsidRDefault="00C56EDB" w:rsidP="006E6922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Taxonomin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Finansmarknadsminister Max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</w:t>
            </w:r>
            <w:r w:rsid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 utskottet om EU:s </w:t>
            </w:r>
            <w:r w:rsidR="008D0745">
              <w:rPr>
                <w:rFonts w:eastAsiaTheme="minorHAnsi"/>
                <w:color w:val="000000"/>
                <w:szCs w:val="24"/>
                <w:lang w:eastAsia="en-US"/>
              </w:rPr>
              <w:t>t</w:t>
            </w:r>
            <w:r w:rsid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axonomi och svarade på ledamöternas frågor. </w:t>
            </w:r>
          </w:p>
          <w:p w14:paraId="49A56122" w14:textId="77777777" w:rsidR="00C56EDB" w:rsidRDefault="00C56EDB" w:rsidP="005E70F9">
            <w:pPr>
              <w:outlineLvl w:val="0"/>
              <w:rPr>
                <w:b/>
              </w:rPr>
            </w:pPr>
          </w:p>
        </w:tc>
      </w:tr>
      <w:tr w:rsidR="00C56EDB" w14:paraId="0A04D556" w14:textId="77777777" w:rsidTr="008035C8">
        <w:tc>
          <w:tcPr>
            <w:tcW w:w="567" w:type="dxa"/>
          </w:tcPr>
          <w:p w14:paraId="66AA6912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28DD2F2" w14:textId="77777777" w:rsidR="00C56EDB" w:rsidRDefault="00C56ED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D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en svenska planen för återhämtning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resiliens</w:t>
            </w:r>
            <w:proofErr w:type="spellEnd"/>
          </w:p>
          <w:p w14:paraId="05E26DFA" w14:textId="77777777" w:rsidR="00C56EDB" w:rsidRPr="006E6922" w:rsidRDefault="00C56ED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E6922">
              <w:rPr>
                <w:rFonts w:eastAsiaTheme="minorHAnsi"/>
                <w:color w:val="000000"/>
                <w:szCs w:val="24"/>
                <w:lang w:eastAsia="en-US"/>
              </w:rPr>
              <w:t>Finansminister Mikael Damberg informerade</w:t>
            </w:r>
            <w:r w:rsidR="0085458C" w:rsidRP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 utskottet </w:t>
            </w:r>
            <w:r w:rsidR="006E6922" w:rsidRP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="006E6922" w:rsidRPr="006E6922">
              <w:rPr>
                <w:rFonts w:eastAsiaTheme="minorHAnsi"/>
                <w:bCs/>
                <w:color w:val="000000"/>
                <w:szCs w:val="22"/>
                <w:lang w:eastAsia="en-US"/>
              </w:rPr>
              <w:t>d</w:t>
            </w:r>
            <w:r w:rsidR="006E6922" w:rsidRPr="006E692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svenska planen för återhämtning och </w:t>
            </w:r>
            <w:proofErr w:type="spellStart"/>
            <w:r w:rsidR="006E6922" w:rsidRPr="006E6922">
              <w:rPr>
                <w:rFonts w:eastAsiaTheme="minorHAnsi"/>
                <w:bCs/>
                <w:color w:val="000000"/>
                <w:szCs w:val="24"/>
                <w:lang w:eastAsia="en-US"/>
              </w:rPr>
              <w:t>resiliens</w:t>
            </w:r>
            <w:proofErr w:type="spellEnd"/>
            <w:r w:rsidR="006E692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85458C">
              <w:rPr>
                <w:rFonts w:eastAsiaTheme="minorHAnsi"/>
                <w:color w:val="000000"/>
                <w:szCs w:val="24"/>
                <w:lang w:eastAsia="en-US"/>
              </w:rPr>
              <w:t xml:space="preserve">och svarade på ledamöternas frågor. </w:t>
            </w:r>
          </w:p>
          <w:p w14:paraId="5AA1BE0D" w14:textId="77777777" w:rsidR="00C56EDB" w:rsidRDefault="00C56EDB" w:rsidP="005E70F9">
            <w:pPr>
              <w:outlineLvl w:val="0"/>
              <w:rPr>
                <w:b/>
              </w:rPr>
            </w:pPr>
          </w:p>
        </w:tc>
      </w:tr>
      <w:tr w:rsidR="00C56EDB" w14:paraId="2FA923A3" w14:textId="77777777" w:rsidTr="008035C8">
        <w:tc>
          <w:tcPr>
            <w:tcW w:w="567" w:type="dxa"/>
          </w:tcPr>
          <w:p w14:paraId="76790B32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1CAF7DE5" w14:textId="77777777" w:rsidR="00C56EDB" w:rsidRDefault="00C56EDB" w:rsidP="005E70F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Fortsatta stödåtgärder med anledning av </w:t>
            </w:r>
            <w:proofErr w:type="spellStart"/>
            <w:r>
              <w:rPr>
                <w:b/>
                <w:bCs/>
              </w:rPr>
              <w:t>coronapandemin</w:t>
            </w:r>
            <w:proofErr w:type="spellEnd"/>
          </w:p>
          <w:p w14:paraId="137D7011" w14:textId="77777777" w:rsidR="0085458C" w:rsidRPr="006E6922" w:rsidRDefault="00C56EDB" w:rsidP="0085458C">
            <w:pPr>
              <w:outlineLvl w:val="0"/>
              <w:rPr>
                <w:bCs/>
              </w:rPr>
            </w:pPr>
            <w:r w:rsidRPr="00C56EDB">
              <w:t>Finansminister Mikael Damberg</w:t>
            </w:r>
            <w: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informerade</w:t>
            </w:r>
            <w:r w:rsidR="0085458C">
              <w:rPr>
                <w:rFonts w:eastAsiaTheme="minorHAnsi"/>
                <w:color w:val="000000"/>
                <w:szCs w:val="24"/>
                <w:lang w:eastAsia="en-US"/>
              </w:rPr>
              <w:t xml:space="preserve"> utskottet </w:t>
            </w:r>
            <w:r w:rsidR="006E6922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="006E6922">
              <w:rPr>
                <w:bCs/>
              </w:rPr>
              <w:t>f</w:t>
            </w:r>
            <w:r w:rsidR="006E6922" w:rsidRPr="006E6922">
              <w:rPr>
                <w:bCs/>
              </w:rPr>
              <w:t>ortsatta stöd</w:t>
            </w:r>
            <w:r w:rsidR="006E6922">
              <w:rPr>
                <w:bCs/>
              </w:rPr>
              <w:t>-</w:t>
            </w:r>
            <w:r w:rsidR="006E6922" w:rsidRPr="006E6922">
              <w:rPr>
                <w:bCs/>
              </w:rPr>
              <w:t xml:space="preserve">åtgärder med anledning av </w:t>
            </w:r>
            <w:proofErr w:type="spellStart"/>
            <w:r w:rsidR="006E6922" w:rsidRPr="006E6922">
              <w:rPr>
                <w:bCs/>
              </w:rPr>
              <w:t>coronapandemin</w:t>
            </w:r>
            <w:proofErr w:type="spellEnd"/>
            <w:r w:rsidR="006E6922">
              <w:rPr>
                <w:bCs/>
              </w:rPr>
              <w:t xml:space="preserve"> </w:t>
            </w:r>
            <w:r w:rsidR="0085458C">
              <w:rPr>
                <w:rFonts w:eastAsiaTheme="minorHAnsi"/>
                <w:color w:val="000000"/>
                <w:szCs w:val="24"/>
                <w:lang w:eastAsia="en-US"/>
              </w:rPr>
              <w:t xml:space="preserve">och svarade på ledamöternas frågor. </w:t>
            </w:r>
          </w:p>
          <w:p w14:paraId="4E4106A7" w14:textId="77777777" w:rsidR="00F0137B" w:rsidRDefault="00F0137B" w:rsidP="006E6922">
            <w:pPr>
              <w:outlineLvl w:val="0"/>
              <w:rPr>
                <w:b/>
              </w:rPr>
            </w:pPr>
          </w:p>
        </w:tc>
      </w:tr>
      <w:tr w:rsidR="006E6922" w14:paraId="1C9CB2E4" w14:textId="77777777" w:rsidTr="008035C8">
        <w:tc>
          <w:tcPr>
            <w:tcW w:w="567" w:type="dxa"/>
          </w:tcPr>
          <w:p w14:paraId="06C8FE6F" w14:textId="77777777" w:rsidR="006E6922" w:rsidRDefault="006E6922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67D5901C" w14:textId="77777777" w:rsidR="006E6922" w:rsidRPr="006E6922" w:rsidRDefault="006E6922" w:rsidP="006E6922">
            <w:pPr>
              <w:outlineLvl w:val="0"/>
              <w:rPr>
                <w:bCs/>
              </w:rPr>
            </w:pPr>
            <w:r w:rsidRPr="006E6922">
              <w:rPr>
                <w:b/>
                <w:bCs/>
              </w:rPr>
              <w:t>Sammanträde under arbetsplenum</w:t>
            </w:r>
            <w:r w:rsidRPr="006E6922">
              <w:rPr>
                <w:bCs/>
              </w:rPr>
              <w:br/>
              <w:t>Eftersom flera punkter på dagordningen återstod beslutade utskottet att sammanträda under arbetsplenum i kammaren.</w:t>
            </w:r>
          </w:p>
          <w:p w14:paraId="07066D53" w14:textId="77777777" w:rsidR="006E6922" w:rsidRDefault="006E6922" w:rsidP="00C56EDB">
            <w:pPr>
              <w:outlineLvl w:val="0"/>
              <w:rPr>
                <w:b/>
              </w:rPr>
            </w:pPr>
          </w:p>
        </w:tc>
      </w:tr>
      <w:tr w:rsidR="00C56EDB" w14:paraId="1B7FAFE4" w14:textId="77777777" w:rsidTr="008035C8">
        <w:tc>
          <w:tcPr>
            <w:tcW w:w="567" w:type="dxa"/>
          </w:tcPr>
          <w:p w14:paraId="42878EF9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6584BE7F" w14:textId="77777777" w:rsidR="00C56EDB" w:rsidRDefault="00C56EDB" w:rsidP="00C56EDB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14:paraId="308CF863" w14:textId="77777777" w:rsidR="00C56EDB" w:rsidRDefault="00C56EDB" w:rsidP="005E70F9">
            <w:pPr>
              <w:outlineLvl w:val="0"/>
            </w:pPr>
            <w:r w:rsidRPr="00C56EDB">
              <w:t>Utskottet justerade protokoll nr. 2021/22:</w:t>
            </w:r>
            <w:r>
              <w:t>22</w:t>
            </w:r>
            <w:r w:rsidR="008D0745">
              <w:t>.</w:t>
            </w:r>
          </w:p>
          <w:p w14:paraId="2B21B72C" w14:textId="77777777" w:rsidR="00C56EDB" w:rsidRDefault="00C56EDB" w:rsidP="005E70F9">
            <w:pPr>
              <w:outlineLvl w:val="0"/>
            </w:pPr>
          </w:p>
          <w:p w14:paraId="477CD838" w14:textId="77777777" w:rsidR="006E6922" w:rsidRPr="00C56EDB" w:rsidRDefault="006E6922" w:rsidP="005E70F9">
            <w:pPr>
              <w:outlineLvl w:val="0"/>
            </w:pPr>
          </w:p>
        </w:tc>
      </w:tr>
      <w:tr w:rsidR="00C56EDB" w14:paraId="0E68AF82" w14:textId="77777777" w:rsidTr="008035C8">
        <w:tc>
          <w:tcPr>
            <w:tcW w:w="567" w:type="dxa"/>
          </w:tcPr>
          <w:p w14:paraId="0C8B859D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5F918BF5" w14:textId="77777777" w:rsidR="00C56EDB" w:rsidRDefault="00C56EDB" w:rsidP="00C56EDB">
            <w:pPr>
              <w:outlineLvl w:val="0"/>
              <w:rPr>
                <w:b/>
                <w:bCs/>
              </w:rPr>
            </w:pPr>
            <w:r w:rsidRPr="00C56EDB">
              <w:rPr>
                <w:b/>
                <w:bCs/>
              </w:rPr>
              <w:t>Utgiftsområde 2 Samhällsekonomi och finansförvaltning (FiU2)</w:t>
            </w:r>
          </w:p>
          <w:p w14:paraId="6DB3317C" w14:textId="77777777" w:rsidR="006E6922" w:rsidRDefault="00C56EDB" w:rsidP="00C56ED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 och motioner.</w:t>
            </w:r>
          </w:p>
          <w:p w14:paraId="0E7E4914" w14:textId="77777777" w:rsidR="0011452B" w:rsidRPr="0011452B" w:rsidRDefault="0011452B" w:rsidP="00C56ED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DC62E74" w14:textId="77777777" w:rsidR="006E6922" w:rsidRDefault="006E6922" w:rsidP="006E6922">
            <w:pPr>
              <w:outlineLvl w:val="0"/>
            </w:pPr>
            <w:r w:rsidRPr="006E6922">
              <w:t>Utskottet justerade betänkande 2021/</w:t>
            </w:r>
            <w:proofErr w:type="gramStart"/>
            <w:r w:rsidRPr="006E6922">
              <w:t>22:FiU</w:t>
            </w:r>
            <w:proofErr w:type="gramEnd"/>
            <w:r>
              <w:t>2</w:t>
            </w:r>
            <w:r w:rsidR="0011452B">
              <w:t>.</w:t>
            </w:r>
          </w:p>
          <w:p w14:paraId="56F0D5BB" w14:textId="77777777" w:rsidR="0011452B" w:rsidRDefault="0011452B" w:rsidP="006E6922">
            <w:pPr>
              <w:outlineLvl w:val="0"/>
            </w:pPr>
          </w:p>
          <w:p w14:paraId="70444C9C" w14:textId="06399585" w:rsidR="0011452B" w:rsidRDefault="0011452B" w:rsidP="006E6922">
            <w:pPr>
              <w:outlineLvl w:val="0"/>
            </w:pPr>
            <w:r>
              <w:t xml:space="preserve">SD-ledamöterna anmälde reservation. </w:t>
            </w:r>
          </w:p>
          <w:p w14:paraId="073BE92C" w14:textId="77777777" w:rsidR="0011452B" w:rsidRPr="006E6922" w:rsidRDefault="0011452B" w:rsidP="006E6922">
            <w:pPr>
              <w:outlineLvl w:val="0"/>
            </w:pPr>
            <w:r>
              <w:t>C-, V- och L-ledamöterna anmälde särskilda yttranden.</w:t>
            </w:r>
          </w:p>
          <w:p w14:paraId="206CF110" w14:textId="77777777" w:rsidR="00C56EDB" w:rsidRDefault="00C56EDB" w:rsidP="005E70F9">
            <w:pPr>
              <w:outlineLvl w:val="0"/>
              <w:rPr>
                <w:b/>
              </w:rPr>
            </w:pPr>
          </w:p>
        </w:tc>
      </w:tr>
      <w:tr w:rsidR="00C56EDB" w14:paraId="787E6405" w14:textId="77777777" w:rsidTr="008035C8">
        <w:tc>
          <w:tcPr>
            <w:tcW w:w="567" w:type="dxa"/>
          </w:tcPr>
          <w:p w14:paraId="6121C6A5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67CE9F86" w14:textId="77777777" w:rsidR="00C56EDB" w:rsidRDefault="00C56ED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25 Allmänna bidrag till kommuner (FiU3)</w:t>
            </w:r>
          </w:p>
          <w:p w14:paraId="7CCAD3FB" w14:textId="77777777" w:rsidR="00C56EDB" w:rsidRDefault="00C56EDB" w:rsidP="00C56E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UO25 och motioner.</w:t>
            </w:r>
          </w:p>
          <w:p w14:paraId="0C335180" w14:textId="77777777" w:rsidR="00C56EDB" w:rsidRDefault="00C56ED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7CA6528" w14:textId="77777777" w:rsidR="00C56EDB" w:rsidRPr="006E6922" w:rsidRDefault="006E6922" w:rsidP="005E70F9">
            <w:pPr>
              <w:outlineLvl w:val="0"/>
            </w:pPr>
            <w:r w:rsidRPr="006E6922">
              <w:t>Utskottet justerade betänkande 2021/</w:t>
            </w:r>
            <w:proofErr w:type="gramStart"/>
            <w:r w:rsidRPr="006E6922">
              <w:t>22:FiU</w:t>
            </w:r>
            <w:proofErr w:type="gramEnd"/>
            <w:r w:rsidRPr="006E6922">
              <w:t>3</w:t>
            </w:r>
            <w:r w:rsidR="0011452B">
              <w:t>.</w:t>
            </w:r>
          </w:p>
          <w:p w14:paraId="1A977837" w14:textId="77777777" w:rsidR="0011452B" w:rsidRDefault="0011452B" w:rsidP="005E70F9">
            <w:pPr>
              <w:outlineLvl w:val="0"/>
              <w:rPr>
                <w:sz w:val="19"/>
                <w:szCs w:val="19"/>
              </w:rPr>
            </w:pPr>
          </w:p>
          <w:p w14:paraId="3FEB90CD" w14:textId="77777777" w:rsidR="006E6922" w:rsidRPr="0011452B" w:rsidRDefault="0011452B" w:rsidP="005E70F9">
            <w:pPr>
              <w:outlineLvl w:val="0"/>
            </w:pPr>
            <w:r w:rsidRPr="0011452B">
              <w:t xml:space="preserve">S-, C-, V-, L- och MP-ledamöterna </w:t>
            </w:r>
            <w:r>
              <w:t>anmälde särskilda yttranden.</w:t>
            </w:r>
          </w:p>
          <w:p w14:paraId="4B1ED280" w14:textId="77777777" w:rsidR="0011452B" w:rsidRDefault="0011452B" w:rsidP="005E70F9">
            <w:pPr>
              <w:outlineLvl w:val="0"/>
              <w:rPr>
                <w:b/>
              </w:rPr>
            </w:pPr>
          </w:p>
        </w:tc>
      </w:tr>
      <w:tr w:rsidR="00EB3944" w14:paraId="1C0E579E" w14:textId="77777777" w:rsidTr="008035C8">
        <w:tc>
          <w:tcPr>
            <w:tcW w:w="567" w:type="dxa"/>
          </w:tcPr>
          <w:p w14:paraId="23D006C2" w14:textId="77777777" w:rsidR="00EB3944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7EA00C86" w14:textId="77777777" w:rsidR="00C56EDB" w:rsidRDefault="00C56EDB" w:rsidP="00C56E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26 Statsskuldsräntor m.m. (FiU4)</w:t>
            </w:r>
          </w:p>
          <w:p w14:paraId="5D0D7EE4" w14:textId="77777777" w:rsidR="00C56EDB" w:rsidRDefault="00C56EDB" w:rsidP="00C56E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UO26.</w:t>
            </w:r>
          </w:p>
          <w:p w14:paraId="69C9E7BD" w14:textId="77777777" w:rsidR="006E6922" w:rsidRDefault="006E6922" w:rsidP="00C56E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1CC219E" w14:textId="77777777" w:rsidR="006E6922" w:rsidRPr="006E6922" w:rsidRDefault="006E6922" w:rsidP="006E6922">
            <w:pPr>
              <w:outlineLvl w:val="0"/>
            </w:pPr>
            <w:r w:rsidRPr="006E6922">
              <w:t>Utskottet justerade betänkande 2021/</w:t>
            </w:r>
            <w:proofErr w:type="gramStart"/>
            <w:r w:rsidRPr="006E6922">
              <w:t>22:FiU</w:t>
            </w:r>
            <w:proofErr w:type="gramEnd"/>
            <w:r>
              <w:t>4</w:t>
            </w:r>
            <w:r w:rsidR="0011452B">
              <w:t>.</w:t>
            </w:r>
          </w:p>
          <w:p w14:paraId="0F3269B7" w14:textId="77777777" w:rsidR="00C56EDB" w:rsidRDefault="00C56EDB" w:rsidP="00C56EDB">
            <w:pPr>
              <w:outlineLvl w:val="0"/>
              <w:rPr>
                <w:b/>
              </w:rPr>
            </w:pPr>
          </w:p>
        </w:tc>
      </w:tr>
      <w:tr w:rsidR="00C15B79" w14:paraId="6B0197BA" w14:textId="77777777" w:rsidTr="008035C8">
        <w:tc>
          <w:tcPr>
            <w:tcW w:w="567" w:type="dxa"/>
          </w:tcPr>
          <w:p w14:paraId="6D441379" w14:textId="77777777"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56EDB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67AC094F" w14:textId="77777777" w:rsidR="00C56EDB" w:rsidRDefault="00C56EDB" w:rsidP="00C56EDB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C56EDB">
              <w:rPr>
                <w:b/>
                <w:bCs/>
                <w:color w:val="000000"/>
                <w:sz w:val="22"/>
                <w:szCs w:val="22"/>
              </w:rPr>
              <w:t>Utgiftsområde 27 Avgiften till Europeiska unionen (FiU5)</w:t>
            </w:r>
          </w:p>
          <w:p w14:paraId="4DEDFB62" w14:textId="77777777" w:rsidR="00C56EDB" w:rsidRDefault="00C56EDB" w:rsidP="00C56E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2021/22:1 UO27 och motioner.</w:t>
            </w:r>
          </w:p>
          <w:p w14:paraId="3DD1B6B8" w14:textId="77777777" w:rsidR="006E6922" w:rsidRDefault="006E6922" w:rsidP="00C56E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15B7BB3" w14:textId="77777777" w:rsidR="006E6922" w:rsidRDefault="006E6922" w:rsidP="006E6922">
            <w:pPr>
              <w:outlineLvl w:val="0"/>
            </w:pPr>
            <w:r w:rsidRPr="006E6922">
              <w:t>Utskottet justerade betänkande 2021/</w:t>
            </w:r>
            <w:proofErr w:type="gramStart"/>
            <w:r w:rsidRPr="006E6922">
              <w:t>22:FiU</w:t>
            </w:r>
            <w:proofErr w:type="gramEnd"/>
            <w:r>
              <w:t>5</w:t>
            </w:r>
            <w:r w:rsidR="0011452B">
              <w:t>.</w:t>
            </w:r>
          </w:p>
          <w:p w14:paraId="1DA5471D" w14:textId="77777777" w:rsidR="0011452B" w:rsidRDefault="0011452B" w:rsidP="006E6922">
            <w:pPr>
              <w:outlineLvl w:val="0"/>
              <w:rPr>
                <w:sz w:val="19"/>
                <w:szCs w:val="19"/>
              </w:rPr>
            </w:pPr>
          </w:p>
          <w:p w14:paraId="68A5E924" w14:textId="77777777" w:rsidR="0011452B" w:rsidRPr="0011452B" w:rsidRDefault="0011452B" w:rsidP="006E6922">
            <w:pPr>
              <w:outlineLvl w:val="0"/>
            </w:pPr>
            <w:r w:rsidRPr="0011452B">
              <w:t xml:space="preserve">C-och L-ledamöterna anmälde reservationer. </w:t>
            </w:r>
          </w:p>
          <w:p w14:paraId="3FEE0077" w14:textId="77777777" w:rsidR="0011452B" w:rsidRPr="006E6922" w:rsidRDefault="0011452B" w:rsidP="006E6922">
            <w:pPr>
              <w:outlineLvl w:val="0"/>
            </w:pPr>
            <w:r w:rsidRPr="0011452B">
              <w:t>V-ledamoten anmälde ett särskilt yttrande.</w:t>
            </w:r>
          </w:p>
          <w:p w14:paraId="2894AEC6" w14:textId="77777777" w:rsidR="005E70F9" w:rsidRPr="0002748E" w:rsidRDefault="005E70F9" w:rsidP="00C56EDB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56EDB" w14:paraId="597E7A33" w14:textId="77777777" w:rsidTr="008035C8">
        <w:tc>
          <w:tcPr>
            <w:tcW w:w="567" w:type="dxa"/>
          </w:tcPr>
          <w:p w14:paraId="3726A472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7655" w:type="dxa"/>
          </w:tcPr>
          <w:p w14:paraId="607F7637" w14:textId="77777777" w:rsidR="00C56EDB" w:rsidRDefault="00C56EDB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En möjlighet för vissa försäkringsföreningar att tillämpa anpassade rörelseregler (FiU35)</w:t>
            </w:r>
          </w:p>
          <w:p w14:paraId="14E6FCCA" w14:textId="77777777" w:rsidR="00C56EDB" w:rsidRDefault="00C56EDB" w:rsidP="00C56E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prop. 2021/22:37.</w:t>
            </w:r>
          </w:p>
          <w:p w14:paraId="7C7C9EEE" w14:textId="77777777" w:rsidR="006E6922" w:rsidRDefault="006E6922" w:rsidP="006E6922">
            <w:pPr>
              <w:outlineLvl w:val="0"/>
            </w:pPr>
          </w:p>
          <w:p w14:paraId="53EA1096" w14:textId="77777777" w:rsidR="006E6922" w:rsidRPr="006E6922" w:rsidRDefault="006E6922" w:rsidP="006E6922">
            <w:pPr>
              <w:outlineLvl w:val="0"/>
            </w:pPr>
            <w:r w:rsidRPr="006E6922">
              <w:t>Utskottet justerade betänkande 2021/</w:t>
            </w:r>
            <w:proofErr w:type="gramStart"/>
            <w:r w:rsidRPr="006E6922">
              <w:t>22:FiU</w:t>
            </w:r>
            <w:proofErr w:type="gramEnd"/>
            <w:r w:rsidRPr="006E6922">
              <w:t>3</w:t>
            </w:r>
            <w:r>
              <w:t>5</w:t>
            </w:r>
            <w:r w:rsidR="0011452B">
              <w:t>.</w:t>
            </w:r>
          </w:p>
          <w:p w14:paraId="558B3BB5" w14:textId="77777777" w:rsidR="00C56EDB" w:rsidRPr="00AD47F5" w:rsidRDefault="00C56EDB" w:rsidP="005E70F9">
            <w:pPr>
              <w:outlineLvl w:val="0"/>
              <w:rPr>
                <w:b/>
                <w:bCs/>
              </w:rPr>
            </w:pPr>
          </w:p>
        </w:tc>
      </w:tr>
      <w:tr w:rsidR="00C56EDB" w14:paraId="3EF966CE" w14:textId="77777777" w:rsidTr="008035C8">
        <w:tc>
          <w:tcPr>
            <w:tcW w:w="567" w:type="dxa"/>
          </w:tcPr>
          <w:p w14:paraId="6422E27F" w14:textId="77777777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655" w:type="dxa"/>
          </w:tcPr>
          <w:p w14:paraId="29581886" w14:textId="346FC38F" w:rsidR="00C56EDB" w:rsidRDefault="000C0266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direktiv </w:t>
            </w:r>
            <w:r w:rsidR="0061603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om </w:t>
            </w:r>
            <w:r w:rsidR="00C56ED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tillsynsregler för försäkrings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 w:rsidR="00C56ED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företag </w:t>
            </w:r>
          </w:p>
          <w:p w14:paraId="33B1A638" w14:textId="2A287C5B" w:rsidR="006E6922" w:rsidRDefault="00C56EDB" w:rsidP="006E6922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56ED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subsidiaritetsprövningen av </w:t>
            </w:r>
            <w:r w:rsidR="006E692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kommissionens förslag </w:t>
            </w:r>
            <w:r w:rsidR="002C3554">
              <w:t xml:space="preserve">till Europaparlamentets och rådets direktiv om ändring av direktiv vad gäller </w:t>
            </w:r>
            <w:r w:rsidR="002C3554" w:rsidRPr="00EC679F">
              <w:t>proportionalitet, tillsynskvalitet, rapportering, långsiktiga garantiåtgärder, makrotillsynsverktyg, hållbarhetsrisker, grupptillsyn och gränsöverskridande tillsyn</w:t>
            </w:r>
            <w:r w:rsidR="002C3554">
              <w:t xml:space="preserve">, </w:t>
            </w:r>
            <w:proofErr w:type="gramStart"/>
            <w:r w:rsidR="002C3554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="002C3554">
              <w:rPr>
                <w:rFonts w:eastAsiaTheme="minorHAnsi"/>
                <w:color w:val="000000"/>
                <w:szCs w:val="24"/>
                <w:lang w:eastAsia="en-US"/>
              </w:rPr>
              <w:t>2021) 581</w:t>
            </w:r>
            <w:r w:rsidR="006E336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41428E81" w14:textId="77777777" w:rsidR="006E6922" w:rsidRDefault="006E6922" w:rsidP="006E6922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161D4BD" w14:textId="60BF5506" w:rsidR="006E6922" w:rsidRDefault="006E6922" w:rsidP="006E6922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Utskottet ansåg att förslage</w:t>
            </w:r>
            <w:r w:rsidR="002C3554">
              <w:t>t</w:t>
            </w:r>
            <w:r>
              <w:t xml:space="preserve"> inte strider mot subsidiaritetsprincipen.</w:t>
            </w:r>
          </w:p>
          <w:p w14:paraId="112B2364" w14:textId="77777777" w:rsidR="00E7015B" w:rsidRPr="00AD47F5" w:rsidRDefault="00E7015B" w:rsidP="006E6922">
            <w:pPr>
              <w:outlineLvl w:val="0"/>
              <w:rPr>
                <w:b/>
                <w:bCs/>
              </w:rPr>
            </w:pPr>
          </w:p>
        </w:tc>
      </w:tr>
      <w:tr w:rsidR="002C3554" w14:paraId="3C0F785F" w14:textId="77777777" w:rsidTr="008035C8">
        <w:tc>
          <w:tcPr>
            <w:tcW w:w="567" w:type="dxa"/>
          </w:tcPr>
          <w:p w14:paraId="04BB9788" w14:textId="14EEDF77" w:rsidR="002C3554" w:rsidRDefault="002C355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655" w:type="dxa"/>
          </w:tcPr>
          <w:p w14:paraId="7F910C12" w14:textId="2E62F470" w:rsidR="002C3554" w:rsidRDefault="000C0266" w:rsidP="002C3554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direktiv </w:t>
            </w:r>
            <w:r w:rsidR="002C355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om ett nytt krishanteringsverktyg</w:t>
            </w:r>
          </w:p>
          <w:p w14:paraId="1452166B" w14:textId="631E7624" w:rsidR="002C3554" w:rsidRDefault="002C3554" w:rsidP="002C3554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56ED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inledde subsidiaritetsprövningen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kommissionens </w:t>
            </w:r>
            <w:r>
              <w:t xml:space="preserve">förslag till Europarådets och rådets direktiv om inrättande av en ram för återhämtning och resolution av försäkrings- och återförsäkringsföretag och om ändring av direktiv och förordningar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COM(2021) 582</w:t>
            </w:r>
            <w:r w:rsidR="006E336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C988F6A" w14:textId="77777777" w:rsidR="002C3554" w:rsidRDefault="002C3554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3C29DD0" w14:textId="272DA3CB" w:rsidR="002C3554" w:rsidRDefault="002C3554" w:rsidP="002C3554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t>Utskottet ansåg att förslaget inte strider mot subsidiaritetsprincipen.</w:t>
            </w:r>
          </w:p>
          <w:p w14:paraId="2BB0E35F" w14:textId="4A2D07FF" w:rsidR="002C3554" w:rsidRDefault="002C3554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56EDB" w14:paraId="5B3D3DAD" w14:textId="77777777" w:rsidTr="008035C8">
        <w:tc>
          <w:tcPr>
            <w:tcW w:w="567" w:type="dxa"/>
          </w:tcPr>
          <w:p w14:paraId="00E9BE83" w14:textId="2920CA9C" w:rsidR="00C56EDB" w:rsidRDefault="00C56ED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2C355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23E5A9E" w14:textId="77777777" w:rsidR="00C56EDB" w:rsidRDefault="00C56EDB" w:rsidP="005E70F9">
            <w:pPr>
              <w:outlineLvl w:val="0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Fråga om utskottsinitiativ om </w:t>
            </w:r>
            <w:r>
              <w:rPr>
                <w:b/>
                <w:bCs/>
              </w:rPr>
              <w:t xml:space="preserve">fortsatta stödåtgärder med anledning av </w:t>
            </w:r>
            <w:proofErr w:type="spellStart"/>
            <w:r>
              <w:rPr>
                <w:b/>
                <w:bCs/>
              </w:rPr>
              <w:t>coronapandemin</w:t>
            </w:r>
            <w:proofErr w:type="spellEnd"/>
          </w:p>
          <w:p w14:paraId="4D272DA0" w14:textId="77777777" w:rsidR="0011452B" w:rsidRDefault="0011452B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M-ledamöternas förslag till utskotts-initiativ. </w:t>
            </w:r>
          </w:p>
          <w:p w14:paraId="730E2A60" w14:textId="77777777" w:rsidR="0011452B" w:rsidRDefault="0011452B" w:rsidP="005E70F9">
            <w:pPr>
              <w:outlineLvl w:val="0"/>
              <w:rPr>
                <w:b/>
                <w:bCs/>
              </w:rPr>
            </w:pPr>
          </w:p>
          <w:p w14:paraId="017CA5E8" w14:textId="77777777" w:rsidR="0011452B" w:rsidRDefault="0011452B" w:rsidP="0011452B">
            <w:pPr>
              <w:outlineLvl w:val="0"/>
              <w:rPr>
                <w:bCs/>
              </w:rPr>
            </w:pPr>
            <w:r w:rsidRPr="0011452B">
              <w:rPr>
                <w:rFonts w:eastAsiaTheme="minorHAnsi"/>
                <w:color w:val="000000"/>
                <w:szCs w:val="24"/>
                <w:lang w:eastAsia="en-US"/>
              </w:rPr>
              <w:t>Med anledning av information som framkommit om stödåtgärder som avses vidtas (</w:t>
            </w:r>
            <w:r w:rsidRPr="0011452B">
              <w:rPr>
                <w:snapToGrid w:val="0"/>
              </w:rPr>
              <w:t>§ 4)</w:t>
            </w:r>
            <w:r>
              <w:rPr>
                <w:b/>
                <w:snapToGrid w:val="0"/>
              </w:rPr>
              <w:t xml:space="preserve"> </w:t>
            </w:r>
            <w:r w:rsidRPr="0011452B">
              <w:rPr>
                <w:rFonts w:eastAsiaTheme="minorHAnsi"/>
                <w:color w:val="000000"/>
                <w:szCs w:val="24"/>
                <w:lang w:eastAsia="en-US"/>
              </w:rPr>
              <w:t xml:space="preserve">beslutade utskottet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preliminärt att fortsätta behandlingen på ett sammanträde måndagen den 13 december.</w:t>
            </w:r>
          </w:p>
          <w:p w14:paraId="25F560AB" w14:textId="77777777" w:rsidR="0011452B" w:rsidRDefault="0011452B" w:rsidP="005E70F9">
            <w:pPr>
              <w:outlineLvl w:val="0"/>
              <w:rPr>
                <w:b/>
                <w:bCs/>
              </w:rPr>
            </w:pPr>
          </w:p>
          <w:p w14:paraId="518A3A1E" w14:textId="77777777" w:rsidR="0011452B" w:rsidRDefault="0011452B" w:rsidP="0011452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1452B">
              <w:rPr>
                <w:bCs/>
              </w:rPr>
              <w:t>Ärendet bordlades</w:t>
            </w:r>
            <w:r>
              <w:rPr>
                <w:bCs/>
              </w:rPr>
              <w:t xml:space="preserve">.  </w:t>
            </w:r>
          </w:p>
          <w:p w14:paraId="3EE46681" w14:textId="77777777" w:rsidR="0011452B" w:rsidRPr="0011452B" w:rsidRDefault="0011452B" w:rsidP="0011452B">
            <w:pPr>
              <w:outlineLvl w:val="0"/>
              <w:rPr>
                <w:bCs/>
              </w:rPr>
            </w:pPr>
          </w:p>
        </w:tc>
      </w:tr>
      <w:tr w:rsidR="00CD7E8B" w14:paraId="676A3972" w14:textId="77777777" w:rsidTr="00D12ED4">
        <w:trPr>
          <w:trHeight w:val="707"/>
        </w:trPr>
        <w:tc>
          <w:tcPr>
            <w:tcW w:w="567" w:type="dxa"/>
          </w:tcPr>
          <w:p w14:paraId="5773F561" w14:textId="7470F8C0" w:rsidR="00CD7E8B" w:rsidRDefault="00C56ED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2C355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16997AC9" w14:textId="77777777" w:rsidR="0011452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19081DC1" w14:textId="77777777" w:rsidR="00CD7E8B" w:rsidRPr="0011452B" w:rsidRDefault="0011452B" w:rsidP="00D021DB">
            <w:pPr>
              <w:outlineLvl w:val="0"/>
              <w:rPr>
                <w:bCs/>
              </w:rPr>
            </w:pPr>
            <w:r w:rsidRPr="0011452B">
              <w:rPr>
                <w:bCs/>
              </w:rPr>
              <w:t>Ev. måndag 13 december kl. 10.30</w:t>
            </w:r>
            <w:r>
              <w:rPr>
                <w:bCs/>
              </w:rPr>
              <w:t>.</w:t>
            </w:r>
            <w:r w:rsidR="0002748E" w:rsidRPr="0011452B">
              <w:rPr>
                <w:bCs/>
              </w:rPr>
              <w:br/>
            </w:r>
          </w:p>
        </w:tc>
      </w:tr>
      <w:tr w:rsidR="00D12ED4" w14:paraId="2DDDBBCB" w14:textId="77777777" w:rsidTr="008035C8">
        <w:tc>
          <w:tcPr>
            <w:tcW w:w="567" w:type="dxa"/>
          </w:tcPr>
          <w:p w14:paraId="712ABD6D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B1F7D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97D7C53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173CBE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09DDA00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4A3F57C" w14:textId="448914F6"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610D7EF2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5DCBEF24" w14:textId="77777777"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73A22120" w14:textId="77777777"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14:paraId="1C8EA63A" w14:textId="77777777" w:rsidTr="008035C8">
        <w:tc>
          <w:tcPr>
            <w:tcW w:w="8222" w:type="dxa"/>
            <w:gridSpan w:val="2"/>
          </w:tcPr>
          <w:p w14:paraId="2E7A1544" w14:textId="77777777" w:rsidR="002C538C" w:rsidRPr="00BD39D1" w:rsidRDefault="002C538C" w:rsidP="002C538C">
            <w:pPr>
              <w:outlineLvl w:val="0"/>
            </w:pPr>
          </w:p>
        </w:tc>
      </w:tr>
    </w:tbl>
    <w:p w14:paraId="278BAE5A" w14:textId="69F41E22" w:rsidR="000205F5" w:rsidRDefault="000205F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5534FB55" w14:textId="77777777" w:rsidR="000205F5" w:rsidRDefault="000205F5">
      <w:pPr>
        <w:widowControl/>
        <w:rPr>
          <w:sz w:val="20"/>
        </w:rPr>
      </w:pPr>
      <w:r>
        <w:rPr>
          <w:sz w:val="20"/>
        </w:rPr>
        <w:br w:type="page"/>
      </w:r>
    </w:p>
    <w:p w14:paraId="64E61658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  <w:bookmarkStart w:id="3" w:name="_GoBack"/>
      <w:bookmarkEnd w:id="3"/>
    </w:p>
    <w:p w14:paraId="6FBB2F44" w14:textId="77777777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C56EDB">
        <w:rPr>
          <w:sz w:val="22"/>
          <w:szCs w:val="22"/>
        </w:rPr>
        <w:t>23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480DF89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3331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E5E9CB" w14:textId="77777777" w:rsidR="004C6601" w:rsidRPr="000E151F" w:rsidRDefault="00F0137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E87C" w14:textId="77777777" w:rsidR="004C6601" w:rsidRPr="000E151F" w:rsidRDefault="001145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5-12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D1C9" w14:textId="67BDDE7A" w:rsidR="004C6601" w:rsidRPr="000E151F" w:rsidRDefault="0011452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§13-1</w:t>
            </w:r>
            <w:r w:rsidR="00836EF0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E5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A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9E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F84CC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C70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35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0A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69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6B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58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60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63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BD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30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3C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AB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16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1452B" w:rsidRPr="000E151F" w14:paraId="631F7C5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7C1C" w14:textId="77777777" w:rsidR="0011452B" w:rsidRPr="000E151F" w:rsidRDefault="0011452B" w:rsidP="0011452B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1F35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F05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53BD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1F1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19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7AC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DF5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F6C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CF0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921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3FD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E4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28A2A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194D" w14:textId="77777777" w:rsidR="0011452B" w:rsidRPr="000E151F" w:rsidRDefault="0011452B" w:rsidP="0011452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BB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8BD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9552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442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66E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D0F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98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10E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289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0B0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701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62E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180B870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2DD7" w14:textId="77777777" w:rsidR="0011452B" w:rsidRPr="000E151F" w:rsidRDefault="0011452B" w:rsidP="0011452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39B8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0C8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83B7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57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1F38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719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D4A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A48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4F5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B25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B4F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B5D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6CCE32F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8D2" w14:textId="77777777" w:rsidR="0011452B" w:rsidRPr="000E151F" w:rsidRDefault="0011452B" w:rsidP="0011452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CE25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419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800A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DF2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3ECE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11B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921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645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B9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4BF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658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AC5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1621E7B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1D00" w14:textId="77777777" w:rsidR="0011452B" w:rsidRPr="000E151F" w:rsidRDefault="0011452B" w:rsidP="0011452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58CC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751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7555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26A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C5EE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45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9E5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BEC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BB7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BDC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D38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EAC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0BF422A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767B" w14:textId="77777777" w:rsidR="0011452B" w:rsidRPr="000E151F" w:rsidRDefault="0011452B" w:rsidP="0011452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1118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995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6D5C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123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09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47E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DF1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CA3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EE7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D59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448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786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53D6AFF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F8C0" w14:textId="77777777" w:rsidR="0011452B" w:rsidRPr="000E151F" w:rsidRDefault="0011452B" w:rsidP="0011452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B68B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AF5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62F7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66B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2AD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71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23D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60D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113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72C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0EB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2EB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686F25F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B156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191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F8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27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C85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F8B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34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4D7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97D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C84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0AB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97F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345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30FAA8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4CCE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1FC7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DDD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BAE7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DBD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6D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E13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F01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9EE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3FF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7D8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C67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55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7181FE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50B8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6AC6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162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C969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828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716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706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007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D80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B6B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88B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4A8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7DB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6A9C9F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651E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0625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6F8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E084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0A9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EB4A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397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9B4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58E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426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256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465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6FB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008147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A515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DEA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DC0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11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1DA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AEF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403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12D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35D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9AF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434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D7E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DD0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759CA86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F055" w14:textId="77777777" w:rsidR="0011452B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DAF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1AE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0E71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E3B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A39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5AE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C30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DA7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781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166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0D3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C4E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15E45B4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62C0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0AB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B87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4FE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349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6F2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4E1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4B1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465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25B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9F9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193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EC6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53F6C73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722E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422E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8EB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D30E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BD9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D49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24C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06A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905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BCA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5B3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E7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6F1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78B3453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0DC7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56C0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B3D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A38F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9E5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069D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5F7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6AE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45F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B59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8AF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4AC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9A1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2FF4085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09C2" w14:textId="77777777" w:rsidR="0011452B" w:rsidRPr="000E151F" w:rsidRDefault="0011452B" w:rsidP="0011452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Schröder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DCD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3F6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024C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FA2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43CB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A13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302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E1D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E72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87E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B1F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CA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02748E" w:rsidRPr="000E151F" w14:paraId="562C42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B922" w14:textId="77777777"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1F8C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21AA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4E81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52E0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3511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90E9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1C46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9D57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12CF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60F2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0445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BB8A" w14:textId="77777777"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14:paraId="5A08C25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3A02" w14:textId="77777777"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5C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25D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16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AA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52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05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55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8F7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AA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CA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D4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EC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1452B" w:rsidRPr="000E151F" w14:paraId="390E16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78E7" w14:textId="77777777" w:rsidR="0011452B" w:rsidRPr="000E151F" w:rsidRDefault="0011452B" w:rsidP="0011452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E6D8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DDC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4DE4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0BA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E29D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B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5DD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864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3FD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1AD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120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12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71165D8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AB1F" w14:textId="77777777" w:rsidR="0011452B" w:rsidRPr="000E151F" w:rsidRDefault="0011452B" w:rsidP="0011452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A465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925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FF9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5D0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D31F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369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E8B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91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A0C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50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7DA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61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22FC44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590A" w14:textId="77777777" w:rsidR="0011452B" w:rsidRPr="000E151F" w:rsidRDefault="0011452B" w:rsidP="001145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7E3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FCE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945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C18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0B2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85B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1C3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511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902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71C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977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BF5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3429722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F2DF" w14:textId="77777777" w:rsidR="0011452B" w:rsidRPr="000E151F" w:rsidRDefault="0011452B" w:rsidP="001145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394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C0E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C6D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020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34F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C0D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110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2F9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F16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AB3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C41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DF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0F0CDEA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2F90" w14:textId="77777777" w:rsidR="0011452B" w:rsidRPr="000E151F" w:rsidRDefault="0011452B" w:rsidP="001145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88A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F9E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1C9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8DA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916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4CC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64A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AA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7D8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0CA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C2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3C8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35A020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D3A6" w14:textId="77777777" w:rsidR="0011452B" w:rsidRPr="000E151F" w:rsidRDefault="0011452B" w:rsidP="0011452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8F99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CA0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7816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90C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D3C7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1E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EEC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C9B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5CA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C9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70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230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4C6601" w:rsidRPr="000E151F" w14:paraId="629D09A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474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66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B2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AE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4D8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61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08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DC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06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E6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0C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E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D9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77AF46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4921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46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D8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DC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83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56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AB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57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C7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F7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3B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3A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7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FC9E14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E2D8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40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10E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E1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9F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9E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8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6DB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BC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9A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AD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A9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94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8D9876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830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75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C7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5F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34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E4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67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0D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F7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AA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9C7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4E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2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35055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D1F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F9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41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B4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B2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53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D6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61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D0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AB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34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0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D1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2C14E8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DE55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22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B4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6B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C1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01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24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FD0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A8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FD7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71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CF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A3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5B2E4F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21C0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B0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7CF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65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21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F3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B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6E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FE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7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03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0B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09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AF00E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14B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E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C5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BE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3F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8C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59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C7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F4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2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36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A7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F0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31373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7AAA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0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5D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CA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06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9D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EF8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5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9BD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5D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A2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36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81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600489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DDA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15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13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BE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86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15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60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ED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2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B0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5C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A2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13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D617D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9E0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FA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AB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87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EB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0C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32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74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1B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7F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07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45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65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6A5B82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E1BE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34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63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60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60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1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E3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34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2C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3A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2F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07A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D3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7B311C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E3F8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5E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C4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3C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7E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08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CC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F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0F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EA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A4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7D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B819F2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C85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DBF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7B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DB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E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667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BA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EC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C3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40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4D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63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59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AB079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9A1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7F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A5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29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12F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1E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A1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A1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D6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92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EE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B7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5B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976A50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F9EE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03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7E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38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7E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EA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5E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86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B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65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00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9D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184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EADD95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931F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F2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306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97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32A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3A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E4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B9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27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0A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EB8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DA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9FC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1452B" w:rsidRPr="000E151F" w14:paraId="7C98AAF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1F8C" w14:textId="77777777" w:rsidR="0011452B" w:rsidRPr="000E151F" w:rsidRDefault="0011452B" w:rsidP="0011452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Robert Halef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F0D21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B1E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CE8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3D6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77B2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D03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AA3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CAB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32D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145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0F2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BBF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21F96E0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4EE0" w14:textId="77777777" w:rsidR="0011452B" w:rsidRPr="000E151F" w:rsidRDefault="0011452B" w:rsidP="0011452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Falkhaven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A12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E40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D2D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E2E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1BA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5CF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548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E4D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7E8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790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F0C5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718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3FAD420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E327" w14:textId="77777777" w:rsidR="0011452B" w:rsidRPr="000E151F" w:rsidRDefault="0011452B" w:rsidP="0011452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47B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8E7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B07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75A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D4D3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62D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ABA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B3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F4B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EB5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5BA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DBBB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67BFE179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B60CE" w14:textId="77777777" w:rsidR="0011452B" w:rsidRDefault="0011452B" w:rsidP="0011452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DC39C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60C6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7290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EE35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35D1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7EE5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F3A0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2D24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9B83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C102E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B576F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A1C99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6F9DB08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891" w14:textId="77777777" w:rsidR="0011452B" w:rsidRDefault="0011452B" w:rsidP="0011452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04F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A2AF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D8F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B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A3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5A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18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28A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5F2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847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DA9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83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  <w:tr w:rsidR="0011452B" w:rsidRPr="000E151F" w14:paraId="36FF75A1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E92" w14:textId="77777777" w:rsidR="0011452B" w:rsidRDefault="0011452B" w:rsidP="0011452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1D3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AA1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732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8A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9AA" w14:textId="77777777" w:rsidR="0011452B" w:rsidRPr="000E151F" w:rsidRDefault="0011452B" w:rsidP="001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010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0D39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B28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0E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B7D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E74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9C6" w14:textId="77777777" w:rsidR="0011452B" w:rsidRPr="000E151F" w:rsidRDefault="0011452B" w:rsidP="0011452B">
            <w:pPr>
              <w:rPr>
                <w:sz w:val="22"/>
                <w:szCs w:val="22"/>
              </w:rPr>
            </w:pPr>
          </w:p>
        </w:tc>
      </w:tr>
    </w:tbl>
    <w:p w14:paraId="01506F58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05CC2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12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1C123" w14:textId="77777777" w:rsidR="007E0AB4" w:rsidRDefault="007E0AB4">
      <w:r>
        <w:separator/>
      </w:r>
    </w:p>
  </w:endnote>
  <w:endnote w:type="continuationSeparator" w:id="0">
    <w:p w14:paraId="278C7F90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B1391" w14:textId="77777777" w:rsidR="007E0AB4" w:rsidRDefault="007E0AB4">
      <w:r>
        <w:separator/>
      </w:r>
    </w:p>
  </w:footnote>
  <w:footnote w:type="continuationSeparator" w:id="0">
    <w:p w14:paraId="6B3A9473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5F10" w14:textId="77777777" w:rsidR="00C07F65" w:rsidRDefault="00C07F65" w:rsidP="00C07F65">
    <w:pPr>
      <w:pStyle w:val="Sidhuvud"/>
      <w:ind w:left="-567"/>
    </w:pPr>
    <w:bookmarkStart w:id="4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3111DCC8" wp14:editId="154FB236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316F6"/>
    <w:multiLevelType w:val="hybridMultilevel"/>
    <w:tmpl w:val="0D2214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F0D7C"/>
    <w:multiLevelType w:val="hybridMultilevel"/>
    <w:tmpl w:val="1E527D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05F5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0266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2B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85C70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837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3554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6038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3363"/>
    <w:rsid w:val="006E692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6EF0"/>
    <w:rsid w:val="00837D29"/>
    <w:rsid w:val="0084550B"/>
    <w:rsid w:val="0085458C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0745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6EDB"/>
    <w:rsid w:val="00C574FE"/>
    <w:rsid w:val="00C63961"/>
    <w:rsid w:val="00C64E6C"/>
    <w:rsid w:val="00C66E21"/>
    <w:rsid w:val="00C74946"/>
    <w:rsid w:val="00C76C7A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7015B"/>
    <w:rsid w:val="00E833F2"/>
    <w:rsid w:val="00E872C8"/>
    <w:rsid w:val="00E90B53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7B"/>
    <w:rsid w:val="00F013FB"/>
    <w:rsid w:val="00F04D3E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4:docId w14:val="67BA0B85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6E6922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6E6922"/>
  </w:style>
  <w:style w:type="character" w:styleId="Kommentarsreferens">
    <w:name w:val="annotation reference"/>
    <w:basedOn w:val="Standardstycketeckensnitt"/>
    <w:rsid w:val="00185C70"/>
    <w:rPr>
      <w:sz w:val="16"/>
      <w:szCs w:val="16"/>
    </w:rPr>
  </w:style>
  <w:style w:type="paragraph" w:styleId="Kommentarer">
    <w:name w:val="annotation text"/>
    <w:basedOn w:val="Normal"/>
    <w:link w:val="KommentarerChar"/>
    <w:rsid w:val="00185C7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85C70"/>
  </w:style>
  <w:style w:type="paragraph" w:styleId="Kommentarsmne">
    <w:name w:val="annotation subject"/>
    <w:basedOn w:val="Kommentarer"/>
    <w:next w:val="Kommentarer"/>
    <w:link w:val="KommentarsmneChar"/>
    <w:rsid w:val="00185C7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85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Bilaga.aspx?ID=110113&amp;dokID=374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wdisk.riksdagen.se\fswdiskshare\Utskottsst&#246;d\M&#246;testj&#228;nsten\FiU\Handlingar%20till%20riksm&#246;tet%2021-22\2021-22%2023%202021-12-09\Bilagor\LEMUR_-_Bilaga_FPM_202122__1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mur.riksdagen.se/Dokument/VisaBilaga.aspx?ID=110445&amp;dokID=37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Bilaga.aspx?ID=110132&amp;dokID=3745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BD59-E7E4-424F-8B1E-FB9C1021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7664</Characters>
  <Application>Microsoft Office Word</Application>
  <DocSecurity>0</DocSecurity>
  <Lines>1094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2021-12-14T12:34:00Z</dcterms:created>
  <dcterms:modified xsi:type="dcterms:W3CDTF">2021-12-16T09:59:00Z</dcterms:modified>
</cp:coreProperties>
</file>