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6C8" w:rsidRPr="007E2FA0" w:rsidRDefault="006366C8">
      <w:pPr>
        <w:pStyle w:val="Hemstlrubrik"/>
        <w:shd w:val="clear" w:color="000000" w:fill="auto"/>
      </w:pPr>
      <w:bookmarkStart w:id="0" w:name="_Toc148861378"/>
      <w:r w:rsidRPr="007E2FA0">
        <w:t>Förslag till riksdagsbeslut</w:t>
      </w:r>
      <w:bookmarkEnd w:id="0"/>
    </w:p>
    <w:p w:rsidR="00AD7DA0" w:rsidRPr="007E2FA0" w:rsidRDefault="00AD7DA0">
      <w:pPr>
        <w:pStyle w:val="Hemstlatt"/>
        <w:numPr>
          <w:ilvl w:val="0"/>
          <w:numId w:val="1"/>
        </w:numPr>
        <w:shd w:val="clear" w:color="000000" w:fill="auto"/>
      </w:pPr>
      <w:r w:rsidRPr="007E2FA0">
        <w:t>Riksdagen tillkännager för regeringen som sin mening vad som i motionen anförs om att sträva efter att tandvården i högre utsträckning finns i anslutning till primärvården.</w:t>
      </w:r>
    </w:p>
    <w:p w:rsidR="00AD7DA0" w:rsidRPr="007E2FA0" w:rsidRDefault="00AD7DA0">
      <w:pPr>
        <w:pStyle w:val="Hemstlatt"/>
        <w:numPr>
          <w:ilvl w:val="0"/>
          <w:numId w:val="1"/>
        </w:numPr>
        <w:shd w:val="clear" w:color="000000" w:fill="auto"/>
      </w:pPr>
      <w:r w:rsidRPr="007E2FA0">
        <w:t>Riksdagen tillkännager för regeringen som sin mening vad som i motionen anförs om att Socialstyrelsen bör ges i uppdrag att göra en satsning på kvalitetsutveckling inom tandvården med riktlinjer för b</w:t>
      </w:r>
      <w:r w:rsidRPr="007E2FA0">
        <w:t>e</w:t>
      </w:r>
      <w:r w:rsidRPr="007E2FA0">
        <w:t>handling och material samt på ökad samverkan med hälso- och sjukvå</w:t>
      </w:r>
      <w:r w:rsidRPr="007E2FA0">
        <w:t>r</w:t>
      </w:r>
      <w:r w:rsidRPr="007E2FA0">
        <w:t>den.</w:t>
      </w:r>
    </w:p>
    <w:p w:rsidR="00AD7DA0" w:rsidRPr="007E2FA0" w:rsidRDefault="00AD7DA0">
      <w:pPr>
        <w:pStyle w:val="Hemstlatt"/>
        <w:numPr>
          <w:ilvl w:val="0"/>
          <w:numId w:val="1"/>
        </w:numPr>
        <w:shd w:val="clear" w:color="000000" w:fill="auto"/>
      </w:pPr>
      <w:r w:rsidRPr="007E2FA0">
        <w:t>Riksdagen tillkännager för regeringen som sin mening vad som i motionen anförs om en obligatorisk garanti för utförda arbeten inom tandvården.</w:t>
      </w:r>
    </w:p>
    <w:p w:rsidR="00AD7DA0" w:rsidRPr="007E2FA0" w:rsidRDefault="00AD7DA0">
      <w:pPr>
        <w:pStyle w:val="Hemstlatt"/>
        <w:numPr>
          <w:ilvl w:val="0"/>
          <w:numId w:val="1"/>
        </w:numPr>
        <w:shd w:val="clear" w:color="000000" w:fill="auto"/>
      </w:pPr>
      <w:r w:rsidRPr="007E2FA0">
        <w:t>Riksdagen tillkännager för regeringen som sin mening vad som i motionen anförs om förbud mot dispens för amalgamfyllningar för barn.</w:t>
      </w:r>
    </w:p>
    <w:p w:rsidR="00AD7DA0" w:rsidRPr="007E2FA0" w:rsidRDefault="00AD7DA0">
      <w:pPr>
        <w:pStyle w:val="Hemstlatt"/>
        <w:numPr>
          <w:ilvl w:val="0"/>
          <w:numId w:val="1"/>
        </w:numPr>
        <w:shd w:val="clear" w:color="000000" w:fill="auto"/>
      </w:pPr>
      <w:r w:rsidRPr="007E2FA0">
        <w:t>Riksdagen tillkännager för regeringen som sin mening vad som i motionen anförs om att tandvården bör utvärderas ur ett genuspe</w:t>
      </w:r>
      <w:r w:rsidRPr="007E2FA0">
        <w:t>r</w:t>
      </w:r>
      <w:r w:rsidRPr="007E2FA0">
        <w:t>spektiv.</w:t>
      </w:r>
    </w:p>
    <w:p w:rsidR="00AD7DA0" w:rsidRPr="007E2FA0" w:rsidRDefault="00AD7DA0">
      <w:pPr>
        <w:pStyle w:val="Hemstlatt"/>
        <w:numPr>
          <w:ilvl w:val="0"/>
          <w:numId w:val="1"/>
        </w:numPr>
        <w:shd w:val="clear" w:color="000000" w:fill="auto"/>
      </w:pPr>
      <w:r w:rsidRPr="007E2FA0">
        <w:t>Riksdagen tillkännager för regeringen som sin mening vad som i motionen anförs om att utreda omfattning och konsekvenser för de reumatiker som drabbades av tandutdragningar samt återkomma till rik</w:t>
      </w:r>
      <w:r w:rsidRPr="007E2FA0">
        <w:t>s</w:t>
      </w:r>
      <w:r w:rsidRPr="007E2FA0">
        <w:t>dagen med en redovisning.</w:t>
      </w:r>
    </w:p>
    <w:p w:rsidR="006366C8" w:rsidRPr="007E2FA0" w:rsidRDefault="006366C8">
      <w:pPr>
        <w:pStyle w:val="Rubrik1"/>
        <w:shd w:val="clear" w:color="000000" w:fill="auto"/>
      </w:pPr>
      <w:bookmarkStart w:id="1" w:name="_Toc148861379"/>
      <w:r w:rsidRPr="007E2FA0">
        <w:t>Inledning</w:t>
      </w:r>
      <w:bookmarkEnd w:id="1"/>
    </w:p>
    <w:p w:rsidR="006366C8" w:rsidRPr="007E2FA0" w:rsidRDefault="006366C8">
      <w:pPr>
        <w:shd w:val="clear" w:color="000000" w:fill="auto"/>
      </w:pPr>
      <w:r w:rsidRPr="007E2FA0">
        <w:t>Det är dags för en tandvård som alla har råd med. Tänderna är en del av kro</w:t>
      </w:r>
      <w:r w:rsidRPr="007E2FA0">
        <w:t>p</w:t>
      </w:r>
      <w:r w:rsidRPr="007E2FA0">
        <w:t>pen och kostnaderna för tandvården bör på sikt ingå i samma högkostnad</w:t>
      </w:r>
      <w:r w:rsidRPr="007E2FA0">
        <w:t>s</w:t>
      </w:r>
      <w:r w:rsidRPr="007E2FA0">
        <w:t>skydd som resten av sjukvården.</w:t>
      </w:r>
    </w:p>
    <w:p w:rsidR="006366C8" w:rsidRPr="007E2FA0" w:rsidRDefault="006366C8">
      <w:pPr>
        <w:pStyle w:val="Normaltindrag"/>
        <w:shd w:val="clear" w:color="000000" w:fill="auto"/>
      </w:pPr>
      <w:r w:rsidRPr="007E2FA0">
        <w:t xml:space="preserve">I dag har vi ett tandvårdssystem som är svårt att förstå både för tandläkare och </w:t>
      </w:r>
      <w:r w:rsidR="008315EF" w:rsidRPr="007E2FA0">
        <w:t xml:space="preserve">för </w:t>
      </w:r>
      <w:r w:rsidRPr="007E2FA0">
        <w:t>patienter. Ersättningssystemet är ett lapptäcke med olika regler ber</w:t>
      </w:r>
      <w:r w:rsidRPr="007E2FA0">
        <w:t>o</w:t>
      </w:r>
      <w:r w:rsidRPr="007E2FA0">
        <w:t xml:space="preserve">ende på ålder och behov. Det gör det svårt, ja nästan omöjligt, att som patient jämföra priser mellan olika tandläkare och räkna ut vad det kommer att kosta </w:t>
      </w:r>
      <w:r w:rsidRPr="007E2FA0">
        <w:lastRenderedPageBreak/>
        <w:t>i slutänden. Och dyrt är det! Sedan priserna avreglerades 1999 har de ökat kraftigt.</w:t>
      </w:r>
    </w:p>
    <w:p w:rsidR="006366C8" w:rsidRPr="007E2FA0" w:rsidRDefault="006366C8">
      <w:pPr>
        <w:pStyle w:val="Normaltindrag"/>
        <w:shd w:val="clear" w:color="000000" w:fill="auto"/>
      </w:pPr>
      <w:r w:rsidRPr="007E2FA0">
        <w:t>Priserna för patienterna ökade med hela 80 procent under perioden 1999–2005. Vi anser därför att det har blivit nödvändigt att diskutera en ny r</w:t>
      </w:r>
      <w:r w:rsidRPr="007E2FA0">
        <w:t>e</w:t>
      </w:r>
      <w:r w:rsidRPr="007E2FA0">
        <w:t>glering av priserna på tandvård.</w:t>
      </w:r>
    </w:p>
    <w:p w:rsidR="006366C8" w:rsidRPr="007E2FA0" w:rsidRDefault="006366C8">
      <w:pPr>
        <w:pStyle w:val="Normaltindrag"/>
        <w:shd w:val="clear" w:color="000000" w:fill="auto"/>
      </w:pPr>
      <w:r w:rsidRPr="007E2FA0">
        <w:t xml:space="preserve">Endast få patienter försöker påverka sina tandvårdskostnader genom att jämföra priserna hos olika tandläkare vilket </w:t>
      </w:r>
      <w:r w:rsidR="008315EF" w:rsidRPr="007E2FA0">
        <w:t xml:space="preserve">Konsumentverket </w:t>
      </w:r>
      <w:r w:rsidRPr="007E2FA0">
        <w:t>visar i en ra</w:t>
      </w:r>
      <w:r w:rsidRPr="007E2FA0">
        <w:t>p</w:t>
      </w:r>
      <w:r w:rsidRPr="007E2FA0">
        <w:t>port från 2004. Det gör det tydligt hur orimligt det är att man som tandvård</w:t>
      </w:r>
      <w:r w:rsidRPr="007E2FA0">
        <w:t>s</w:t>
      </w:r>
      <w:r w:rsidRPr="007E2FA0">
        <w:t>patient betraktas som en kund på en fri marknad</w:t>
      </w:r>
      <w:r w:rsidR="008315EF" w:rsidRPr="007E2FA0">
        <w:t xml:space="preserve"> – s</w:t>
      </w:r>
      <w:r w:rsidRPr="007E2FA0">
        <w:t>om om valet av tandvård vore lika enkelt som valet av tandkräm. Det blir ännu tydligare eftersom tan</w:t>
      </w:r>
      <w:r w:rsidRPr="007E2FA0">
        <w:t>d</w:t>
      </w:r>
      <w:r w:rsidRPr="007E2FA0">
        <w:t>läkarna inte heller betraktar sina patienter som kunder utan de redovisar först efter att behandlingen avslutats vad det hela kommer att kosta. Vi menar att patienter är patienter oavsett om benet är brutet eller om det är hål i en tand. Om man ser på tandvård som vilken vara som helst så underskattar man också betydelsen av förtroendet mellan tandläkare och patient.</w:t>
      </w:r>
    </w:p>
    <w:p w:rsidR="006366C8" w:rsidRPr="007E2FA0" w:rsidRDefault="006366C8">
      <w:pPr>
        <w:pStyle w:val="Normaltindrag"/>
        <w:shd w:val="clear" w:color="000000" w:fill="auto"/>
      </w:pPr>
      <w:r w:rsidRPr="007E2FA0">
        <w:t>Dagens tandvårdssystem innebär att barn och unga har avgiftsfri tandvård. De som är mellan 20 och 65 år får däremot betala nästan hela kostnaden sjä</w:t>
      </w:r>
      <w:r w:rsidRPr="007E2FA0">
        <w:t>l</w:t>
      </w:r>
      <w:r w:rsidRPr="007E2FA0">
        <w:t>va. Statens ersättning för vuxna är ett lågt grundbelopp i kronor för v</w:t>
      </w:r>
      <w:r w:rsidR="008315EF" w:rsidRPr="007E2FA0">
        <w:t>arje åtgärd – e</w:t>
      </w:r>
      <w:r w:rsidRPr="007E2FA0">
        <w:t xml:space="preserve">tt grundbelopp som aldrig skrivs upp. Det innebär att de allt högre priserna har minskat värdet av grundbeloppet. Resultatet är att patienten själv får betala mer och mer av den totala kostnaden. </w:t>
      </w:r>
      <w:r w:rsidR="008315EF" w:rsidRPr="007E2FA0">
        <w:t xml:space="preserve">År </w:t>
      </w:r>
      <w:r w:rsidRPr="007E2FA0">
        <w:t>2003 uppgick den totala kostnaden för tandvården till närmare 19 miljarder kronor. Patientavgifterna stod för 61 procent av den kostnaden vilket motsvarar ca 11,5 miljarder.</w:t>
      </w:r>
    </w:p>
    <w:p w:rsidR="006366C8" w:rsidRPr="007E2FA0" w:rsidRDefault="006366C8">
      <w:pPr>
        <w:pStyle w:val="Normaltindrag"/>
        <w:shd w:val="clear" w:color="000000" w:fill="auto"/>
      </w:pPr>
      <w:r w:rsidRPr="007E2FA0">
        <w:t>Det nuvarande ersättningssystemet inom tandvården innebär att tandläka</w:t>
      </w:r>
      <w:r w:rsidRPr="007E2FA0">
        <w:t>r</w:t>
      </w:r>
      <w:r w:rsidRPr="007E2FA0">
        <w:t>na tjänar på att laga mycket och dyrt istället för att satsa på förebyggande åtgärder. Patienten själv skulle självfallet tjäna på förebyggande vård, men saknar ofta reella möjligheter att påverka den behandling som tandläkarna utför.</w:t>
      </w:r>
    </w:p>
    <w:p w:rsidR="006366C8" w:rsidRPr="007E2FA0" w:rsidRDefault="006366C8">
      <w:pPr>
        <w:pStyle w:val="Normaltindrag"/>
        <w:shd w:val="clear" w:color="000000" w:fill="auto"/>
      </w:pPr>
      <w:r w:rsidRPr="007E2FA0">
        <w:t>Vänsterpartiet medverkade till att rätten till nödvändig tandvård infördes i lagen när socialtjänstlagen arbetades om år 2000. Det innebär att man efter bedömning kan få ekonomisk hjälp till tandvård. Vi tror att alla dessa olika system gör att tandvården blir svåröverskådlig och tungrodd för både tandl</w:t>
      </w:r>
      <w:r w:rsidRPr="007E2FA0">
        <w:t>ä</w:t>
      </w:r>
      <w:r w:rsidRPr="007E2FA0">
        <w:t>kare och patienter. Det finns ett stort behov av att förenkla och förstärka tan</w:t>
      </w:r>
      <w:r w:rsidRPr="007E2FA0">
        <w:t>d</w:t>
      </w:r>
      <w:r w:rsidRPr="007E2FA0">
        <w:t>vårdsstödet.</w:t>
      </w:r>
    </w:p>
    <w:p w:rsidR="006366C8" w:rsidRPr="007E2FA0" w:rsidRDefault="006366C8">
      <w:pPr>
        <w:pStyle w:val="Normaltindrag"/>
        <w:shd w:val="clear" w:color="000000" w:fill="auto"/>
      </w:pPr>
      <w:r w:rsidRPr="007E2FA0">
        <w:t>De höga kostnaderna för tandvård påverkar vilka som har råd att gå till tandläkaren. Till exempel går personer som är arbetslösa till tandläkaren mer sällan än andra grupper. LO-medlemmar besöker också tandläkaren mindre ofta än tjänstemän. Bra tänder är i dag en klassfråga.</w:t>
      </w:r>
    </w:p>
    <w:p w:rsidR="006366C8" w:rsidRPr="007E2FA0" w:rsidRDefault="006366C8">
      <w:pPr>
        <w:pStyle w:val="Normaltindrag"/>
        <w:shd w:val="clear" w:color="000000" w:fill="auto"/>
      </w:pPr>
      <w:r w:rsidRPr="007E2FA0">
        <w:t xml:space="preserve">År 2000 hade 68 procent av männen och 74 procent av kvinnorna besökt tandläkare det senaste året enligt en undersökning gjord av Socialstyrelsen. Samtidigt minskade antalet besök i åldersgruppen 16–24 år och allra störst var </w:t>
      </w:r>
      <w:r w:rsidR="008315EF" w:rsidRPr="007E2FA0">
        <w:t xml:space="preserve">minskningen bland män mellan 25 och </w:t>
      </w:r>
      <w:r w:rsidRPr="007E2FA0">
        <w:t>44 år.</w:t>
      </w:r>
    </w:p>
    <w:p w:rsidR="006366C8" w:rsidRPr="007E2FA0" w:rsidRDefault="006366C8">
      <w:pPr>
        <w:pStyle w:val="Normaltindrag"/>
        <w:shd w:val="clear" w:color="000000" w:fill="auto"/>
      </w:pPr>
      <w:r w:rsidRPr="007E2FA0">
        <w:t>Klasskillnader i tandhälsa finns också bland barn och unga. Trots att tan</w:t>
      </w:r>
      <w:r w:rsidRPr="007E2FA0">
        <w:t>d</w:t>
      </w:r>
      <w:r w:rsidRPr="007E2FA0">
        <w:t>vården är gratis för barn och unga besöker de barn som kommer från familjer med låg inkomst tandvården i lägre grad. Detta förklarar varför det finns stora skillnader i tandhälsa mellan olika landsting med olika socioekonomisk k</w:t>
      </w:r>
      <w:r w:rsidRPr="007E2FA0">
        <w:t>a</w:t>
      </w:r>
      <w:r w:rsidRPr="007E2FA0">
        <w:t>raktär. Socialstyrelsen har också visat att 15 procent av befolkningen, cirka en miljon människor, avstått helt eller delvis från tandvård av ekonomiska skäl. I framtidens tandvård måste behoven styra, istället för plånboken.</w:t>
      </w:r>
    </w:p>
    <w:p w:rsidR="006366C8" w:rsidRPr="007E2FA0" w:rsidRDefault="006366C8">
      <w:pPr>
        <w:pStyle w:val="Normaltindrag"/>
        <w:shd w:val="clear" w:color="000000" w:fill="auto"/>
      </w:pPr>
      <w:r w:rsidRPr="007E2FA0">
        <w:t>Tillgång till vård, oavsett om det är tänderna eller övriga kroppen, får al</w:t>
      </w:r>
      <w:r w:rsidRPr="007E2FA0">
        <w:t>d</w:t>
      </w:r>
      <w:r w:rsidRPr="007E2FA0">
        <w:t>rig bli en fråga om ekonomiska resurser. Och att tandvården redan är en klas</w:t>
      </w:r>
      <w:r w:rsidRPr="007E2FA0">
        <w:t>s</w:t>
      </w:r>
      <w:r w:rsidRPr="007E2FA0">
        <w:t>fråga är väl belagt.</w:t>
      </w:r>
    </w:p>
    <w:p w:rsidR="006366C8" w:rsidRPr="007E2FA0" w:rsidRDefault="006366C8">
      <w:pPr>
        <w:pStyle w:val="Rubrik1"/>
        <w:shd w:val="clear" w:color="000000" w:fill="auto"/>
      </w:pPr>
      <w:bookmarkStart w:id="2" w:name="_Toc148861380"/>
      <w:r w:rsidRPr="007E2FA0">
        <w:t>Ett nytt tandvårdsstöd</w:t>
      </w:r>
      <w:bookmarkEnd w:id="2"/>
    </w:p>
    <w:p w:rsidR="006366C8" w:rsidRPr="007E2FA0" w:rsidRDefault="006366C8">
      <w:pPr>
        <w:shd w:val="clear" w:color="000000" w:fill="auto"/>
      </w:pPr>
      <w:r w:rsidRPr="007E2FA0">
        <w:t>Det går inte längre att lappa och laga i ett system där både staten och den enskilda patienten saknar möjlighet till kontroll och inflytande över kostn</w:t>
      </w:r>
      <w:r w:rsidRPr="007E2FA0">
        <w:t>a</w:t>
      </w:r>
      <w:r w:rsidRPr="007E2FA0">
        <w:t>derna</w:t>
      </w:r>
      <w:r w:rsidR="008315EF" w:rsidRPr="007E2FA0">
        <w:t xml:space="preserve"> och d</w:t>
      </w:r>
      <w:r w:rsidRPr="007E2FA0">
        <w:t>är behov av vård inte kan tillgodoses för att människor inte har råd att betala för behandlingen. Att direkt införa tandvården under sjukvårdens högkostnadsskydd skulle bli mycket dyrt. Olika beräkningar kommer fram till olika slutsatser, bland annat beroende på bristen på statistik, men det är inte orimligt</w:t>
      </w:r>
      <w:r w:rsidR="008315EF" w:rsidRPr="007E2FA0">
        <w:t xml:space="preserve"> att tänka sig en kostnad på 15–</w:t>
      </w:r>
      <w:r w:rsidRPr="007E2FA0">
        <w:t xml:space="preserve">20 miljarder kronor. Det säger något om storleken på den sortens reform vi talar om. Det ryms inte inom ramen för ett års budget, men </w:t>
      </w:r>
      <w:r w:rsidR="008315EF" w:rsidRPr="007E2FA0">
        <w:t xml:space="preserve">Vänsterpartiet </w:t>
      </w:r>
      <w:r w:rsidRPr="007E2FA0">
        <w:t>menar att det är helt nödvändigt att sträva ditåt.</w:t>
      </w:r>
    </w:p>
    <w:p w:rsidR="006366C8" w:rsidRPr="007E2FA0" w:rsidRDefault="006366C8">
      <w:pPr>
        <w:pStyle w:val="Normaltindrag"/>
        <w:shd w:val="clear" w:color="000000" w:fill="auto"/>
      </w:pPr>
      <w:r w:rsidRPr="007E2FA0">
        <w:t>Vänsterpartiet vill som ett första steg att förslaget om subventionerade tandhälsobesök var 18 månad ska genomföras. Det innebär att tandvårdspat</w:t>
      </w:r>
      <w:r w:rsidRPr="007E2FA0">
        <w:t>i</w:t>
      </w:r>
      <w:r w:rsidRPr="007E2FA0">
        <w:t>enten ska betala max 200 kr för de vanliga undersökningarna inom tandvå</w:t>
      </w:r>
      <w:r w:rsidRPr="007E2FA0">
        <w:t>r</w:t>
      </w:r>
      <w:r w:rsidRPr="007E2FA0">
        <w:t>den. Vårdgivarens ersättning för besöket följer ett reglerat pris. Detta grun</w:t>
      </w:r>
      <w:r w:rsidRPr="007E2FA0">
        <w:t>d</w:t>
      </w:r>
      <w:r w:rsidRPr="007E2FA0">
        <w:t xml:space="preserve">stöd kostar statskassan ca 1 700 miljoner kronor per år, enligt </w:t>
      </w:r>
      <w:r w:rsidR="003400DB" w:rsidRPr="007E2FA0">
        <w:t>Tandvårdsu</w:t>
      </w:r>
      <w:r w:rsidR="003400DB" w:rsidRPr="007E2FA0">
        <w:t>t</w:t>
      </w:r>
      <w:r w:rsidR="003400DB" w:rsidRPr="007E2FA0">
        <w:t>redningen</w:t>
      </w:r>
      <w:r w:rsidRPr="007E2FA0">
        <w:t>. Vi menar att stödet ska införas under andra halvåret 2007 och att 500 miljoner ska avsättas under det året.</w:t>
      </w:r>
    </w:p>
    <w:p w:rsidR="006366C8" w:rsidRPr="007E2FA0" w:rsidRDefault="006366C8">
      <w:pPr>
        <w:pStyle w:val="Normaltindrag"/>
        <w:shd w:val="clear" w:color="000000" w:fill="auto"/>
      </w:pPr>
      <w:r w:rsidRPr="007E2FA0">
        <w:t>Behandlingarna utgör för de flesta tandvårdspatienter den största kostn</w:t>
      </w:r>
      <w:r w:rsidRPr="007E2FA0">
        <w:t>a</w:t>
      </w:r>
      <w:r w:rsidRPr="007E2FA0">
        <w:t>den. Ett förslag på lösning för behandlingarna har bl</w:t>
      </w:r>
      <w:r w:rsidR="003400DB" w:rsidRPr="007E2FA0">
        <w:t>.</w:t>
      </w:r>
      <w:r w:rsidRPr="007E2FA0">
        <w:t>a</w:t>
      </w:r>
      <w:r w:rsidR="003400DB" w:rsidRPr="007E2FA0">
        <w:t>.</w:t>
      </w:r>
      <w:r w:rsidRPr="007E2FA0">
        <w:t xml:space="preserve"> varit ett system med abonnemangstandvård. V</w:t>
      </w:r>
      <w:r w:rsidR="003400DB" w:rsidRPr="007E2FA0">
        <w:t>änsterpartiet är mycket kritiskt</w:t>
      </w:r>
      <w:r w:rsidRPr="007E2FA0">
        <w:t xml:space="preserve"> till abonnemang</w:t>
      </w:r>
      <w:r w:rsidRPr="007E2FA0">
        <w:t>s</w:t>
      </w:r>
      <w:r w:rsidRPr="007E2FA0">
        <w:t>tandvård. Vår grundläggande kritik är att abonnemangssystemet inte är i linje med den generella välfärden. Tandvård ges inte utifrån behov, utan de med sämst tandstatus får de högsta premierna. Ett abonnemangstandvårdssystem skulle inte heller minska klasskillnaderna i tandhälsan eftersom de grupper som i dag avstår av ekonomiska skäl knappast skulle teckna sig för ett abo</w:t>
      </w:r>
      <w:r w:rsidRPr="007E2FA0">
        <w:t>n</w:t>
      </w:r>
      <w:r w:rsidRPr="007E2FA0">
        <w:t>nemang som i många fall skulle innebära en säker hög kostnad för tandvård. Då är det bättre att chansa på att man klarar sig ett tag till utan att gå till tan</w:t>
      </w:r>
      <w:r w:rsidRPr="007E2FA0">
        <w:t>d</w:t>
      </w:r>
      <w:r w:rsidRPr="007E2FA0">
        <w:t>läkaren.</w:t>
      </w:r>
    </w:p>
    <w:p w:rsidR="006366C8" w:rsidRPr="007E2FA0" w:rsidRDefault="006366C8">
      <w:pPr>
        <w:pStyle w:val="Normaltindrag"/>
        <w:shd w:val="clear" w:color="000000" w:fill="auto"/>
        <w:spacing w:after="120"/>
      </w:pPr>
      <w:r w:rsidRPr="007E2FA0">
        <w:t>Vänsterpartiet föreslår att ett högkostnadsskydd införs i tandvården. Även om vi inte når ända fram till en tandvård under sjukvårdens högkostnad</w:t>
      </w:r>
      <w:r w:rsidRPr="007E2FA0">
        <w:t>s</w:t>
      </w:r>
      <w:r w:rsidRPr="007E2FA0">
        <w:t>skydd så tar vi i den här motionen ett rejält kliv mot en tandvård som alla kan ha råd med. Vi föreslår följande konstruktion på högkostnadsskyddet:</w:t>
      </w:r>
    </w:p>
    <w:tbl>
      <w:tblPr>
        <w:tblStyle w:val="Tabellrutnt"/>
        <w:tblW w:w="3969"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95"/>
        <w:gridCol w:w="2274"/>
      </w:tblGrid>
      <w:tr w:rsidR="006366C8" w:rsidRPr="007E2FA0" w:rsidTr="003400DB">
        <w:tc>
          <w:tcPr>
            <w:tcW w:w="0" w:type="auto"/>
            <w:tcBorders>
              <w:top w:val="single" w:sz="4" w:space="0" w:color="auto"/>
              <w:bottom w:val="single" w:sz="4" w:space="0" w:color="auto"/>
            </w:tcBorders>
          </w:tcPr>
          <w:p w:rsidR="006366C8" w:rsidRPr="007E2FA0" w:rsidRDefault="006366C8">
            <w:pPr>
              <w:shd w:val="clear" w:color="000000" w:fill="auto"/>
              <w:spacing w:before="60" w:line="200" w:lineRule="exact"/>
              <w:jc w:val="left"/>
              <w:rPr>
                <w:b/>
                <w:sz w:val="16"/>
                <w:szCs w:val="16"/>
              </w:rPr>
            </w:pPr>
            <w:r w:rsidRPr="007E2FA0">
              <w:rPr>
                <w:b/>
                <w:sz w:val="16"/>
                <w:szCs w:val="16"/>
              </w:rPr>
              <w:t>Tandvårdskostnad</w:t>
            </w:r>
          </w:p>
        </w:tc>
        <w:tc>
          <w:tcPr>
            <w:tcW w:w="0" w:type="auto"/>
            <w:tcBorders>
              <w:top w:val="single" w:sz="4" w:space="0" w:color="auto"/>
              <w:bottom w:val="single" w:sz="4" w:space="0" w:color="auto"/>
            </w:tcBorders>
          </w:tcPr>
          <w:p w:rsidR="006366C8" w:rsidRPr="007E2FA0" w:rsidRDefault="006366C8">
            <w:pPr>
              <w:shd w:val="clear" w:color="000000" w:fill="auto"/>
              <w:spacing w:before="60" w:line="200" w:lineRule="exact"/>
              <w:ind w:right="340"/>
              <w:jc w:val="left"/>
              <w:rPr>
                <w:b/>
                <w:sz w:val="16"/>
                <w:szCs w:val="16"/>
              </w:rPr>
            </w:pPr>
            <w:r w:rsidRPr="007E2FA0">
              <w:rPr>
                <w:b/>
                <w:sz w:val="16"/>
                <w:szCs w:val="16"/>
              </w:rPr>
              <w:t>Subvention</w:t>
            </w:r>
          </w:p>
        </w:tc>
      </w:tr>
      <w:tr w:rsidR="006366C8" w:rsidRPr="007E2FA0" w:rsidTr="003400DB">
        <w:tc>
          <w:tcPr>
            <w:tcW w:w="0" w:type="auto"/>
            <w:tcBorders>
              <w:top w:val="single" w:sz="4" w:space="0" w:color="auto"/>
            </w:tcBorders>
          </w:tcPr>
          <w:p w:rsidR="006366C8" w:rsidRPr="007E2FA0" w:rsidRDefault="003400DB">
            <w:pPr>
              <w:shd w:val="clear" w:color="000000" w:fill="auto"/>
              <w:spacing w:before="60" w:line="200" w:lineRule="exact"/>
              <w:jc w:val="left"/>
              <w:rPr>
                <w:sz w:val="16"/>
                <w:szCs w:val="16"/>
              </w:rPr>
            </w:pPr>
            <w:r w:rsidRPr="007E2FA0">
              <w:rPr>
                <w:sz w:val="16"/>
                <w:szCs w:val="16"/>
              </w:rPr>
              <w:t>0–</w:t>
            </w:r>
            <w:r w:rsidR="006366C8" w:rsidRPr="007E2FA0">
              <w:rPr>
                <w:sz w:val="16"/>
                <w:szCs w:val="16"/>
              </w:rPr>
              <w:t xml:space="preserve">900 kr </w:t>
            </w:r>
          </w:p>
        </w:tc>
        <w:tc>
          <w:tcPr>
            <w:tcW w:w="0" w:type="auto"/>
            <w:tcBorders>
              <w:top w:val="single" w:sz="4" w:space="0" w:color="auto"/>
            </w:tcBorders>
          </w:tcPr>
          <w:p w:rsidR="006366C8" w:rsidRPr="007E2FA0" w:rsidRDefault="006366C8">
            <w:pPr>
              <w:shd w:val="clear" w:color="000000" w:fill="auto"/>
              <w:spacing w:before="60" w:line="200" w:lineRule="exact"/>
              <w:ind w:right="391"/>
              <w:jc w:val="left"/>
              <w:rPr>
                <w:sz w:val="16"/>
                <w:szCs w:val="16"/>
              </w:rPr>
            </w:pPr>
            <w:r w:rsidRPr="007E2FA0">
              <w:rPr>
                <w:sz w:val="16"/>
                <w:szCs w:val="16"/>
              </w:rPr>
              <w:t>Patienten betalar själv</w:t>
            </w:r>
          </w:p>
        </w:tc>
      </w:tr>
      <w:tr w:rsidR="006366C8" w:rsidRPr="007E2FA0" w:rsidTr="003400DB">
        <w:tc>
          <w:tcPr>
            <w:tcW w:w="0" w:type="auto"/>
          </w:tcPr>
          <w:p w:rsidR="006366C8" w:rsidRPr="007E2FA0" w:rsidRDefault="003400DB">
            <w:pPr>
              <w:shd w:val="clear" w:color="000000" w:fill="auto"/>
              <w:spacing w:before="60" w:line="200" w:lineRule="exact"/>
              <w:jc w:val="left"/>
              <w:rPr>
                <w:sz w:val="16"/>
                <w:szCs w:val="16"/>
              </w:rPr>
            </w:pPr>
            <w:r w:rsidRPr="007E2FA0">
              <w:rPr>
                <w:sz w:val="16"/>
                <w:szCs w:val="16"/>
              </w:rPr>
              <w:t>900–</w:t>
            </w:r>
            <w:r w:rsidR="006366C8" w:rsidRPr="007E2FA0">
              <w:rPr>
                <w:sz w:val="16"/>
                <w:szCs w:val="16"/>
              </w:rPr>
              <w:t>2 700 kr</w:t>
            </w:r>
          </w:p>
        </w:tc>
        <w:tc>
          <w:tcPr>
            <w:tcW w:w="0" w:type="auto"/>
          </w:tcPr>
          <w:p w:rsidR="006366C8" w:rsidRPr="007E2FA0" w:rsidRDefault="006366C8">
            <w:pPr>
              <w:shd w:val="clear" w:color="000000" w:fill="auto"/>
              <w:spacing w:before="60" w:line="200" w:lineRule="exact"/>
              <w:ind w:right="391"/>
              <w:jc w:val="left"/>
              <w:rPr>
                <w:sz w:val="16"/>
                <w:szCs w:val="16"/>
              </w:rPr>
            </w:pPr>
            <w:r w:rsidRPr="007E2FA0">
              <w:rPr>
                <w:sz w:val="16"/>
                <w:szCs w:val="16"/>
              </w:rPr>
              <w:t>50 % ersättningsgrad</w:t>
            </w:r>
          </w:p>
        </w:tc>
      </w:tr>
      <w:tr w:rsidR="006366C8" w:rsidRPr="007E2FA0" w:rsidTr="003400DB">
        <w:tc>
          <w:tcPr>
            <w:tcW w:w="0" w:type="auto"/>
          </w:tcPr>
          <w:p w:rsidR="006366C8" w:rsidRPr="007E2FA0" w:rsidRDefault="003400DB">
            <w:pPr>
              <w:shd w:val="clear" w:color="000000" w:fill="auto"/>
              <w:spacing w:before="60" w:line="200" w:lineRule="exact"/>
              <w:jc w:val="left"/>
              <w:rPr>
                <w:sz w:val="16"/>
                <w:szCs w:val="16"/>
              </w:rPr>
            </w:pPr>
            <w:r w:rsidRPr="007E2FA0">
              <w:rPr>
                <w:sz w:val="16"/>
                <w:szCs w:val="16"/>
              </w:rPr>
              <w:t>2 700–</w:t>
            </w:r>
            <w:r w:rsidR="006366C8" w:rsidRPr="007E2FA0">
              <w:rPr>
                <w:sz w:val="16"/>
                <w:szCs w:val="16"/>
              </w:rPr>
              <w:t>15 000 kr</w:t>
            </w:r>
          </w:p>
        </w:tc>
        <w:tc>
          <w:tcPr>
            <w:tcW w:w="0" w:type="auto"/>
          </w:tcPr>
          <w:p w:rsidR="006366C8" w:rsidRPr="007E2FA0" w:rsidRDefault="006366C8">
            <w:pPr>
              <w:shd w:val="clear" w:color="000000" w:fill="auto"/>
              <w:spacing w:before="60" w:line="200" w:lineRule="exact"/>
              <w:ind w:right="391"/>
              <w:jc w:val="left"/>
              <w:rPr>
                <w:sz w:val="16"/>
                <w:szCs w:val="16"/>
              </w:rPr>
            </w:pPr>
            <w:r w:rsidRPr="007E2FA0">
              <w:rPr>
                <w:sz w:val="16"/>
                <w:szCs w:val="16"/>
              </w:rPr>
              <w:t>70 % ersättningsgrad</w:t>
            </w:r>
          </w:p>
        </w:tc>
      </w:tr>
      <w:tr w:rsidR="006366C8" w:rsidRPr="007E2FA0" w:rsidTr="003400DB">
        <w:tc>
          <w:tcPr>
            <w:tcW w:w="0" w:type="auto"/>
          </w:tcPr>
          <w:p w:rsidR="006366C8" w:rsidRPr="007E2FA0" w:rsidRDefault="006366C8">
            <w:pPr>
              <w:shd w:val="clear" w:color="000000" w:fill="auto"/>
              <w:spacing w:before="60" w:line="200" w:lineRule="exact"/>
              <w:jc w:val="left"/>
              <w:rPr>
                <w:sz w:val="16"/>
                <w:szCs w:val="16"/>
              </w:rPr>
            </w:pPr>
            <w:r w:rsidRPr="007E2FA0">
              <w:rPr>
                <w:sz w:val="16"/>
                <w:szCs w:val="16"/>
              </w:rPr>
              <w:t>Över 15 000 kr</w:t>
            </w:r>
          </w:p>
        </w:tc>
        <w:tc>
          <w:tcPr>
            <w:tcW w:w="0" w:type="auto"/>
          </w:tcPr>
          <w:p w:rsidR="006366C8" w:rsidRPr="007E2FA0" w:rsidRDefault="006366C8">
            <w:pPr>
              <w:shd w:val="clear" w:color="000000" w:fill="auto"/>
              <w:spacing w:before="60" w:line="200" w:lineRule="exact"/>
              <w:ind w:right="391"/>
              <w:jc w:val="left"/>
              <w:rPr>
                <w:sz w:val="16"/>
                <w:szCs w:val="16"/>
              </w:rPr>
            </w:pPr>
            <w:r w:rsidRPr="007E2FA0">
              <w:rPr>
                <w:sz w:val="16"/>
                <w:szCs w:val="16"/>
              </w:rPr>
              <w:t>90 % ersättningsgrad</w:t>
            </w:r>
          </w:p>
        </w:tc>
      </w:tr>
    </w:tbl>
    <w:p w:rsidR="006366C8" w:rsidRPr="007E2FA0" w:rsidRDefault="006366C8">
      <w:pPr>
        <w:shd w:val="clear" w:color="000000" w:fill="auto"/>
      </w:pPr>
      <w:r w:rsidRPr="007E2FA0">
        <w:t xml:space="preserve">Poängen med en sådan lösning med ett högkostnadsskydd i flera steg är att man sänker kostnaden för behandling även för de som i dag avstår behandling som är relativt billig. Alltså ett högkostnadsskydd som skyddar </w:t>
      </w:r>
      <w:r w:rsidR="003400DB" w:rsidRPr="007E2FA0">
        <w:t>mot kostnader över 15 000 kr</w:t>
      </w:r>
      <w:r w:rsidRPr="007E2FA0">
        <w:t xml:space="preserve"> motiverar ju inte den som avstår från att söka tandvård av ekonomiska skäl och förväntar sig en</w:t>
      </w:r>
      <w:r w:rsidR="003400DB" w:rsidRPr="007E2FA0">
        <w:t xml:space="preserve"> kostnad på 2 000–3 000 kr</w:t>
      </w:r>
      <w:r w:rsidRPr="007E2FA0">
        <w:t>.</w:t>
      </w:r>
    </w:p>
    <w:p w:rsidR="006366C8" w:rsidRPr="007E2FA0" w:rsidRDefault="006366C8">
      <w:pPr>
        <w:pStyle w:val="Normaltindrag"/>
        <w:shd w:val="clear" w:color="000000" w:fill="auto"/>
      </w:pPr>
      <w:r w:rsidRPr="007E2FA0">
        <w:t>Valet av brytpunkter följer också den logik som finns i högkostnadssky</w:t>
      </w:r>
      <w:r w:rsidRPr="007E2FA0">
        <w:t>d</w:t>
      </w:r>
      <w:r w:rsidRPr="007E2FA0">
        <w:t>det i sjukvården. I dag är högkostnadsskyddet för sjukvård 900 kr och hö</w:t>
      </w:r>
      <w:r w:rsidRPr="007E2FA0">
        <w:t>g</w:t>
      </w:r>
      <w:r w:rsidRPr="007E2FA0">
        <w:t>kostnadsskyddet för läkemedel 1</w:t>
      </w:r>
      <w:r w:rsidR="003400DB" w:rsidRPr="007E2FA0">
        <w:t> 800 kr, totalt 2 700 kr</w:t>
      </w:r>
      <w:r w:rsidRPr="007E2FA0">
        <w:t>. Det gör att det är möjligt att successivt förbättra systemet med sikte på det ordinarie högkos</w:t>
      </w:r>
      <w:r w:rsidRPr="007E2FA0">
        <w:t>t</w:t>
      </w:r>
      <w:r w:rsidRPr="007E2FA0">
        <w:t>nadsskyddet i sjukvården, utan att förändringarna uppfattas som krångliga av patienterna.</w:t>
      </w:r>
    </w:p>
    <w:p w:rsidR="006366C8" w:rsidRPr="007E2FA0" w:rsidRDefault="006366C8">
      <w:pPr>
        <w:pStyle w:val="Normaltindrag"/>
        <w:shd w:val="clear" w:color="000000" w:fill="auto"/>
      </w:pPr>
      <w:r w:rsidRPr="007E2FA0">
        <w:t xml:space="preserve">Vänsterpartiet har låtit </w:t>
      </w:r>
      <w:r w:rsidR="003400DB" w:rsidRPr="007E2FA0">
        <w:t xml:space="preserve">riksdagens </w:t>
      </w:r>
      <w:r w:rsidRPr="007E2FA0">
        <w:t>utredningstjänst beräkna vad en sådan här lösning skulle kosta. Eftersom det saknas statistik och det kan vara svårt att bedöma dynamiska effekter i form av ökande efterfrågan på tandvård är beräkningarna ganska osäkra, men de ger ändå en kvalificerad skattning av kostnadsbilden.</w:t>
      </w:r>
    </w:p>
    <w:p w:rsidR="006366C8" w:rsidRPr="007E2FA0" w:rsidRDefault="006366C8">
      <w:pPr>
        <w:pStyle w:val="Normaltindrag"/>
        <w:shd w:val="clear" w:color="000000" w:fill="auto"/>
        <w:spacing w:before="125" w:line="180" w:lineRule="atLeast"/>
        <w:ind w:firstLine="0"/>
        <w:rPr>
          <w:b/>
        </w:rPr>
      </w:pPr>
      <w:r w:rsidRPr="007E2FA0">
        <w:rPr>
          <w:b/>
        </w:rPr>
        <w:t>Tabell</w:t>
      </w:r>
      <w:r w:rsidR="003400DB" w:rsidRPr="007E2FA0">
        <w:rPr>
          <w:b/>
        </w:rPr>
        <w:t>.</w:t>
      </w:r>
      <w:r w:rsidRPr="007E2FA0">
        <w:rPr>
          <w:b/>
        </w:rPr>
        <w:t xml:space="preserve"> Beräknad kostnad för ett nytt tandvårdsstöd, 2</w:t>
      </w:r>
      <w:r w:rsidR="003400DB" w:rsidRPr="007E2FA0">
        <w:rPr>
          <w:b/>
        </w:rPr>
        <w:t>0–</w:t>
      </w:r>
      <w:r w:rsidR="007A5EA2" w:rsidRPr="007E2FA0">
        <w:rPr>
          <w:b/>
        </w:rPr>
        <w:t>64 år, miljoner kronor</w:t>
      </w:r>
    </w:p>
    <w:tbl>
      <w:tblPr>
        <w:tblStyle w:val="Enkeltabell1"/>
        <w:tblW w:w="6048" w:type="dxa"/>
        <w:tblBorders>
          <w:top w:val="single" w:sz="4" w:space="0" w:color="auto"/>
          <w:bottom w:val="single" w:sz="4" w:space="0" w:color="auto"/>
        </w:tblBorders>
        <w:tblLook w:val="01E0" w:firstRow="1" w:lastRow="1" w:firstColumn="1" w:lastColumn="1" w:noHBand="0" w:noVBand="0"/>
      </w:tblPr>
      <w:tblGrid>
        <w:gridCol w:w="3369"/>
        <w:gridCol w:w="2679"/>
      </w:tblGrid>
      <w:tr w:rsidR="006366C8" w:rsidRPr="007E2FA0" w:rsidTr="003400DB">
        <w:trPr>
          <w:cnfStyle w:val="100000000000" w:firstRow="1" w:lastRow="0" w:firstColumn="0" w:lastColumn="0" w:oddVBand="0" w:evenVBand="0" w:oddHBand="0" w:evenHBand="0" w:firstRowFirstColumn="0" w:firstRowLastColumn="0" w:lastRowFirstColumn="0" w:lastRowLastColumn="0"/>
          <w:cantSplit/>
        </w:trPr>
        <w:tc>
          <w:tcPr>
            <w:tcW w:w="3369" w:type="dxa"/>
            <w:tcBorders>
              <w:top w:val="single" w:sz="4" w:space="0" w:color="auto"/>
              <w:bottom w:val="single" w:sz="4" w:space="0" w:color="auto"/>
            </w:tcBorders>
          </w:tcPr>
          <w:p w:rsidR="006366C8" w:rsidRPr="007E2FA0" w:rsidRDefault="006366C8">
            <w:pPr>
              <w:shd w:val="clear" w:color="000000" w:fill="auto"/>
              <w:spacing w:before="60" w:line="200" w:lineRule="exact"/>
              <w:jc w:val="center"/>
              <w:rPr>
                <w:sz w:val="16"/>
                <w:szCs w:val="16"/>
              </w:rPr>
            </w:pPr>
          </w:p>
        </w:tc>
        <w:tc>
          <w:tcPr>
            <w:tcW w:w="2679" w:type="dxa"/>
            <w:tcBorders>
              <w:top w:val="single" w:sz="4" w:space="0" w:color="auto"/>
              <w:bottom w:val="single" w:sz="4" w:space="0" w:color="auto"/>
            </w:tcBorders>
          </w:tcPr>
          <w:p w:rsidR="006366C8" w:rsidRPr="007E2FA0" w:rsidRDefault="006366C8">
            <w:pPr>
              <w:shd w:val="clear" w:color="000000" w:fill="auto"/>
              <w:spacing w:before="60" w:line="200" w:lineRule="exact"/>
              <w:jc w:val="center"/>
              <w:rPr>
                <w:b/>
                <w:sz w:val="16"/>
                <w:szCs w:val="16"/>
              </w:rPr>
            </w:pPr>
            <w:r w:rsidRPr="007E2FA0">
              <w:rPr>
                <w:b/>
                <w:sz w:val="16"/>
                <w:szCs w:val="16"/>
              </w:rPr>
              <w:t>Vänsterpartiets förslag</w:t>
            </w:r>
          </w:p>
        </w:tc>
      </w:tr>
      <w:tr w:rsidR="006366C8" w:rsidRPr="007E2FA0" w:rsidTr="00E902D9">
        <w:tc>
          <w:tcPr>
            <w:tcW w:w="3369" w:type="dxa"/>
            <w:tcBorders>
              <w:top w:val="single" w:sz="4" w:space="0" w:color="auto"/>
            </w:tcBorders>
            <w:vAlign w:val="bottom"/>
          </w:tcPr>
          <w:p w:rsidR="006366C8" w:rsidRPr="007E2FA0" w:rsidRDefault="006366C8">
            <w:pPr>
              <w:shd w:val="clear" w:color="000000" w:fill="auto"/>
              <w:spacing w:before="60" w:line="200" w:lineRule="exact"/>
              <w:jc w:val="left"/>
              <w:rPr>
                <w:sz w:val="16"/>
                <w:szCs w:val="16"/>
              </w:rPr>
            </w:pPr>
            <w:r w:rsidRPr="007E2FA0">
              <w:rPr>
                <w:sz w:val="16"/>
                <w:szCs w:val="16"/>
              </w:rPr>
              <w:t>Skydd mot höga kostnader</w:t>
            </w:r>
          </w:p>
        </w:tc>
        <w:tc>
          <w:tcPr>
            <w:tcW w:w="2679" w:type="dxa"/>
            <w:tcBorders>
              <w:top w:val="single" w:sz="4" w:space="0" w:color="auto"/>
            </w:tcBorders>
            <w:vAlign w:val="bottom"/>
          </w:tcPr>
          <w:p w:rsidR="006366C8" w:rsidRPr="007E2FA0" w:rsidRDefault="006366C8">
            <w:pPr>
              <w:shd w:val="clear" w:color="000000" w:fill="auto"/>
              <w:spacing w:before="60" w:line="200" w:lineRule="exact"/>
              <w:jc w:val="right"/>
              <w:rPr>
                <w:sz w:val="16"/>
                <w:szCs w:val="16"/>
              </w:rPr>
            </w:pP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sz w:val="16"/>
                <w:szCs w:val="16"/>
              </w:rPr>
            </w:pPr>
            <w:r w:rsidRPr="007E2FA0">
              <w:rPr>
                <w:sz w:val="16"/>
                <w:szCs w:val="16"/>
              </w:rPr>
              <w:t>Statiskt</w:t>
            </w:r>
          </w:p>
        </w:tc>
        <w:tc>
          <w:tcPr>
            <w:tcW w:w="2679" w:type="dxa"/>
            <w:vAlign w:val="bottom"/>
          </w:tcPr>
          <w:p w:rsidR="006366C8" w:rsidRPr="007E2FA0" w:rsidRDefault="006366C8">
            <w:pPr>
              <w:shd w:val="clear" w:color="000000" w:fill="auto"/>
              <w:spacing w:before="60" w:line="200" w:lineRule="exact"/>
              <w:ind w:right="912"/>
              <w:jc w:val="right"/>
              <w:rPr>
                <w:sz w:val="16"/>
                <w:szCs w:val="16"/>
              </w:rPr>
            </w:pPr>
            <w:r w:rsidRPr="007E2FA0">
              <w:rPr>
                <w:sz w:val="16"/>
                <w:szCs w:val="16"/>
              </w:rPr>
              <w:t>3 000</w:t>
            </w: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sz w:val="16"/>
                <w:szCs w:val="16"/>
              </w:rPr>
            </w:pPr>
            <w:r w:rsidRPr="007E2FA0">
              <w:rPr>
                <w:sz w:val="16"/>
                <w:szCs w:val="16"/>
              </w:rPr>
              <w:t>Dynamik 1 (Nya patienter i tandvården)</w:t>
            </w:r>
          </w:p>
        </w:tc>
        <w:tc>
          <w:tcPr>
            <w:tcW w:w="2679" w:type="dxa"/>
            <w:vAlign w:val="bottom"/>
          </w:tcPr>
          <w:p w:rsidR="006366C8" w:rsidRPr="007E2FA0" w:rsidRDefault="003400DB">
            <w:pPr>
              <w:shd w:val="clear" w:color="000000" w:fill="auto"/>
              <w:spacing w:before="60" w:line="200" w:lineRule="exact"/>
              <w:ind w:right="912"/>
              <w:jc w:val="right"/>
              <w:rPr>
                <w:sz w:val="16"/>
                <w:szCs w:val="16"/>
              </w:rPr>
            </w:pPr>
            <w:r w:rsidRPr="007E2FA0">
              <w:rPr>
                <w:sz w:val="16"/>
                <w:szCs w:val="16"/>
              </w:rPr>
              <w:t>160–</w:t>
            </w:r>
            <w:r w:rsidR="006366C8" w:rsidRPr="007E2FA0">
              <w:rPr>
                <w:sz w:val="16"/>
                <w:szCs w:val="16"/>
              </w:rPr>
              <w:t>320</w:t>
            </w: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sz w:val="16"/>
                <w:szCs w:val="16"/>
              </w:rPr>
            </w:pPr>
            <w:r w:rsidRPr="007E2FA0">
              <w:rPr>
                <w:sz w:val="16"/>
                <w:szCs w:val="16"/>
              </w:rPr>
              <w:t>Dynamik 2 (Förändrat konsumtionsmönster för dagens patienter)</w:t>
            </w:r>
          </w:p>
        </w:tc>
        <w:tc>
          <w:tcPr>
            <w:tcW w:w="2679" w:type="dxa"/>
            <w:vAlign w:val="bottom"/>
          </w:tcPr>
          <w:p w:rsidR="006366C8" w:rsidRPr="007E2FA0" w:rsidRDefault="003400DB">
            <w:pPr>
              <w:shd w:val="clear" w:color="000000" w:fill="auto"/>
              <w:spacing w:before="60" w:line="200" w:lineRule="exact"/>
              <w:ind w:right="912"/>
              <w:jc w:val="right"/>
              <w:rPr>
                <w:sz w:val="16"/>
                <w:szCs w:val="16"/>
              </w:rPr>
            </w:pPr>
            <w:r w:rsidRPr="007E2FA0">
              <w:rPr>
                <w:sz w:val="16"/>
                <w:szCs w:val="16"/>
              </w:rPr>
              <w:t>3 500–</w:t>
            </w:r>
            <w:r w:rsidR="006366C8" w:rsidRPr="007E2FA0">
              <w:rPr>
                <w:sz w:val="16"/>
                <w:szCs w:val="16"/>
              </w:rPr>
              <w:t>4 700</w:t>
            </w: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sz w:val="16"/>
                <w:szCs w:val="16"/>
              </w:rPr>
            </w:pPr>
            <w:r w:rsidRPr="007E2FA0">
              <w:rPr>
                <w:sz w:val="16"/>
                <w:szCs w:val="16"/>
              </w:rPr>
              <w:t xml:space="preserve">Tot. skydd mot höga kostnader </w:t>
            </w:r>
          </w:p>
        </w:tc>
        <w:tc>
          <w:tcPr>
            <w:tcW w:w="2679" w:type="dxa"/>
            <w:vAlign w:val="bottom"/>
          </w:tcPr>
          <w:p w:rsidR="006366C8" w:rsidRPr="007E2FA0" w:rsidRDefault="006366C8">
            <w:pPr>
              <w:shd w:val="clear" w:color="000000" w:fill="auto"/>
              <w:spacing w:before="60" w:line="200" w:lineRule="exact"/>
              <w:ind w:right="912"/>
              <w:jc w:val="right"/>
              <w:rPr>
                <w:sz w:val="16"/>
                <w:szCs w:val="16"/>
              </w:rPr>
            </w:pP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sz w:val="16"/>
                <w:szCs w:val="16"/>
              </w:rPr>
            </w:pPr>
            <w:r w:rsidRPr="007E2FA0">
              <w:rPr>
                <w:sz w:val="16"/>
                <w:szCs w:val="16"/>
              </w:rPr>
              <w:t>Lågt räknat</w:t>
            </w:r>
          </w:p>
        </w:tc>
        <w:tc>
          <w:tcPr>
            <w:tcW w:w="2679" w:type="dxa"/>
            <w:vAlign w:val="bottom"/>
          </w:tcPr>
          <w:p w:rsidR="006366C8" w:rsidRPr="007E2FA0" w:rsidRDefault="006366C8">
            <w:pPr>
              <w:shd w:val="clear" w:color="000000" w:fill="auto"/>
              <w:spacing w:before="60" w:line="200" w:lineRule="exact"/>
              <w:ind w:right="912"/>
              <w:jc w:val="right"/>
              <w:rPr>
                <w:sz w:val="16"/>
                <w:szCs w:val="16"/>
              </w:rPr>
            </w:pPr>
            <w:r w:rsidRPr="007E2FA0">
              <w:rPr>
                <w:sz w:val="16"/>
                <w:szCs w:val="16"/>
              </w:rPr>
              <w:t>6 660</w:t>
            </w: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sz w:val="16"/>
                <w:szCs w:val="16"/>
              </w:rPr>
            </w:pPr>
            <w:r w:rsidRPr="007E2FA0">
              <w:rPr>
                <w:sz w:val="16"/>
                <w:szCs w:val="16"/>
              </w:rPr>
              <w:t>Högt räknat</w:t>
            </w:r>
          </w:p>
        </w:tc>
        <w:tc>
          <w:tcPr>
            <w:tcW w:w="2679" w:type="dxa"/>
            <w:vAlign w:val="bottom"/>
          </w:tcPr>
          <w:p w:rsidR="006366C8" w:rsidRPr="007E2FA0" w:rsidRDefault="006366C8">
            <w:pPr>
              <w:shd w:val="clear" w:color="000000" w:fill="auto"/>
              <w:spacing w:before="60" w:line="200" w:lineRule="exact"/>
              <w:ind w:right="912"/>
              <w:jc w:val="right"/>
              <w:rPr>
                <w:sz w:val="16"/>
                <w:szCs w:val="16"/>
              </w:rPr>
            </w:pPr>
            <w:r w:rsidRPr="007E2FA0">
              <w:rPr>
                <w:sz w:val="16"/>
                <w:szCs w:val="16"/>
              </w:rPr>
              <w:t>8 020</w:t>
            </w: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sz w:val="16"/>
                <w:szCs w:val="16"/>
              </w:rPr>
            </w:pPr>
            <w:r w:rsidRPr="007E2FA0">
              <w:rPr>
                <w:sz w:val="16"/>
                <w:szCs w:val="16"/>
              </w:rPr>
              <w:t>Grundstöd</w:t>
            </w:r>
          </w:p>
        </w:tc>
        <w:tc>
          <w:tcPr>
            <w:tcW w:w="2679" w:type="dxa"/>
            <w:vAlign w:val="bottom"/>
          </w:tcPr>
          <w:p w:rsidR="006366C8" w:rsidRPr="007E2FA0" w:rsidRDefault="006366C8">
            <w:pPr>
              <w:shd w:val="clear" w:color="000000" w:fill="auto"/>
              <w:spacing w:before="60" w:line="200" w:lineRule="exact"/>
              <w:ind w:right="912"/>
              <w:jc w:val="right"/>
              <w:rPr>
                <w:sz w:val="16"/>
                <w:szCs w:val="16"/>
              </w:rPr>
            </w:pPr>
            <w:r w:rsidRPr="007E2FA0">
              <w:rPr>
                <w:sz w:val="16"/>
                <w:szCs w:val="16"/>
              </w:rPr>
              <w:t>1 520</w:t>
            </w: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sz w:val="16"/>
                <w:szCs w:val="16"/>
              </w:rPr>
            </w:pPr>
            <w:r w:rsidRPr="007E2FA0">
              <w:rPr>
                <w:sz w:val="16"/>
                <w:szCs w:val="16"/>
              </w:rPr>
              <w:t>Ökade resurser för styrning och administration av tandvård</w:t>
            </w:r>
          </w:p>
        </w:tc>
        <w:tc>
          <w:tcPr>
            <w:tcW w:w="2679" w:type="dxa"/>
            <w:vAlign w:val="bottom"/>
          </w:tcPr>
          <w:p w:rsidR="006366C8" w:rsidRPr="007E2FA0" w:rsidRDefault="006366C8">
            <w:pPr>
              <w:shd w:val="clear" w:color="000000" w:fill="auto"/>
              <w:spacing w:before="60" w:line="200" w:lineRule="exact"/>
              <w:ind w:right="912"/>
              <w:jc w:val="right"/>
              <w:rPr>
                <w:sz w:val="16"/>
                <w:szCs w:val="16"/>
              </w:rPr>
            </w:pPr>
            <w:r w:rsidRPr="007E2FA0">
              <w:rPr>
                <w:sz w:val="16"/>
                <w:szCs w:val="16"/>
              </w:rPr>
              <w:t>55</w:t>
            </w: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b/>
                <w:sz w:val="16"/>
                <w:szCs w:val="16"/>
              </w:rPr>
            </w:pPr>
            <w:r w:rsidRPr="007E2FA0">
              <w:rPr>
                <w:b/>
                <w:sz w:val="16"/>
                <w:szCs w:val="16"/>
              </w:rPr>
              <w:t xml:space="preserve">Totala kostnader för det nya tandvårdsstödet </w:t>
            </w:r>
          </w:p>
        </w:tc>
        <w:tc>
          <w:tcPr>
            <w:tcW w:w="2679" w:type="dxa"/>
            <w:vAlign w:val="bottom"/>
          </w:tcPr>
          <w:p w:rsidR="006366C8" w:rsidRPr="007E2FA0" w:rsidRDefault="006366C8">
            <w:pPr>
              <w:shd w:val="clear" w:color="000000" w:fill="auto"/>
              <w:spacing w:before="60" w:line="200" w:lineRule="exact"/>
              <w:ind w:right="912"/>
              <w:jc w:val="right"/>
              <w:rPr>
                <w:b/>
                <w:sz w:val="16"/>
                <w:szCs w:val="16"/>
              </w:rPr>
            </w:pPr>
          </w:p>
        </w:tc>
      </w:tr>
      <w:tr w:rsidR="006366C8" w:rsidRPr="007E2FA0" w:rsidTr="00E902D9">
        <w:tc>
          <w:tcPr>
            <w:tcW w:w="3369" w:type="dxa"/>
            <w:vAlign w:val="bottom"/>
          </w:tcPr>
          <w:p w:rsidR="006366C8" w:rsidRPr="007E2FA0" w:rsidRDefault="006366C8">
            <w:pPr>
              <w:shd w:val="clear" w:color="000000" w:fill="auto"/>
              <w:spacing w:before="60" w:line="200" w:lineRule="exact"/>
              <w:jc w:val="left"/>
              <w:rPr>
                <w:b/>
                <w:sz w:val="16"/>
                <w:szCs w:val="16"/>
              </w:rPr>
            </w:pPr>
            <w:r w:rsidRPr="007E2FA0">
              <w:rPr>
                <w:b/>
                <w:sz w:val="16"/>
                <w:szCs w:val="16"/>
              </w:rPr>
              <w:t>Lågt räknat</w:t>
            </w:r>
          </w:p>
        </w:tc>
        <w:tc>
          <w:tcPr>
            <w:tcW w:w="2679" w:type="dxa"/>
            <w:vAlign w:val="bottom"/>
          </w:tcPr>
          <w:p w:rsidR="006366C8" w:rsidRPr="007E2FA0" w:rsidRDefault="006366C8">
            <w:pPr>
              <w:shd w:val="clear" w:color="000000" w:fill="auto"/>
              <w:spacing w:before="60" w:line="200" w:lineRule="exact"/>
              <w:ind w:right="912"/>
              <w:jc w:val="right"/>
              <w:rPr>
                <w:b/>
                <w:sz w:val="16"/>
                <w:szCs w:val="16"/>
              </w:rPr>
            </w:pPr>
            <w:r w:rsidRPr="007E2FA0">
              <w:rPr>
                <w:b/>
                <w:sz w:val="16"/>
                <w:szCs w:val="16"/>
              </w:rPr>
              <w:t>8 235</w:t>
            </w:r>
          </w:p>
        </w:tc>
      </w:tr>
      <w:tr w:rsidR="006366C8" w:rsidRPr="007E2FA0" w:rsidTr="00E902D9">
        <w:trPr>
          <w:cnfStyle w:val="010000000000" w:firstRow="0" w:lastRow="1" w:firstColumn="0" w:lastColumn="0" w:oddVBand="0" w:evenVBand="0" w:oddHBand="0" w:evenHBand="0" w:firstRowFirstColumn="0" w:firstRowLastColumn="0" w:lastRowFirstColumn="0" w:lastRowLastColumn="0"/>
        </w:trPr>
        <w:tc>
          <w:tcPr>
            <w:tcW w:w="3369" w:type="dxa"/>
            <w:tcBorders>
              <w:top w:val="none" w:sz="0" w:space="0" w:color="auto"/>
            </w:tcBorders>
            <w:vAlign w:val="bottom"/>
          </w:tcPr>
          <w:p w:rsidR="006366C8" w:rsidRPr="007E2FA0" w:rsidRDefault="006366C8">
            <w:pPr>
              <w:shd w:val="clear" w:color="000000" w:fill="auto"/>
              <w:spacing w:before="60" w:line="200" w:lineRule="exact"/>
              <w:jc w:val="left"/>
              <w:rPr>
                <w:b/>
                <w:sz w:val="16"/>
                <w:szCs w:val="16"/>
              </w:rPr>
            </w:pPr>
            <w:r w:rsidRPr="007E2FA0">
              <w:rPr>
                <w:b/>
                <w:sz w:val="16"/>
                <w:szCs w:val="16"/>
              </w:rPr>
              <w:t>Högt räknat</w:t>
            </w:r>
          </w:p>
        </w:tc>
        <w:tc>
          <w:tcPr>
            <w:tcW w:w="2679" w:type="dxa"/>
            <w:tcBorders>
              <w:top w:val="none" w:sz="0" w:space="0" w:color="auto"/>
            </w:tcBorders>
            <w:vAlign w:val="bottom"/>
          </w:tcPr>
          <w:p w:rsidR="006366C8" w:rsidRPr="007E2FA0" w:rsidRDefault="006366C8">
            <w:pPr>
              <w:shd w:val="clear" w:color="000000" w:fill="auto"/>
              <w:spacing w:before="60" w:line="200" w:lineRule="exact"/>
              <w:ind w:right="912"/>
              <w:jc w:val="right"/>
              <w:rPr>
                <w:b/>
                <w:sz w:val="16"/>
                <w:szCs w:val="16"/>
              </w:rPr>
            </w:pPr>
            <w:r w:rsidRPr="007E2FA0">
              <w:rPr>
                <w:b/>
                <w:sz w:val="16"/>
                <w:szCs w:val="16"/>
              </w:rPr>
              <w:t>9 595</w:t>
            </w:r>
          </w:p>
        </w:tc>
      </w:tr>
    </w:tbl>
    <w:p w:rsidR="006366C8" w:rsidRPr="007E2FA0" w:rsidRDefault="006366C8">
      <w:pPr>
        <w:shd w:val="clear" w:color="000000" w:fill="auto"/>
      </w:pPr>
      <w:r w:rsidRPr="007E2FA0">
        <w:t>Från de angivna kostnaderna kan dage</w:t>
      </w:r>
      <w:r w:rsidR="003400DB" w:rsidRPr="007E2FA0">
        <w:t>ns tandvårdsstöd för gruppen 20–</w:t>
      </w:r>
      <w:r w:rsidRPr="007E2FA0">
        <w:t>64 år dras ifrån. Dessa uppgår till ca 1,1 mdkr. I 2006 års ekonomiska vårpropos</w:t>
      </w:r>
      <w:r w:rsidRPr="007E2FA0">
        <w:t>i</w:t>
      </w:r>
      <w:r w:rsidRPr="007E2FA0">
        <w:t>tion avsätts 500 miljoner kronor år 2007 och 1,7 mdkr år 2008 för grundst</w:t>
      </w:r>
      <w:r w:rsidRPr="007E2FA0">
        <w:t>ö</w:t>
      </w:r>
      <w:r w:rsidRPr="007E2FA0">
        <w:t>det, varav 1,5 mdkr avser patient</w:t>
      </w:r>
      <w:r w:rsidR="003400DB" w:rsidRPr="007E2FA0">
        <w:t>er i åldersgruppen 20–</w:t>
      </w:r>
      <w:r w:rsidRPr="007E2FA0">
        <w:t>64 år.</w:t>
      </w:r>
    </w:p>
    <w:p w:rsidR="006366C8" w:rsidRPr="007E2FA0" w:rsidRDefault="006366C8">
      <w:pPr>
        <w:pStyle w:val="Normaltindrag"/>
        <w:shd w:val="clear" w:color="000000" w:fill="auto"/>
      </w:pPr>
      <w:r w:rsidRPr="007E2FA0">
        <w:t>Det förslagna kostnadsökningen för det nya högkostnadsskydde</w:t>
      </w:r>
      <w:r w:rsidR="003400DB" w:rsidRPr="007E2FA0">
        <w:t>t blir s</w:t>
      </w:r>
      <w:r w:rsidR="003400DB" w:rsidRPr="007E2FA0">
        <w:t>å</w:t>
      </w:r>
      <w:r w:rsidR="003400DB" w:rsidRPr="007E2FA0">
        <w:t>lunda 5 600 miljoner–</w:t>
      </w:r>
      <w:r w:rsidRPr="007E2FA0">
        <w:t>7 000 miljoner, beroende på vilka antaganden man gör. Vänsterpartiet skattar här kostnaden till medelvärdet 6 300 miljoner kronor. Högkostnadsskyddet bör införas 1 januari 2008.</w:t>
      </w:r>
    </w:p>
    <w:p w:rsidR="006366C8" w:rsidRPr="007E2FA0" w:rsidRDefault="006366C8">
      <w:pPr>
        <w:pStyle w:val="Normaltindrag"/>
        <w:shd w:val="clear" w:color="000000" w:fill="auto"/>
      </w:pPr>
      <w:r w:rsidRPr="007E2FA0">
        <w:t>Det bör observeras att dessa beräkni</w:t>
      </w:r>
      <w:r w:rsidR="003400DB" w:rsidRPr="007E2FA0">
        <w:t>ngar endast gäller gruppen 20–</w:t>
      </w:r>
      <w:r w:rsidRPr="007E2FA0">
        <w:t xml:space="preserve">64 år. Vänsterpartiet har tillsammans med </w:t>
      </w:r>
      <w:r w:rsidR="003400DB" w:rsidRPr="007E2FA0">
        <w:t xml:space="preserve">Socialdemokraterna </w:t>
      </w:r>
      <w:r w:rsidRPr="007E2FA0">
        <w:t xml:space="preserve">och </w:t>
      </w:r>
      <w:r w:rsidR="003400DB" w:rsidRPr="007E2FA0">
        <w:t xml:space="preserve">Miljöpartiet </w:t>
      </w:r>
      <w:r w:rsidRPr="007E2FA0">
        <w:t>kompletterat det nuvarande tandvårdssystemet för äldre över 65 år med ett särskilt högkostnadsskydd. Reformen innebär ett skydd</w:t>
      </w:r>
      <w:r w:rsidR="007A5EA2" w:rsidRPr="007E2FA0">
        <w:t xml:space="preserve"> mot kostnader över 7 </w:t>
      </w:r>
      <w:r w:rsidR="003400DB" w:rsidRPr="007E2FA0">
        <w:t>700 kr</w:t>
      </w:r>
      <w:r w:rsidRPr="007E2FA0">
        <w:t xml:space="preserve"> vid större ingrepp som protetik och implantat. Givetvis ska även personer över 65 år omfattas av det generella högkostnadsskydd som </w:t>
      </w:r>
      <w:r w:rsidR="003400DB" w:rsidRPr="007E2FA0">
        <w:t>Vän</w:t>
      </w:r>
      <w:r w:rsidR="003400DB" w:rsidRPr="007E2FA0">
        <w:t>s</w:t>
      </w:r>
      <w:r w:rsidR="003400DB" w:rsidRPr="007E2FA0">
        <w:t xml:space="preserve">terpartiet </w:t>
      </w:r>
      <w:r w:rsidRPr="007E2FA0">
        <w:t xml:space="preserve">vill införa. Den pågående </w:t>
      </w:r>
      <w:r w:rsidR="003400DB" w:rsidRPr="007E2FA0">
        <w:t xml:space="preserve">Tandvårdsutredningen </w:t>
      </w:r>
      <w:r w:rsidRPr="007E2FA0">
        <w:t>håller på att se över den delen nu och blir inte klar förrän 1 december 2006. Därför är det svårt att i dagsläget göra en beräkning av vad det skulle kosta att inkludera den här gruppen i det generella högkostnadsskydd som vi föreslår. Vi vill dock preliminärt avsätta 2 miljarder för 2008 i vårt budgetförslag för detta ändamål, men det är en siffra so</w:t>
      </w:r>
      <w:r w:rsidR="003400DB" w:rsidRPr="007E2FA0">
        <w:t>m vi kommer att behöva revidera</w:t>
      </w:r>
      <w:r w:rsidRPr="007E2FA0">
        <w:t xml:space="preserve"> inför nästa budgetmotion.</w:t>
      </w:r>
    </w:p>
    <w:p w:rsidR="006366C8" w:rsidRPr="007E2FA0" w:rsidRDefault="006366C8">
      <w:pPr>
        <w:pStyle w:val="Normaltindrag"/>
        <w:shd w:val="clear" w:color="000000" w:fill="auto"/>
        <w:spacing w:after="120"/>
      </w:pPr>
      <w:r w:rsidRPr="007E2FA0">
        <w:t>Sammantaget så innebär detta följande kostnadsökningar för det nya tan</w:t>
      </w:r>
      <w:r w:rsidRPr="007E2FA0">
        <w:t>d</w:t>
      </w:r>
      <w:r w:rsidRPr="007E2FA0">
        <w:t>vårdsstödet (tusental kronor).</w:t>
      </w:r>
    </w:p>
    <w:tbl>
      <w:tblPr>
        <w:tblStyle w:val="Tabellrutnt"/>
        <w:tblW w:w="6035"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1200"/>
        <w:gridCol w:w="101"/>
        <w:gridCol w:w="1312"/>
        <w:gridCol w:w="101"/>
        <w:gridCol w:w="1413"/>
      </w:tblGrid>
      <w:tr w:rsidR="006366C8" w:rsidRPr="007E2FA0" w:rsidTr="00504EAC">
        <w:tc>
          <w:tcPr>
            <w:tcW w:w="1908" w:type="dxa"/>
            <w:tcBorders>
              <w:top w:val="single" w:sz="4" w:space="0" w:color="auto"/>
              <w:bottom w:val="single" w:sz="4" w:space="0" w:color="auto"/>
            </w:tcBorders>
          </w:tcPr>
          <w:p w:rsidR="006366C8" w:rsidRPr="007E2FA0" w:rsidRDefault="006366C8">
            <w:pPr>
              <w:pStyle w:val="Normaltindrag"/>
              <w:shd w:val="clear" w:color="000000" w:fill="auto"/>
              <w:spacing w:before="60" w:line="200" w:lineRule="exact"/>
              <w:jc w:val="right"/>
              <w:rPr>
                <w:b/>
                <w:sz w:val="16"/>
                <w:szCs w:val="16"/>
              </w:rPr>
            </w:pPr>
          </w:p>
        </w:tc>
        <w:tc>
          <w:tcPr>
            <w:tcW w:w="1200" w:type="dxa"/>
            <w:tcBorders>
              <w:top w:val="single" w:sz="4" w:space="0" w:color="auto"/>
              <w:bottom w:val="single" w:sz="4" w:space="0" w:color="auto"/>
            </w:tcBorders>
          </w:tcPr>
          <w:p w:rsidR="006366C8" w:rsidRPr="007E2FA0" w:rsidRDefault="006366C8">
            <w:pPr>
              <w:pStyle w:val="Normaltindrag"/>
              <w:shd w:val="clear" w:color="000000" w:fill="auto"/>
              <w:spacing w:before="60" w:line="200" w:lineRule="exact"/>
              <w:ind w:right="-7"/>
              <w:jc w:val="center"/>
              <w:rPr>
                <w:b/>
                <w:sz w:val="16"/>
                <w:szCs w:val="16"/>
              </w:rPr>
            </w:pPr>
            <w:r w:rsidRPr="007E2FA0">
              <w:rPr>
                <w:b/>
                <w:sz w:val="16"/>
                <w:szCs w:val="16"/>
              </w:rPr>
              <w:t>2007</w:t>
            </w:r>
          </w:p>
        </w:tc>
        <w:tc>
          <w:tcPr>
            <w:tcW w:w="1413" w:type="dxa"/>
            <w:gridSpan w:val="2"/>
            <w:tcBorders>
              <w:top w:val="single" w:sz="4" w:space="0" w:color="auto"/>
              <w:bottom w:val="single" w:sz="4" w:space="0" w:color="auto"/>
            </w:tcBorders>
          </w:tcPr>
          <w:p w:rsidR="006366C8" w:rsidRPr="007E2FA0" w:rsidRDefault="006366C8">
            <w:pPr>
              <w:pStyle w:val="Normaltindrag"/>
              <w:shd w:val="clear" w:color="000000" w:fill="auto"/>
              <w:spacing w:before="60" w:line="200" w:lineRule="exact"/>
              <w:ind w:right="-7"/>
              <w:jc w:val="center"/>
              <w:rPr>
                <w:b/>
                <w:sz w:val="16"/>
                <w:szCs w:val="16"/>
              </w:rPr>
            </w:pPr>
            <w:r w:rsidRPr="007E2FA0">
              <w:rPr>
                <w:b/>
                <w:sz w:val="16"/>
                <w:szCs w:val="16"/>
              </w:rPr>
              <w:t>2008</w:t>
            </w:r>
          </w:p>
        </w:tc>
        <w:tc>
          <w:tcPr>
            <w:tcW w:w="1514" w:type="dxa"/>
            <w:gridSpan w:val="2"/>
            <w:tcBorders>
              <w:top w:val="single" w:sz="4" w:space="0" w:color="auto"/>
              <w:bottom w:val="single" w:sz="4" w:space="0" w:color="auto"/>
            </w:tcBorders>
          </w:tcPr>
          <w:p w:rsidR="006366C8" w:rsidRPr="007E2FA0" w:rsidRDefault="006366C8">
            <w:pPr>
              <w:pStyle w:val="Normaltindrag"/>
              <w:shd w:val="clear" w:color="000000" w:fill="auto"/>
              <w:spacing w:before="60" w:line="200" w:lineRule="exact"/>
              <w:ind w:right="-7"/>
              <w:jc w:val="center"/>
              <w:rPr>
                <w:b/>
                <w:sz w:val="16"/>
                <w:szCs w:val="16"/>
              </w:rPr>
            </w:pPr>
            <w:r w:rsidRPr="007E2FA0">
              <w:rPr>
                <w:b/>
                <w:sz w:val="16"/>
                <w:szCs w:val="16"/>
              </w:rPr>
              <w:t>2009</w:t>
            </w:r>
          </w:p>
        </w:tc>
      </w:tr>
      <w:tr w:rsidR="006366C8" w:rsidRPr="007E2FA0" w:rsidTr="00E902D9">
        <w:tc>
          <w:tcPr>
            <w:tcW w:w="1908" w:type="dxa"/>
            <w:tcBorders>
              <w:top w:val="single" w:sz="4" w:space="0" w:color="auto"/>
            </w:tcBorders>
            <w:vAlign w:val="bottom"/>
          </w:tcPr>
          <w:p w:rsidR="006366C8" w:rsidRPr="007E2FA0" w:rsidRDefault="006366C8">
            <w:pPr>
              <w:shd w:val="clear" w:color="000000" w:fill="auto"/>
              <w:spacing w:before="60" w:line="200" w:lineRule="exact"/>
              <w:jc w:val="left"/>
              <w:rPr>
                <w:sz w:val="16"/>
                <w:szCs w:val="16"/>
              </w:rPr>
            </w:pPr>
            <w:r w:rsidRPr="007E2FA0">
              <w:rPr>
                <w:sz w:val="16"/>
                <w:szCs w:val="16"/>
              </w:rPr>
              <w:t>Grundstöd</w:t>
            </w:r>
          </w:p>
        </w:tc>
        <w:tc>
          <w:tcPr>
            <w:tcW w:w="1301" w:type="dxa"/>
            <w:gridSpan w:val="2"/>
            <w:tcBorders>
              <w:top w:val="single" w:sz="4" w:space="0" w:color="auto"/>
            </w:tcBorders>
            <w:vAlign w:val="bottom"/>
          </w:tcPr>
          <w:p w:rsidR="006366C8" w:rsidRPr="007E2FA0" w:rsidRDefault="006366C8">
            <w:pPr>
              <w:shd w:val="clear" w:color="000000" w:fill="auto"/>
              <w:spacing w:before="60" w:line="200" w:lineRule="exact"/>
              <w:ind w:left="-27" w:right="113" w:firstLine="27"/>
              <w:jc w:val="right"/>
              <w:rPr>
                <w:sz w:val="16"/>
                <w:szCs w:val="16"/>
              </w:rPr>
            </w:pPr>
            <w:r w:rsidRPr="007E2FA0">
              <w:rPr>
                <w:sz w:val="16"/>
                <w:szCs w:val="16"/>
              </w:rPr>
              <w:t>500 000 tkr</w:t>
            </w:r>
          </w:p>
        </w:tc>
        <w:tc>
          <w:tcPr>
            <w:tcW w:w="1413" w:type="dxa"/>
            <w:gridSpan w:val="2"/>
            <w:tcBorders>
              <w:top w:val="single" w:sz="4" w:space="0" w:color="auto"/>
            </w:tcBorders>
            <w:vAlign w:val="bottom"/>
          </w:tcPr>
          <w:p w:rsidR="006366C8" w:rsidRPr="007E2FA0" w:rsidRDefault="006366C8">
            <w:pPr>
              <w:shd w:val="clear" w:color="000000" w:fill="auto"/>
              <w:spacing w:before="60" w:line="200" w:lineRule="exact"/>
              <w:ind w:right="206"/>
              <w:jc w:val="right"/>
              <w:rPr>
                <w:sz w:val="16"/>
                <w:szCs w:val="16"/>
              </w:rPr>
            </w:pPr>
            <w:r w:rsidRPr="007E2FA0">
              <w:rPr>
                <w:sz w:val="16"/>
                <w:szCs w:val="16"/>
              </w:rPr>
              <w:t>1 700 000 tkr</w:t>
            </w:r>
          </w:p>
        </w:tc>
        <w:tc>
          <w:tcPr>
            <w:tcW w:w="1413" w:type="dxa"/>
            <w:tcBorders>
              <w:top w:val="single" w:sz="4" w:space="0" w:color="auto"/>
            </w:tcBorders>
            <w:vAlign w:val="bottom"/>
          </w:tcPr>
          <w:p w:rsidR="006366C8" w:rsidRPr="007E2FA0" w:rsidRDefault="006366C8">
            <w:pPr>
              <w:shd w:val="clear" w:color="000000" w:fill="auto"/>
              <w:spacing w:before="60" w:line="200" w:lineRule="exact"/>
              <w:ind w:right="179"/>
              <w:jc w:val="right"/>
              <w:rPr>
                <w:sz w:val="16"/>
                <w:szCs w:val="16"/>
              </w:rPr>
            </w:pPr>
            <w:r w:rsidRPr="007E2FA0">
              <w:rPr>
                <w:sz w:val="16"/>
                <w:szCs w:val="16"/>
              </w:rPr>
              <w:t>1 700 000 tkr</w:t>
            </w:r>
          </w:p>
        </w:tc>
      </w:tr>
      <w:tr w:rsidR="006366C8" w:rsidRPr="007E2FA0" w:rsidTr="00E902D9">
        <w:tc>
          <w:tcPr>
            <w:tcW w:w="1908" w:type="dxa"/>
            <w:vAlign w:val="bottom"/>
          </w:tcPr>
          <w:p w:rsidR="006366C8" w:rsidRPr="007E2FA0" w:rsidRDefault="007A5EA2">
            <w:pPr>
              <w:shd w:val="clear" w:color="000000" w:fill="auto"/>
              <w:spacing w:before="60" w:line="200" w:lineRule="exact"/>
              <w:jc w:val="left"/>
              <w:rPr>
                <w:sz w:val="16"/>
                <w:szCs w:val="16"/>
              </w:rPr>
            </w:pPr>
            <w:r w:rsidRPr="007E2FA0">
              <w:rPr>
                <w:sz w:val="16"/>
                <w:szCs w:val="16"/>
              </w:rPr>
              <w:t>Högkostnadsskydd 20–</w:t>
            </w:r>
            <w:r w:rsidR="006366C8" w:rsidRPr="007E2FA0">
              <w:rPr>
                <w:sz w:val="16"/>
                <w:szCs w:val="16"/>
              </w:rPr>
              <w:t>64</w:t>
            </w:r>
          </w:p>
        </w:tc>
        <w:tc>
          <w:tcPr>
            <w:tcW w:w="1301" w:type="dxa"/>
            <w:gridSpan w:val="2"/>
            <w:vAlign w:val="bottom"/>
          </w:tcPr>
          <w:p w:rsidR="006366C8" w:rsidRPr="007E2FA0" w:rsidRDefault="006366C8">
            <w:pPr>
              <w:shd w:val="clear" w:color="000000" w:fill="auto"/>
              <w:spacing w:before="60" w:line="200" w:lineRule="exact"/>
              <w:ind w:right="113"/>
              <w:jc w:val="right"/>
              <w:rPr>
                <w:sz w:val="16"/>
                <w:szCs w:val="16"/>
              </w:rPr>
            </w:pPr>
          </w:p>
        </w:tc>
        <w:tc>
          <w:tcPr>
            <w:tcW w:w="1413" w:type="dxa"/>
            <w:gridSpan w:val="2"/>
            <w:vAlign w:val="bottom"/>
          </w:tcPr>
          <w:p w:rsidR="006366C8" w:rsidRPr="007E2FA0" w:rsidRDefault="006366C8">
            <w:pPr>
              <w:shd w:val="clear" w:color="000000" w:fill="auto"/>
              <w:spacing w:before="60" w:line="200" w:lineRule="exact"/>
              <w:ind w:right="206"/>
              <w:jc w:val="right"/>
              <w:rPr>
                <w:sz w:val="16"/>
                <w:szCs w:val="16"/>
              </w:rPr>
            </w:pPr>
            <w:r w:rsidRPr="007E2FA0">
              <w:rPr>
                <w:sz w:val="16"/>
                <w:szCs w:val="16"/>
              </w:rPr>
              <w:t>6 300 000 tkr</w:t>
            </w:r>
          </w:p>
        </w:tc>
        <w:tc>
          <w:tcPr>
            <w:tcW w:w="1413" w:type="dxa"/>
            <w:vAlign w:val="bottom"/>
          </w:tcPr>
          <w:p w:rsidR="006366C8" w:rsidRPr="007E2FA0" w:rsidRDefault="006366C8">
            <w:pPr>
              <w:shd w:val="clear" w:color="000000" w:fill="auto"/>
              <w:spacing w:before="60" w:line="200" w:lineRule="exact"/>
              <w:ind w:right="179"/>
              <w:jc w:val="right"/>
              <w:rPr>
                <w:sz w:val="16"/>
                <w:szCs w:val="16"/>
              </w:rPr>
            </w:pPr>
            <w:r w:rsidRPr="007E2FA0">
              <w:rPr>
                <w:sz w:val="16"/>
                <w:szCs w:val="16"/>
              </w:rPr>
              <w:t>6 300 000 tkr</w:t>
            </w:r>
          </w:p>
        </w:tc>
      </w:tr>
      <w:tr w:rsidR="006366C8" w:rsidRPr="007E2FA0" w:rsidTr="0084749E">
        <w:tc>
          <w:tcPr>
            <w:tcW w:w="1908" w:type="dxa"/>
            <w:tcBorders>
              <w:bottom w:val="nil"/>
            </w:tcBorders>
            <w:vAlign w:val="bottom"/>
          </w:tcPr>
          <w:p w:rsidR="006366C8" w:rsidRPr="007E2FA0" w:rsidRDefault="007A5EA2">
            <w:pPr>
              <w:shd w:val="clear" w:color="000000" w:fill="auto"/>
              <w:spacing w:before="60" w:line="200" w:lineRule="exact"/>
              <w:jc w:val="left"/>
              <w:rPr>
                <w:sz w:val="16"/>
                <w:szCs w:val="16"/>
              </w:rPr>
            </w:pPr>
            <w:r w:rsidRPr="007E2FA0">
              <w:rPr>
                <w:sz w:val="16"/>
                <w:szCs w:val="16"/>
              </w:rPr>
              <w:t>Högkostnadsskydd 65 plus</w:t>
            </w:r>
            <w:r w:rsidR="006366C8" w:rsidRPr="007E2FA0">
              <w:rPr>
                <w:sz w:val="16"/>
                <w:szCs w:val="16"/>
              </w:rPr>
              <w:t xml:space="preserve"> (preliminärt)</w:t>
            </w:r>
          </w:p>
        </w:tc>
        <w:tc>
          <w:tcPr>
            <w:tcW w:w="1301" w:type="dxa"/>
            <w:gridSpan w:val="2"/>
            <w:tcBorders>
              <w:bottom w:val="nil"/>
            </w:tcBorders>
            <w:vAlign w:val="bottom"/>
          </w:tcPr>
          <w:p w:rsidR="006366C8" w:rsidRPr="007E2FA0" w:rsidRDefault="006366C8">
            <w:pPr>
              <w:shd w:val="clear" w:color="000000" w:fill="auto"/>
              <w:spacing w:before="60" w:line="200" w:lineRule="exact"/>
              <w:ind w:right="113"/>
              <w:jc w:val="right"/>
              <w:rPr>
                <w:sz w:val="16"/>
                <w:szCs w:val="16"/>
              </w:rPr>
            </w:pPr>
          </w:p>
        </w:tc>
        <w:tc>
          <w:tcPr>
            <w:tcW w:w="1413" w:type="dxa"/>
            <w:gridSpan w:val="2"/>
            <w:tcBorders>
              <w:bottom w:val="nil"/>
            </w:tcBorders>
            <w:vAlign w:val="bottom"/>
          </w:tcPr>
          <w:p w:rsidR="006366C8" w:rsidRPr="007E2FA0" w:rsidRDefault="006366C8">
            <w:pPr>
              <w:shd w:val="clear" w:color="000000" w:fill="auto"/>
              <w:spacing w:before="60" w:line="200" w:lineRule="exact"/>
              <w:ind w:right="206"/>
              <w:jc w:val="right"/>
              <w:rPr>
                <w:sz w:val="16"/>
                <w:szCs w:val="16"/>
              </w:rPr>
            </w:pPr>
            <w:r w:rsidRPr="007E2FA0">
              <w:rPr>
                <w:sz w:val="16"/>
                <w:szCs w:val="16"/>
              </w:rPr>
              <w:t>2 000 000 tkr</w:t>
            </w:r>
          </w:p>
        </w:tc>
        <w:tc>
          <w:tcPr>
            <w:tcW w:w="1413" w:type="dxa"/>
            <w:tcBorders>
              <w:bottom w:val="nil"/>
            </w:tcBorders>
            <w:vAlign w:val="bottom"/>
          </w:tcPr>
          <w:p w:rsidR="006366C8" w:rsidRPr="007E2FA0" w:rsidRDefault="006366C8">
            <w:pPr>
              <w:shd w:val="clear" w:color="000000" w:fill="auto"/>
              <w:spacing w:before="60" w:line="200" w:lineRule="exact"/>
              <w:ind w:right="179"/>
              <w:jc w:val="right"/>
              <w:rPr>
                <w:sz w:val="16"/>
                <w:szCs w:val="16"/>
              </w:rPr>
            </w:pPr>
            <w:r w:rsidRPr="007E2FA0">
              <w:rPr>
                <w:sz w:val="16"/>
                <w:szCs w:val="16"/>
              </w:rPr>
              <w:t>2 000 000 tkr</w:t>
            </w:r>
          </w:p>
        </w:tc>
      </w:tr>
      <w:tr w:rsidR="006366C8" w:rsidRPr="007E2FA0" w:rsidTr="0084749E">
        <w:tc>
          <w:tcPr>
            <w:tcW w:w="1908" w:type="dxa"/>
            <w:tcBorders>
              <w:top w:val="nil"/>
              <w:bottom w:val="single" w:sz="8" w:space="0" w:color="auto"/>
            </w:tcBorders>
            <w:vAlign w:val="bottom"/>
          </w:tcPr>
          <w:p w:rsidR="006366C8" w:rsidRPr="007E2FA0" w:rsidRDefault="006366C8">
            <w:pPr>
              <w:shd w:val="clear" w:color="000000" w:fill="auto"/>
              <w:spacing w:before="60" w:line="200" w:lineRule="exact"/>
              <w:jc w:val="left"/>
              <w:rPr>
                <w:b/>
                <w:sz w:val="16"/>
                <w:szCs w:val="16"/>
              </w:rPr>
            </w:pPr>
            <w:r w:rsidRPr="007E2FA0">
              <w:rPr>
                <w:b/>
                <w:sz w:val="16"/>
                <w:szCs w:val="16"/>
              </w:rPr>
              <w:t>Summa</w:t>
            </w:r>
          </w:p>
        </w:tc>
        <w:tc>
          <w:tcPr>
            <w:tcW w:w="1301" w:type="dxa"/>
            <w:gridSpan w:val="2"/>
            <w:tcBorders>
              <w:top w:val="nil"/>
              <w:bottom w:val="single" w:sz="8" w:space="0" w:color="auto"/>
            </w:tcBorders>
            <w:vAlign w:val="bottom"/>
          </w:tcPr>
          <w:p w:rsidR="006366C8" w:rsidRPr="007E2FA0" w:rsidRDefault="006366C8">
            <w:pPr>
              <w:shd w:val="clear" w:color="000000" w:fill="auto"/>
              <w:spacing w:before="60" w:line="200" w:lineRule="exact"/>
              <w:ind w:right="113"/>
              <w:jc w:val="right"/>
              <w:rPr>
                <w:b/>
                <w:sz w:val="16"/>
                <w:szCs w:val="16"/>
              </w:rPr>
            </w:pPr>
            <w:r w:rsidRPr="007E2FA0">
              <w:rPr>
                <w:b/>
                <w:sz w:val="16"/>
                <w:szCs w:val="16"/>
              </w:rPr>
              <w:t>500 000 tkr</w:t>
            </w:r>
          </w:p>
        </w:tc>
        <w:tc>
          <w:tcPr>
            <w:tcW w:w="1413" w:type="dxa"/>
            <w:gridSpan w:val="2"/>
            <w:tcBorders>
              <w:top w:val="nil"/>
              <w:bottom w:val="single" w:sz="8" w:space="0" w:color="auto"/>
            </w:tcBorders>
            <w:vAlign w:val="bottom"/>
          </w:tcPr>
          <w:p w:rsidR="006366C8" w:rsidRPr="007E2FA0" w:rsidRDefault="006366C8">
            <w:pPr>
              <w:shd w:val="clear" w:color="000000" w:fill="auto"/>
              <w:spacing w:before="60" w:line="200" w:lineRule="exact"/>
              <w:ind w:right="206"/>
              <w:jc w:val="right"/>
              <w:rPr>
                <w:b/>
                <w:sz w:val="16"/>
                <w:szCs w:val="16"/>
              </w:rPr>
            </w:pPr>
            <w:r w:rsidRPr="007E2FA0">
              <w:rPr>
                <w:b/>
                <w:sz w:val="16"/>
                <w:szCs w:val="16"/>
              </w:rPr>
              <w:t>10 000 000 tkr</w:t>
            </w:r>
          </w:p>
        </w:tc>
        <w:tc>
          <w:tcPr>
            <w:tcW w:w="1413" w:type="dxa"/>
            <w:tcBorders>
              <w:top w:val="nil"/>
              <w:bottom w:val="single" w:sz="8" w:space="0" w:color="auto"/>
            </w:tcBorders>
            <w:vAlign w:val="bottom"/>
          </w:tcPr>
          <w:p w:rsidR="006366C8" w:rsidRPr="007E2FA0" w:rsidRDefault="006366C8">
            <w:pPr>
              <w:shd w:val="clear" w:color="000000" w:fill="auto"/>
              <w:spacing w:before="60" w:line="200" w:lineRule="exact"/>
              <w:ind w:right="179"/>
              <w:jc w:val="right"/>
              <w:rPr>
                <w:b/>
                <w:sz w:val="16"/>
                <w:szCs w:val="16"/>
              </w:rPr>
            </w:pPr>
            <w:r w:rsidRPr="007E2FA0">
              <w:rPr>
                <w:b/>
                <w:sz w:val="16"/>
                <w:szCs w:val="16"/>
              </w:rPr>
              <w:t>10 000 000 tkr</w:t>
            </w:r>
          </w:p>
        </w:tc>
      </w:tr>
    </w:tbl>
    <w:p w:rsidR="006366C8" w:rsidRPr="007E2FA0" w:rsidRDefault="006366C8">
      <w:pPr>
        <w:shd w:val="clear" w:color="000000" w:fill="auto"/>
      </w:pPr>
      <w:bookmarkStart w:id="3" w:name="_Toc148861381"/>
      <w:r w:rsidRPr="007E2FA0">
        <w:t xml:space="preserve">Pengar för detta ändamål förslås i </w:t>
      </w:r>
      <w:r w:rsidR="003400DB" w:rsidRPr="007E2FA0">
        <w:t xml:space="preserve">Vänsterpartiets </w:t>
      </w:r>
      <w:r w:rsidRPr="007E2FA0">
        <w:t xml:space="preserve">motion för utgiftsområde 9 Hälsovård, </w:t>
      </w:r>
      <w:r w:rsidR="003400DB" w:rsidRPr="007E2FA0">
        <w:t>sjukvård och social omsorg (So439</w:t>
      </w:r>
      <w:r w:rsidRPr="007E2FA0">
        <w:t>).</w:t>
      </w:r>
    </w:p>
    <w:p w:rsidR="006366C8" w:rsidRPr="007E2FA0" w:rsidRDefault="006366C8">
      <w:pPr>
        <w:pStyle w:val="Rubrik1"/>
        <w:shd w:val="clear" w:color="000000" w:fill="auto"/>
      </w:pPr>
      <w:r w:rsidRPr="007E2FA0">
        <w:t>Förbättra innehållet och kvaliteten i tandvården</w:t>
      </w:r>
      <w:bookmarkEnd w:id="3"/>
    </w:p>
    <w:p w:rsidR="006366C8" w:rsidRPr="007E2FA0" w:rsidRDefault="006366C8">
      <w:pPr>
        <w:shd w:val="clear" w:color="000000" w:fill="auto"/>
      </w:pPr>
      <w:r w:rsidRPr="007E2FA0">
        <w:t>Vi vet att tandhälsan har betydelse både för kroppens och själens hälsa. Det handlar inte bara om utseendet och tuggförmågan. Det finns också ett sa</w:t>
      </w:r>
      <w:r w:rsidRPr="007E2FA0">
        <w:t>m</w:t>
      </w:r>
      <w:r w:rsidRPr="007E2FA0">
        <w:t>band mellan tandhälsan och andra sjukdomar. Sjukdomar som diabetes och stroke innebär ökad risk för sjukdomar i tänderna. Därför behövs ett mer utvecklat samarbete mellan tandvården och den övriga hälso- och sjukvården.</w:t>
      </w:r>
    </w:p>
    <w:p w:rsidR="006366C8" w:rsidRPr="007E2FA0" w:rsidRDefault="006366C8">
      <w:pPr>
        <w:pStyle w:val="Normaltindrag"/>
        <w:shd w:val="clear" w:color="000000" w:fill="auto"/>
      </w:pPr>
      <w:r w:rsidRPr="007E2FA0">
        <w:t>Den förebyggande tandvården är viktig. Förebyggande tandvård handlar om allt ifrån basala åtgärder som tandborstning, fluorsköljning och goda ma</w:t>
      </w:r>
      <w:r w:rsidRPr="007E2FA0">
        <w:t>t</w:t>
      </w:r>
      <w:r w:rsidRPr="007E2FA0">
        <w:t xml:space="preserve">vanor till mer avancerad hjälp av tandhygienist och tandläkare. Kunskap är som i allt folkhälsoarbete </w:t>
      </w:r>
      <w:r w:rsidR="003400DB" w:rsidRPr="007E2FA0">
        <w:t>A</w:t>
      </w:r>
      <w:r w:rsidRPr="007E2FA0">
        <w:t xml:space="preserve"> och </w:t>
      </w:r>
      <w:r w:rsidR="003400DB" w:rsidRPr="007E2FA0">
        <w:t>O,</w:t>
      </w:r>
      <w:r w:rsidRPr="007E2FA0">
        <w:t xml:space="preserve"> varför viktiga aktörer är skolhälsovård, barnavårdscentraler, primärvård, apotek med flera. Mot den bakgrunden finns det goda skäl att sträva efter att folktandvården i högre utsträckning bör finnas i anslutning till primärvården. Detta bör riksdagen som sin mening ge rege</w:t>
      </w:r>
      <w:r w:rsidRPr="007E2FA0">
        <w:t>r</w:t>
      </w:r>
      <w:r w:rsidRPr="007E2FA0">
        <w:t>ingen till känna.</w:t>
      </w:r>
    </w:p>
    <w:p w:rsidR="006366C8" w:rsidRPr="007E2FA0" w:rsidRDefault="006366C8">
      <w:pPr>
        <w:pStyle w:val="Normaltindrag"/>
        <w:shd w:val="clear" w:color="000000" w:fill="auto"/>
      </w:pPr>
      <w:r w:rsidRPr="007E2FA0">
        <w:t>Att regelbundet gå till tandläkaren utgör också ett viktigt förebyggande av tandsjukdomar genom att hål, infektioner och andra tillstånd snabbt kan up</w:t>
      </w:r>
      <w:r w:rsidRPr="007E2FA0">
        <w:t>p</w:t>
      </w:r>
      <w:r w:rsidRPr="007E2FA0">
        <w:t>täckas och åtgärdas så att inte större ohälsa utvecklas.</w:t>
      </w:r>
    </w:p>
    <w:p w:rsidR="006366C8" w:rsidRPr="007E2FA0" w:rsidRDefault="006366C8">
      <w:pPr>
        <w:pStyle w:val="Normaltindrag"/>
        <w:shd w:val="clear" w:color="000000" w:fill="auto"/>
      </w:pPr>
      <w:r w:rsidRPr="007E2FA0">
        <w:t>Inom hälso- och sjukvården har tillsyn och uppföljning av kvaliteten u</w:t>
      </w:r>
      <w:r w:rsidRPr="007E2FA0">
        <w:t>t</w:t>
      </w:r>
      <w:r w:rsidRPr="007E2FA0">
        <w:t>vecklats under senare år. I det arbetet tycker vi att tandvården släpat efter. Det finns ett lika stort behov av kvalitetsuppföljning inom tandvården som i annan hälso- och sjukvård. En satsning på kvalitetssäkring inom tandvården skulle innebära ökad tillsyn av kompetens, behandlingsriktlinjer, ökade möjligheter att framföra klagomål för patienten, produktkontroller och inte minst garantier vid behandling. I dag kan en patient få en åtgärd utförd på flera olika sätt och till olika kostnader utan att få en rimlig vägledning om vilken åtgärd som bäst uppfyller behovet. Dessutom kan mycket dyra åtgärder göras utan att patie</w:t>
      </w:r>
      <w:r w:rsidRPr="007E2FA0">
        <w:t>n</w:t>
      </w:r>
      <w:r w:rsidRPr="007E2FA0">
        <w:t xml:space="preserve">ten har möjlighet att reklamera arbetet om något skulle hända en kort tid efter ingreppet. Därför bör </w:t>
      </w:r>
      <w:r w:rsidR="003400DB" w:rsidRPr="007E2FA0">
        <w:t xml:space="preserve">Socialstyrelsen </w:t>
      </w:r>
      <w:r w:rsidRPr="007E2FA0">
        <w:t>ges i uppdrag att göra en satsning på kvalitetsutveckling inom tandvården med riktlinjer för behandling och mat</w:t>
      </w:r>
      <w:r w:rsidRPr="007E2FA0">
        <w:t>e</w:t>
      </w:r>
      <w:r w:rsidRPr="007E2FA0">
        <w:t>rial samt ökad samverkan med hälso- och sjukvården. Detta bör riksdagen som sin mening ge regeringen till känna.</w:t>
      </w:r>
    </w:p>
    <w:p w:rsidR="006366C8" w:rsidRPr="007E2FA0" w:rsidRDefault="006366C8">
      <w:pPr>
        <w:pStyle w:val="Normaltindrag"/>
        <w:shd w:val="clear" w:color="000000" w:fill="auto"/>
      </w:pPr>
      <w:r w:rsidRPr="007E2FA0">
        <w:t>Många tandläkare har frivilligt infört en garanti vid behandling, men den är inte obligatorisk. När ett generellt högkostnadsskydd för tandvården är infört kan de ekonomiska motiven för patienten bli mindre viktigt. Men det är fortfarande viktigt för samhället med garantier och för att pati</w:t>
      </w:r>
      <w:r w:rsidR="003400DB" w:rsidRPr="007E2FA0">
        <w:t>enten ska känna trygghet och få</w:t>
      </w:r>
      <w:r w:rsidRPr="007E2FA0">
        <w:t xml:space="preserve"> kvaliteten på behandlingen säkrad. Därför bör det införas en obligatorisk garanti för utförda arbeten inom tandvården. Detta bör riksdagen som sin mening ge regeringen till känna.</w:t>
      </w:r>
    </w:p>
    <w:p w:rsidR="006366C8" w:rsidRPr="007E2FA0" w:rsidRDefault="006366C8">
      <w:pPr>
        <w:pStyle w:val="Normaltindrag"/>
        <w:shd w:val="clear" w:color="000000" w:fill="auto"/>
      </w:pPr>
      <w:r w:rsidRPr="007E2FA0">
        <w:t>Tandfyllningsmaterial är en viktig kvalitets- och miljöfråga inom tandvå</w:t>
      </w:r>
      <w:r w:rsidRPr="007E2FA0">
        <w:t>r</w:t>
      </w:r>
      <w:r w:rsidRPr="007E2FA0">
        <w:t>den. Det finns behov av både uppföljningar, tillsyn och forskning om de tan</w:t>
      </w:r>
      <w:r w:rsidRPr="007E2FA0">
        <w:t>d</w:t>
      </w:r>
      <w:r w:rsidRPr="007E2FA0">
        <w:t>fyllningsmaterial som används i dag. Det handlar om tandvårdspersonalens arbetsmiljö, patientens säkerhet och värnandet om miljön. Amalgam som länge varit ett ifrågasatt tandfyllningsmaterial subventioneras inte längre och är på väg att försvinna helt, med ett viktigt undantag. Det förekommer fortf</w:t>
      </w:r>
      <w:r w:rsidRPr="007E2FA0">
        <w:t>a</w:t>
      </w:r>
      <w:r w:rsidRPr="007E2FA0">
        <w:t>rande att barn med funktionshinder får fyllningar med amalgam trots att det egentligen råder totalförbud för amalgamfyllningar just för barn. Motivet för detta är att man anser sig behöva särskilt hållbara material för vissa av dessa barn. Vi menar att det är oerhört cyniskt att ett skadligt tandfyllningsmaterial ska kunna användas för att laga tänderna på barn som inte sällan saknar mö</w:t>
      </w:r>
      <w:r w:rsidRPr="007E2FA0">
        <w:t>j</w:t>
      </w:r>
      <w:r w:rsidRPr="007E2FA0">
        <w:t>lighet att själva uttrycka sin vilja. Därför bör ett förbud mot den här typen av dispens för amalgamfyllningar till barn införas. Detta bör riksdagen som sin mening ge regeringen till känna.</w:t>
      </w:r>
    </w:p>
    <w:p w:rsidR="006366C8" w:rsidRPr="007E2FA0" w:rsidRDefault="006366C8">
      <w:pPr>
        <w:pStyle w:val="Normaltindrag"/>
        <w:shd w:val="clear" w:color="000000" w:fill="auto"/>
      </w:pPr>
      <w:r w:rsidRPr="007E2FA0">
        <w:t>Uppföljning av tandvården, tandhälsan och tandvårdsutnyttjandet har inte granskats ur ett genusperspektiv. Den statliga utredningen Tandvården till 2010 (SOU 2002:53) konstaterade dock att det var få delar utifrån deras u</w:t>
      </w:r>
      <w:r w:rsidRPr="007E2FA0">
        <w:t>n</w:t>
      </w:r>
      <w:r w:rsidRPr="007E2FA0">
        <w:t>dersökning som pekade på några större skillnader mellan kvinnor och män med ett undantag. Det gäller ökat tandvårdsbehov på grund av långvarig sju</w:t>
      </w:r>
      <w:r w:rsidRPr="007E2FA0">
        <w:t>k</w:t>
      </w:r>
      <w:r w:rsidRPr="007E2FA0">
        <w:t>dom eller funktionshinder. Sjukdomar som berördes var bland annat reum</w:t>
      </w:r>
      <w:r w:rsidRPr="007E2FA0">
        <w:t>a</w:t>
      </w:r>
      <w:r w:rsidRPr="007E2FA0">
        <w:t>tiska sjukdomar och ätstörningar som oftare drabbar kvinnor. De nuvarande systemen för extra tandvårdsstöd täcker inte heller in dessa grupper. Tandvå</w:t>
      </w:r>
      <w:r w:rsidRPr="007E2FA0">
        <w:t>r</w:t>
      </w:r>
      <w:r w:rsidRPr="007E2FA0">
        <w:t>den bör därför utvärderas ur ett genusperspektiv. Detta bör riksdagen som sin mening ge regeringen till känna.</w:t>
      </w:r>
    </w:p>
    <w:p w:rsidR="006366C8" w:rsidRPr="007E2FA0" w:rsidRDefault="006366C8">
      <w:pPr>
        <w:pStyle w:val="Rubrik1"/>
        <w:shd w:val="clear" w:color="000000" w:fill="auto"/>
      </w:pPr>
      <w:bookmarkStart w:id="4" w:name="_Toc148861382"/>
      <w:r w:rsidRPr="007E2FA0">
        <w:t>Tandutdragningar vid reumatiska sjukdomar</w:t>
      </w:r>
      <w:bookmarkEnd w:id="4"/>
    </w:p>
    <w:p w:rsidR="006366C8" w:rsidRPr="007E2FA0" w:rsidRDefault="006366C8">
      <w:pPr>
        <w:shd w:val="clear" w:color="000000" w:fill="auto"/>
      </w:pPr>
      <w:r w:rsidRPr="007E2FA0">
        <w:t xml:space="preserve">Under en period, framför allt under </w:t>
      </w:r>
      <w:r w:rsidR="003400DB" w:rsidRPr="007E2FA0">
        <w:t>1940–19</w:t>
      </w:r>
      <w:r w:rsidRPr="007E2FA0">
        <w:t>50-talen, behandlades vissa re</w:t>
      </w:r>
      <w:r w:rsidRPr="007E2FA0">
        <w:t>u</w:t>
      </w:r>
      <w:r w:rsidRPr="007E2FA0">
        <w:t>matiker genom tandutdragning. Många reumatiker, framför allt kvinnor, fick i unga år samtliga tänder utdragna och tvingades därefter att använda protes. Vi vet att tänder och tandstatus är en mycket viktig del av det generella välbefi</w:t>
      </w:r>
      <w:r w:rsidRPr="007E2FA0">
        <w:t>n</w:t>
      </w:r>
      <w:r w:rsidRPr="007E2FA0">
        <w:t>nandet och hälsan, varför vi enkelt kan förstå det trauma det måste ha inneb</w:t>
      </w:r>
      <w:r w:rsidRPr="007E2FA0">
        <w:t>u</w:t>
      </w:r>
      <w:r w:rsidRPr="007E2FA0">
        <w:t>rit att få samtliga tänder avlägsnade. Ingreppen utfördes utifrån det kunskap</w:t>
      </w:r>
      <w:r w:rsidRPr="007E2FA0">
        <w:t>s</w:t>
      </w:r>
      <w:r w:rsidRPr="007E2FA0">
        <w:t>läge som rådde vid denna tid. Men vi kan konstatera att några behandling</w:t>
      </w:r>
      <w:r w:rsidRPr="007E2FA0">
        <w:t>s</w:t>
      </w:r>
      <w:r w:rsidRPr="007E2FA0">
        <w:t>former som i en dåtid betraktats som lege artis nu berättigar till ersättning</w:t>
      </w:r>
      <w:r w:rsidR="003400DB" w:rsidRPr="007E2FA0">
        <w:t>,</w:t>
      </w:r>
      <w:r w:rsidRPr="007E2FA0">
        <w:t xml:space="preserve"> t.ex. </w:t>
      </w:r>
      <w:r w:rsidR="003400DB" w:rsidRPr="007E2FA0">
        <w:t xml:space="preserve">till </w:t>
      </w:r>
      <w:r w:rsidRPr="007E2FA0">
        <w:t>talidomidskadade. Vi bedömer att tandutdragningar hos reumatiker är en sådan behandling. Vänsterpartiet menar därför att regeringen bör utreda omfattning och konsekvenserna för de drabbade samt återkomma till riksd</w:t>
      </w:r>
      <w:r w:rsidRPr="007E2FA0">
        <w:t>a</w:t>
      </w:r>
      <w:r w:rsidRPr="007E2FA0">
        <w:t>gen med en redovisning.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FA0">
        <w:trPr>
          <w:cantSplit/>
        </w:trPr>
        <w:tc>
          <w:tcPr>
            <w:tcW w:w="3046" w:type="dxa"/>
          </w:tcPr>
          <w:p w:rsidR="00AD7DA0" w:rsidRPr="007E2FA0" w:rsidRDefault="00AD7DA0">
            <w:pPr>
              <w:pStyle w:val="UnderskriftDatum"/>
              <w:shd w:val="clear" w:color="000000" w:fill="auto"/>
              <w:spacing w:before="240"/>
            </w:pPr>
            <w:r w:rsidRPr="007E2FA0">
              <w:t>Stockholm den 29 oktober 2006</w:t>
            </w:r>
          </w:p>
        </w:tc>
        <w:tc>
          <w:tcPr>
            <w:tcW w:w="3047" w:type="dxa"/>
          </w:tcPr>
          <w:p w:rsidR="00AD7DA0" w:rsidRPr="007E2FA0" w:rsidRDefault="00AD7DA0">
            <w:pPr>
              <w:pStyle w:val="Underskrifter"/>
              <w:shd w:val="clear" w:color="000000" w:fill="auto"/>
              <w:spacing w:before="240"/>
            </w:pPr>
          </w:p>
        </w:tc>
      </w:tr>
      <w:tr w:rsidR="00000000" w:rsidRPr="007E2FA0">
        <w:trPr>
          <w:cantSplit/>
        </w:trPr>
        <w:tc>
          <w:tcPr>
            <w:tcW w:w="3046" w:type="dxa"/>
          </w:tcPr>
          <w:p w:rsidR="00AD7DA0" w:rsidRPr="007E2FA0" w:rsidRDefault="00AD7DA0">
            <w:pPr>
              <w:pStyle w:val="Underskrifter"/>
              <w:shd w:val="clear" w:color="000000" w:fill="auto"/>
            </w:pPr>
            <w:r w:rsidRPr="007E2FA0">
              <w:t>Lars Ohly (v)</w:t>
            </w:r>
          </w:p>
        </w:tc>
        <w:tc>
          <w:tcPr>
            <w:tcW w:w="3046" w:type="dxa"/>
          </w:tcPr>
          <w:p w:rsidR="00AD7DA0" w:rsidRPr="007E2FA0" w:rsidRDefault="00AD7DA0">
            <w:pPr>
              <w:pStyle w:val="Underskrifter"/>
              <w:shd w:val="clear" w:color="000000" w:fill="auto"/>
            </w:pPr>
          </w:p>
        </w:tc>
      </w:tr>
      <w:tr w:rsidR="00000000" w:rsidRPr="007E2FA0">
        <w:trPr>
          <w:cantSplit/>
        </w:trPr>
        <w:tc>
          <w:tcPr>
            <w:tcW w:w="3046" w:type="dxa"/>
          </w:tcPr>
          <w:p w:rsidR="00AD7DA0" w:rsidRPr="007E2FA0" w:rsidRDefault="00AD7DA0">
            <w:pPr>
              <w:pStyle w:val="Underskrifter"/>
              <w:shd w:val="clear" w:color="000000" w:fill="auto"/>
            </w:pPr>
            <w:r w:rsidRPr="007E2FA0">
              <w:t>Marie Engström (v)</w:t>
            </w:r>
          </w:p>
        </w:tc>
        <w:tc>
          <w:tcPr>
            <w:tcW w:w="3046" w:type="dxa"/>
          </w:tcPr>
          <w:p w:rsidR="00AD7DA0" w:rsidRPr="007E2FA0" w:rsidRDefault="00AD7DA0">
            <w:pPr>
              <w:pStyle w:val="Underskrifter"/>
              <w:shd w:val="clear" w:color="000000" w:fill="auto"/>
            </w:pPr>
            <w:r w:rsidRPr="007E2FA0">
              <w:t>Wiwi-Anne Johansson (v)</w:t>
            </w:r>
          </w:p>
        </w:tc>
      </w:tr>
      <w:tr w:rsidR="00000000" w:rsidRPr="007E2FA0">
        <w:trPr>
          <w:cantSplit/>
        </w:trPr>
        <w:tc>
          <w:tcPr>
            <w:tcW w:w="3046" w:type="dxa"/>
          </w:tcPr>
          <w:p w:rsidR="00AD7DA0" w:rsidRPr="007E2FA0" w:rsidRDefault="00AD7DA0">
            <w:pPr>
              <w:pStyle w:val="Underskrifter"/>
              <w:shd w:val="clear" w:color="000000" w:fill="auto"/>
            </w:pPr>
            <w:r w:rsidRPr="007E2FA0">
              <w:t>Peter Pedersen (v)</w:t>
            </w:r>
          </w:p>
        </w:tc>
        <w:tc>
          <w:tcPr>
            <w:tcW w:w="3046" w:type="dxa"/>
          </w:tcPr>
          <w:p w:rsidR="00AD7DA0" w:rsidRPr="007E2FA0" w:rsidRDefault="00AD7DA0">
            <w:pPr>
              <w:pStyle w:val="Underskrifter"/>
              <w:shd w:val="clear" w:color="000000" w:fill="auto"/>
            </w:pPr>
            <w:r w:rsidRPr="007E2FA0">
              <w:t>Kent Persson (v)</w:t>
            </w:r>
          </w:p>
        </w:tc>
      </w:tr>
      <w:tr w:rsidR="00000000" w:rsidRPr="007E2FA0">
        <w:trPr>
          <w:cantSplit/>
        </w:trPr>
        <w:tc>
          <w:tcPr>
            <w:tcW w:w="3046" w:type="dxa"/>
          </w:tcPr>
          <w:p w:rsidR="00AD7DA0" w:rsidRPr="007E2FA0" w:rsidRDefault="00AD7DA0">
            <w:pPr>
              <w:pStyle w:val="Underskrifter"/>
              <w:shd w:val="clear" w:color="000000" w:fill="auto"/>
            </w:pPr>
            <w:r w:rsidRPr="007E2FA0">
              <w:t>Alice Åström (v)</w:t>
            </w:r>
          </w:p>
        </w:tc>
        <w:tc>
          <w:tcPr>
            <w:tcW w:w="3046" w:type="dxa"/>
          </w:tcPr>
          <w:p w:rsidR="00AD7DA0" w:rsidRPr="007E2FA0" w:rsidRDefault="00AD7DA0">
            <w:pPr>
              <w:pStyle w:val="Underskrifter"/>
              <w:shd w:val="clear" w:color="000000" w:fill="auto"/>
            </w:pPr>
            <w:r w:rsidRPr="007E2FA0">
              <w:t>Elina Linna (v)</w:t>
            </w:r>
          </w:p>
        </w:tc>
      </w:tr>
    </w:tbl>
    <w:p w:rsidR="006366C8" w:rsidRPr="007E2FA0" w:rsidRDefault="006366C8">
      <w:pPr>
        <w:pStyle w:val="Normaltindrag"/>
        <w:shd w:val="clear" w:color="000000" w:fill="auto"/>
      </w:pPr>
    </w:p>
    <w:sectPr w:rsidR="006366C8" w:rsidRPr="007E2FA0" w:rsidSect="003400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DA0" w:rsidRPr="007E2FA0" w:rsidRDefault="00AD7DA0">
      <w:r w:rsidRPr="007E2FA0">
        <w:separator/>
      </w:r>
    </w:p>
  </w:endnote>
  <w:endnote w:type="continuationSeparator" w:id="0">
    <w:p w:rsidR="00AD7DA0" w:rsidRPr="007E2FA0" w:rsidRDefault="00AD7DA0">
      <w:r w:rsidRPr="007E2F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759" w:rsidRPr="007E2FA0" w:rsidRDefault="007E2FA0" w:rsidP="003400DB">
    <w:pPr>
      <w:pStyle w:val="Sidfot"/>
    </w:pPr>
    <w:r w:rsidRPr="007E2F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840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DB" w:rsidRDefault="00AD7DA0">
                          <w:pPr>
                            <w:pStyle w:val="NormalS5sidnrV"/>
                          </w:pPr>
                          <w:r>
                            <w:fldChar w:fldCharType="begin"/>
                          </w:r>
                          <w:r w:rsidR="003400D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0DB" w:rsidRDefault="00AD7DA0">
                    <w:pPr>
                      <w:pStyle w:val="NormalS5sidnrV"/>
                    </w:pPr>
                    <w:r>
                      <w:fldChar w:fldCharType="begin"/>
                    </w:r>
                    <w:r w:rsidR="003400D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759" w:rsidRPr="007E2FA0" w:rsidRDefault="007E2FA0" w:rsidP="003400DB">
    <w:pPr>
      <w:pStyle w:val="Sidfot"/>
    </w:pPr>
    <w:r w:rsidRPr="007E2F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266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DB" w:rsidRDefault="00AD7DA0">
                          <w:pPr>
                            <w:pStyle w:val="NormalS5sidnrH"/>
                            <w:ind w:right="0"/>
                          </w:pPr>
                          <w:r>
                            <w:fldChar w:fldCharType="begin"/>
                          </w:r>
                          <w:r w:rsidR="003400DB">
                            <w:instrText xml:space="preserve"> PAGE *\charformat</w:instrText>
                          </w:r>
                          <w:r>
                            <w:fldChar w:fldCharType="separate"/>
                          </w:r>
                          <w:r w:rsidR="0084749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0DB" w:rsidRDefault="00AD7DA0">
                    <w:pPr>
                      <w:pStyle w:val="NormalS5sidnrH"/>
                      <w:ind w:right="0"/>
                    </w:pPr>
                    <w:r>
                      <w:fldChar w:fldCharType="begin"/>
                    </w:r>
                    <w:r w:rsidR="003400DB">
                      <w:instrText xml:space="preserve"> PAGE *\charformat</w:instrText>
                    </w:r>
                    <w:r>
                      <w:fldChar w:fldCharType="separate"/>
                    </w:r>
                    <w:r w:rsidR="0084749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759" w:rsidRPr="007E2FA0" w:rsidRDefault="007E2FA0" w:rsidP="003400DB">
    <w:pPr>
      <w:pStyle w:val="Sidfot"/>
    </w:pPr>
    <w:r w:rsidRPr="007E2F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023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DB" w:rsidRDefault="00AD7DA0">
                          <w:pPr>
                            <w:pStyle w:val="NormalS5sidnrH"/>
                            <w:ind w:right="0"/>
                          </w:pPr>
                          <w:r>
                            <w:fldChar w:fldCharType="begin"/>
                          </w:r>
                          <w:r w:rsidR="003400D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0DB" w:rsidRDefault="00AD7DA0">
                    <w:pPr>
                      <w:pStyle w:val="NormalS5sidnrH"/>
                      <w:ind w:right="0"/>
                    </w:pPr>
                    <w:r>
                      <w:fldChar w:fldCharType="begin"/>
                    </w:r>
                    <w:r w:rsidR="003400D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DA0" w:rsidRPr="007E2FA0" w:rsidRDefault="00AD7DA0">
      <w:r w:rsidRPr="007E2FA0">
        <w:separator/>
      </w:r>
    </w:p>
  </w:footnote>
  <w:footnote w:type="continuationSeparator" w:id="0">
    <w:p w:rsidR="00AD7DA0" w:rsidRPr="007E2FA0" w:rsidRDefault="00AD7DA0">
      <w:r w:rsidRPr="007E2F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759" w:rsidRPr="007E2FA0" w:rsidRDefault="007E2FA0" w:rsidP="003400DB">
    <w:pPr>
      <w:pStyle w:val="Sidhuvud"/>
    </w:pPr>
    <w:r w:rsidRPr="007E2F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281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DB" w:rsidRDefault="00AD7DA0">
                          <w:pPr>
                            <w:pStyle w:val="KantRubrikS5V"/>
                          </w:pPr>
                          <w:r>
                            <w:fldChar w:fldCharType="begin"/>
                          </w:r>
                          <w:r w:rsidR="003400DB">
                            <w:instrText xml:space="preserve"> DOCPROPERTY "YearUser" *\charformat </w:instrText>
                          </w:r>
                          <w:r>
                            <w:fldChar w:fldCharType="separate"/>
                          </w:r>
                          <w:r w:rsidR="00011BEB">
                            <w:t>2006/07</w:t>
                          </w:r>
                          <w:r>
                            <w:fldChar w:fldCharType="end"/>
                          </w:r>
                          <w:r w:rsidR="003400DB">
                            <w:t>:</w:t>
                          </w:r>
                          <w:r>
                            <w:fldChar w:fldCharType="begin"/>
                          </w:r>
                          <w:r w:rsidR="003400DB">
                            <w:instrText xml:space="preserve"> DOCPROPERTY "Motionsnummer" *\charformat </w:instrText>
                          </w:r>
                          <w:r>
                            <w:fldChar w:fldCharType="separate"/>
                          </w:r>
                          <w:r w:rsidR="00011BEB">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0DB" w:rsidRDefault="00AD7DA0">
                    <w:pPr>
                      <w:pStyle w:val="KantRubrikS5V"/>
                    </w:pPr>
                    <w:r>
                      <w:fldChar w:fldCharType="begin"/>
                    </w:r>
                    <w:r w:rsidR="003400DB">
                      <w:instrText xml:space="preserve"> DOCPROPERTY "YearUser" *\charformat </w:instrText>
                    </w:r>
                    <w:r>
                      <w:fldChar w:fldCharType="separate"/>
                    </w:r>
                    <w:r w:rsidR="00011BEB">
                      <w:t>2006/07</w:t>
                    </w:r>
                    <w:r>
                      <w:fldChar w:fldCharType="end"/>
                    </w:r>
                    <w:r w:rsidR="003400DB">
                      <w:t>:</w:t>
                    </w:r>
                    <w:r>
                      <w:fldChar w:fldCharType="begin"/>
                    </w:r>
                    <w:r w:rsidR="003400DB">
                      <w:instrText xml:space="preserve"> DOCPROPERTY "Motionsnummer" *\charformat </w:instrText>
                    </w:r>
                    <w:r>
                      <w:fldChar w:fldCharType="separate"/>
                    </w:r>
                    <w:r w:rsidR="00011BEB">
                      <w:t>So335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759" w:rsidRPr="007E2FA0" w:rsidRDefault="007E2FA0" w:rsidP="003400DB">
    <w:pPr>
      <w:pStyle w:val="Sidhuvud"/>
    </w:pPr>
    <w:r w:rsidRPr="007E2F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566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DB" w:rsidRDefault="00AD7DA0">
                          <w:pPr>
                            <w:pStyle w:val="KantRubrikS5H"/>
                            <w:ind w:right="0"/>
                          </w:pPr>
                          <w:r>
                            <w:fldChar w:fldCharType="begin"/>
                          </w:r>
                          <w:r w:rsidR="003400DB">
                            <w:instrText xml:space="preserve"> DOCPROPERTY "YearUser" *\charformat </w:instrText>
                          </w:r>
                          <w:r>
                            <w:fldChar w:fldCharType="separate"/>
                          </w:r>
                          <w:r w:rsidR="00011BEB">
                            <w:t>2006/07</w:t>
                          </w:r>
                          <w:r>
                            <w:fldChar w:fldCharType="end"/>
                          </w:r>
                          <w:r w:rsidR="003400DB">
                            <w:t>:</w:t>
                          </w:r>
                          <w:r>
                            <w:fldChar w:fldCharType="begin"/>
                          </w:r>
                          <w:r w:rsidR="003400DB">
                            <w:instrText xml:space="preserve"> DOCPROPERTY "Motionsnummer" *\charformat </w:instrText>
                          </w:r>
                          <w:r>
                            <w:fldChar w:fldCharType="separate"/>
                          </w:r>
                          <w:r w:rsidR="00011BEB">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0DB" w:rsidRDefault="00AD7DA0">
                    <w:pPr>
                      <w:pStyle w:val="KantRubrikS5H"/>
                      <w:ind w:right="0"/>
                    </w:pPr>
                    <w:r>
                      <w:fldChar w:fldCharType="begin"/>
                    </w:r>
                    <w:r w:rsidR="003400DB">
                      <w:instrText xml:space="preserve"> DOCPROPERTY "YearUser" *\charformat </w:instrText>
                    </w:r>
                    <w:r>
                      <w:fldChar w:fldCharType="separate"/>
                    </w:r>
                    <w:r w:rsidR="00011BEB">
                      <w:t>2006/07</w:t>
                    </w:r>
                    <w:r>
                      <w:fldChar w:fldCharType="end"/>
                    </w:r>
                    <w:r w:rsidR="003400DB">
                      <w:t>:</w:t>
                    </w:r>
                    <w:r>
                      <w:fldChar w:fldCharType="begin"/>
                    </w:r>
                    <w:r w:rsidR="003400DB">
                      <w:instrText xml:space="preserve"> DOCPROPERTY "Motionsnummer" *\charformat </w:instrText>
                    </w:r>
                    <w:r>
                      <w:fldChar w:fldCharType="separate"/>
                    </w:r>
                    <w:r w:rsidR="00011BEB">
                      <w:t>So335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DA0" w:rsidRPr="007E2FA0" w:rsidRDefault="00AD7DA0">
    <w:pPr>
      <w:pStyle w:val="FSHNormal"/>
      <w:tabs>
        <w:tab w:val="right" w:pos="5840"/>
      </w:tabs>
    </w:pPr>
    <w:r w:rsidRPr="007E2FA0">
      <w:br/>
    </w:r>
    <w:r w:rsidRPr="007E2FA0">
      <w:fldChar w:fldCharType="begin" w:fldLock="1"/>
    </w:r>
    <w:r w:rsidRPr="007E2FA0">
      <w:instrText xml:space="preserve"> DOCPROPERTY</w:instrText>
    </w:r>
    <w:r w:rsidRPr="007E2FA0">
      <w:rPr>
        <w:sz w:val="18"/>
      </w:rPr>
      <w:instrText xml:space="preserve"> "YearUser" *\charformat </w:instrText>
    </w:r>
    <w:r w:rsidRPr="007E2FA0">
      <w:fldChar w:fldCharType="separate"/>
    </w:r>
    <w:r w:rsidRPr="007E2FA0">
      <w:t>2006/07</w:t>
    </w:r>
    <w:r w:rsidRPr="007E2FA0">
      <w:fldChar w:fldCharType="end"/>
    </w:r>
    <w:r w:rsidRPr="007E2FA0">
      <w:t xml:space="preserve"> </w:t>
    </w:r>
    <w:r w:rsidRPr="007E2FA0">
      <w:tab/>
      <w:t xml:space="preserve">mnr: </w:t>
    </w:r>
    <w:r w:rsidRPr="007E2FA0">
      <w:fldChar w:fldCharType="begin" w:fldLock="1"/>
    </w:r>
    <w:r w:rsidRPr="007E2FA0">
      <w:instrText xml:space="preserve"> DOCPROPERTY</w:instrText>
    </w:r>
    <w:r w:rsidRPr="007E2FA0">
      <w:rPr>
        <w:sz w:val="18"/>
      </w:rPr>
      <w:instrText xml:space="preserve"> "Motionsnummer" *\charformat </w:instrText>
    </w:r>
    <w:r w:rsidRPr="007E2FA0">
      <w:fldChar w:fldCharType="separate"/>
    </w:r>
    <w:r w:rsidRPr="007E2FA0">
      <w:t>So335</w:t>
    </w:r>
    <w:r w:rsidRPr="007E2FA0">
      <w:fldChar w:fldCharType="end"/>
    </w:r>
    <w:r w:rsidRPr="007E2FA0">
      <w:br/>
    </w:r>
    <w:r w:rsidRPr="007E2FA0">
      <w:fldChar w:fldCharType="begin" w:fldLock="1"/>
    </w:r>
    <w:r w:rsidRPr="007E2FA0">
      <w:instrText xml:space="preserve"> DOCPROPERTY</w:instrText>
    </w:r>
    <w:r w:rsidRPr="007E2FA0">
      <w:rPr>
        <w:sz w:val="18"/>
      </w:rPr>
      <w:instrText xml:space="preserve"> "Samling" *\charformat </w:instrText>
    </w:r>
    <w:r w:rsidRPr="007E2FA0">
      <w:fldChar w:fldCharType="end"/>
    </w:r>
    <w:r w:rsidRPr="007E2FA0">
      <w:tab/>
      <w:t xml:space="preserve">pnr: </w:t>
    </w:r>
    <w:r w:rsidRPr="007E2FA0">
      <w:fldChar w:fldCharType="begin" w:fldLock="1"/>
    </w:r>
    <w:r w:rsidRPr="007E2FA0">
      <w:instrText xml:space="preserve"> DOCPROPERTY</w:instrText>
    </w:r>
    <w:r w:rsidRPr="007E2FA0">
      <w:rPr>
        <w:sz w:val="18"/>
      </w:rPr>
      <w:instrText xml:space="preserve"> "Partinummer" *\charformat </w:instrText>
    </w:r>
    <w:r w:rsidRPr="007E2FA0">
      <w:fldChar w:fldCharType="separate"/>
    </w:r>
    <w:r w:rsidRPr="007E2FA0">
      <w:t>v407</w:t>
    </w:r>
    <w:r w:rsidRPr="007E2FA0">
      <w:fldChar w:fldCharType="end"/>
    </w:r>
  </w:p>
  <w:p w:rsidR="00AD7DA0" w:rsidRPr="007E2FA0" w:rsidRDefault="00AD7DA0">
    <w:pPr>
      <w:pStyle w:val="FSHRub1"/>
    </w:pPr>
    <w:r w:rsidRPr="007E2FA0">
      <w:t>Motion till riksdagen</w:t>
    </w:r>
    <w:r w:rsidRPr="007E2FA0">
      <w:br/>
    </w:r>
    <w:r w:rsidRPr="007E2FA0">
      <w:fldChar w:fldCharType="begin" w:fldLock="1"/>
    </w:r>
    <w:r w:rsidRPr="007E2FA0">
      <w:instrText xml:space="preserve"> DOCPROPERTY "YearUser" *\charformat </w:instrText>
    </w:r>
    <w:r w:rsidRPr="007E2FA0">
      <w:fldChar w:fldCharType="separate"/>
    </w:r>
    <w:r w:rsidRPr="007E2FA0">
      <w:t>2006/07</w:t>
    </w:r>
    <w:r w:rsidRPr="007E2FA0">
      <w:fldChar w:fldCharType="end"/>
    </w:r>
    <w:r w:rsidRPr="007E2FA0">
      <w:t>:</w:t>
    </w:r>
    <w:r w:rsidRPr="007E2FA0">
      <w:fldChar w:fldCharType="begin" w:fldLock="1"/>
    </w:r>
    <w:r w:rsidRPr="007E2FA0">
      <w:instrText xml:space="preserve"> DOCPROPERTY "Motionsnummer" *\charformat </w:instrText>
    </w:r>
    <w:r w:rsidRPr="007E2FA0">
      <w:fldChar w:fldCharType="separate"/>
    </w:r>
    <w:r w:rsidRPr="007E2FA0">
      <w:t>So335</w:t>
    </w:r>
    <w:r w:rsidRPr="007E2FA0">
      <w:fldChar w:fldCharType="end"/>
    </w:r>
  </w:p>
  <w:p w:rsidR="00AD7DA0" w:rsidRPr="007E2FA0" w:rsidRDefault="00AD7DA0">
    <w:pPr>
      <w:pStyle w:val="FSHNormalS5"/>
    </w:pPr>
    <w:r w:rsidRPr="007E2FA0">
      <w:fldChar w:fldCharType="begin" w:fldLock="1"/>
    </w:r>
    <w:r w:rsidRPr="007E2FA0">
      <w:instrText xml:space="preserve"> DOCPROPERTY "MotionarText" *\charformat </w:instrText>
    </w:r>
    <w:r w:rsidRPr="007E2FA0">
      <w:fldChar w:fldCharType="separate"/>
    </w:r>
    <w:r w:rsidRPr="007E2FA0">
      <w:t>av Lars Ohly m.fl. (v)</w:t>
    </w:r>
    <w:r w:rsidRPr="007E2FA0">
      <w:fldChar w:fldCharType="end"/>
    </w:r>
    <w:r w:rsidRPr="007E2FA0">
      <w:br/>
    </w:r>
    <w:r w:rsidRPr="007E2FA0">
      <w:fldChar w:fldCharType="begin" w:fldLock="1"/>
    </w:r>
    <w:r w:rsidRPr="007E2FA0">
      <w:instrText xml:space="preserve"> DOCPROPERTY "SvarFrasKort" *\charformat </w:instrText>
    </w:r>
    <w:r w:rsidRPr="007E2FA0">
      <w:fldChar w:fldCharType="end"/>
    </w:r>
  </w:p>
  <w:p w:rsidR="00AD7DA0" w:rsidRPr="007E2FA0" w:rsidRDefault="00AD7DA0">
    <w:pPr>
      <w:pStyle w:val="FSHTitel"/>
    </w:pPr>
    <w:r w:rsidRPr="007E2FA0">
      <w:fldChar w:fldCharType="begin" w:fldLock="1"/>
    </w:r>
    <w:r w:rsidRPr="007E2FA0">
      <w:instrText xml:space="preserve"> DOCPROPERTY</w:instrText>
    </w:r>
    <w:r w:rsidRPr="007E2FA0">
      <w:rPr>
        <w:sz w:val="18"/>
      </w:rPr>
      <w:instrText xml:space="preserve"> "RubrikSvar" *\charformat </w:instrText>
    </w:r>
    <w:r w:rsidRPr="007E2FA0">
      <w:fldChar w:fldCharType="separate"/>
    </w:r>
    <w:r w:rsidRPr="007E2FA0">
      <w:t>Ett nytt tandvårdsstöd</w:t>
    </w:r>
    <w:r w:rsidRPr="007E2FA0">
      <w:fldChar w:fldCharType="end"/>
    </w:r>
  </w:p>
  <w:p w:rsidR="00AD7DA0" w:rsidRPr="007E2FA0" w:rsidRDefault="00AD7DA0">
    <w:pPr>
      <w:pStyle w:val="Normal00"/>
    </w:pPr>
  </w:p>
  <w:p w:rsidR="003400DB" w:rsidRPr="007E2FA0" w:rsidRDefault="003400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793CFD"/>
    <w:multiLevelType w:val="multilevel"/>
    <w:tmpl w:val="2BEEB8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BC072FC"/>
    <w:multiLevelType w:val="multilevel"/>
    <w:tmpl w:val="5D62F6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BBA5A4D"/>
    <w:multiLevelType w:val="multilevel"/>
    <w:tmpl w:val="0CFEE0E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DAD3778"/>
    <w:multiLevelType w:val="hybridMultilevel"/>
    <w:tmpl w:val="7E02A0AA"/>
    <w:lvl w:ilvl="0" w:tplc="ED50C0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27810B9"/>
    <w:multiLevelType w:val="hybridMultilevel"/>
    <w:tmpl w:val="8E468C22"/>
    <w:lvl w:ilvl="0" w:tplc="25D840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8427633">
    <w:abstractNumId w:val="18"/>
  </w:num>
  <w:num w:numId="2" w16cid:durableId="1661813068">
    <w:abstractNumId w:val="11"/>
  </w:num>
  <w:num w:numId="3" w16cid:durableId="930047265">
    <w:abstractNumId w:val="15"/>
  </w:num>
  <w:num w:numId="4" w16cid:durableId="1859738481">
    <w:abstractNumId w:val="16"/>
  </w:num>
  <w:num w:numId="5" w16cid:durableId="1336109737">
    <w:abstractNumId w:val="8"/>
  </w:num>
  <w:num w:numId="6" w16cid:durableId="292441524">
    <w:abstractNumId w:val="3"/>
  </w:num>
  <w:num w:numId="7" w16cid:durableId="626009270">
    <w:abstractNumId w:val="2"/>
  </w:num>
  <w:num w:numId="8" w16cid:durableId="20277967">
    <w:abstractNumId w:val="1"/>
  </w:num>
  <w:num w:numId="9" w16cid:durableId="1396776291">
    <w:abstractNumId w:val="0"/>
  </w:num>
  <w:num w:numId="10" w16cid:durableId="356349161">
    <w:abstractNumId w:val="9"/>
  </w:num>
  <w:num w:numId="11" w16cid:durableId="1404327240">
    <w:abstractNumId w:val="7"/>
  </w:num>
  <w:num w:numId="12" w16cid:durableId="1642615378">
    <w:abstractNumId w:val="6"/>
  </w:num>
  <w:num w:numId="13" w16cid:durableId="1606965025">
    <w:abstractNumId w:val="5"/>
  </w:num>
  <w:num w:numId="14" w16cid:durableId="1697543112">
    <w:abstractNumId w:val="4"/>
  </w:num>
  <w:num w:numId="15" w16cid:durableId="2129161119">
    <w:abstractNumId w:val="12"/>
  </w:num>
  <w:num w:numId="16" w16cid:durableId="1966235276">
    <w:abstractNumId w:val="10"/>
  </w:num>
  <w:num w:numId="17" w16cid:durableId="1683360314">
    <w:abstractNumId w:val="17"/>
  </w:num>
  <w:num w:numId="18" w16cid:durableId="196085911">
    <w:abstractNumId w:val="14"/>
  </w:num>
  <w:num w:numId="19" w16cid:durableId="1018969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F1A2565D-4D2F-4887-9B1D-3D7BE825DA8C},{494960E9-BA36-4AC1-BBDB-126FB51B6387},{93F71F64-B3B2-464F-BCC5-C49DA1B8F0E4},{B0181D35-2F7D-4D23-BD15-5E0324552287},{CBCE2632-605E-484A-97AC-47C334EA7100},{7E0BF71E-CD03-4DBF-9F51-3B5B798F2741},{8B923F15-4996-4696-A089-6A5BE8BF8E1B}"/>
  </w:docVars>
  <w:rsids>
    <w:rsidRoot w:val="007E2FA0"/>
    <w:rsid w:val="00011BEB"/>
    <w:rsid w:val="00025203"/>
    <w:rsid w:val="00175C4B"/>
    <w:rsid w:val="002E2CD2"/>
    <w:rsid w:val="003400DB"/>
    <w:rsid w:val="00456EA8"/>
    <w:rsid w:val="00504EAC"/>
    <w:rsid w:val="006366C8"/>
    <w:rsid w:val="007A5EA2"/>
    <w:rsid w:val="007E0C1A"/>
    <w:rsid w:val="007E2FA0"/>
    <w:rsid w:val="00824E6D"/>
    <w:rsid w:val="008315EF"/>
    <w:rsid w:val="0084749E"/>
    <w:rsid w:val="00A35F43"/>
    <w:rsid w:val="00A76544"/>
    <w:rsid w:val="00AD7DA0"/>
    <w:rsid w:val="00BA13C6"/>
    <w:rsid w:val="00C31065"/>
    <w:rsid w:val="00CA6241"/>
    <w:rsid w:val="00DA25E6"/>
    <w:rsid w:val="00E902D9"/>
    <w:rsid w:val="00EB6759"/>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09BBA6-65CF-476E-B255-2E9170D9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366C8"/>
    <w:pPr>
      <w:spacing w:before="125" w:line="250" w:lineRule="atLeast"/>
      <w:jc w:val="both"/>
    </w:pPr>
    <w:rPr>
      <w:sz w:val="19"/>
      <w:lang w:val="sv-SE" w:eastAsia="sv-SE"/>
    </w:rPr>
  </w:style>
  <w:style w:type="paragraph" w:styleId="Rubrik1">
    <w:name w:val="heading 1"/>
    <w:basedOn w:val="Normal"/>
    <w:next w:val="Normal"/>
    <w:qFormat/>
    <w:rsid w:val="003400DB"/>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400DB"/>
    <w:pPr>
      <w:numPr>
        <w:ilvl w:val="1"/>
      </w:numPr>
      <w:spacing w:before="500" w:line="250" w:lineRule="exact"/>
      <w:outlineLvl w:val="1"/>
    </w:pPr>
    <w:rPr>
      <w:sz w:val="27"/>
    </w:rPr>
  </w:style>
  <w:style w:type="paragraph" w:styleId="Rubrik3">
    <w:name w:val="heading 3"/>
    <w:aliases w:val="Mellanrubrik"/>
    <w:basedOn w:val="Rubrik2"/>
    <w:next w:val="Normal"/>
    <w:qFormat/>
    <w:rsid w:val="003400DB"/>
    <w:pPr>
      <w:numPr>
        <w:ilvl w:val="2"/>
      </w:numPr>
      <w:spacing w:before="250" w:after="0"/>
      <w:outlineLvl w:val="2"/>
    </w:pPr>
    <w:rPr>
      <w:b/>
      <w:sz w:val="21"/>
    </w:rPr>
  </w:style>
  <w:style w:type="paragraph" w:styleId="Rubrik4">
    <w:name w:val="heading 4"/>
    <w:aliases w:val="KursivRubrik"/>
    <w:basedOn w:val="Rubrik3"/>
    <w:next w:val="Normal"/>
    <w:qFormat/>
    <w:rsid w:val="003400DB"/>
    <w:pPr>
      <w:numPr>
        <w:ilvl w:val="3"/>
      </w:numPr>
      <w:outlineLvl w:val="3"/>
    </w:pPr>
    <w:rPr>
      <w:b w:val="0"/>
      <w:i/>
    </w:rPr>
  </w:style>
  <w:style w:type="paragraph" w:styleId="Rubrik5">
    <w:name w:val="heading 5"/>
    <w:aliases w:val="PackadFetRubrik,PackadKursivRubrik"/>
    <w:basedOn w:val="Rubrik4"/>
    <w:next w:val="Normal"/>
    <w:qFormat/>
    <w:rsid w:val="003400DB"/>
    <w:pPr>
      <w:numPr>
        <w:ilvl w:val="4"/>
      </w:numPr>
      <w:tabs>
        <w:tab w:val="clear" w:pos="1021"/>
      </w:tabs>
      <w:spacing w:before="125"/>
      <w:outlineLvl w:val="4"/>
    </w:pPr>
    <w:rPr>
      <w:i w:val="0"/>
      <w:sz w:val="19"/>
    </w:rPr>
  </w:style>
  <w:style w:type="paragraph" w:styleId="Rubrik6">
    <w:name w:val="heading 6"/>
    <w:basedOn w:val="Rubrik5"/>
    <w:next w:val="Normal"/>
    <w:qFormat/>
    <w:rsid w:val="003400DB"/>
    <w:pPr>
      <w:numPr>
        <w:ilvl w:val="5"/>
      </w:numPr>
      <w:spacing w:before="50" w:line="200" w:lineRule="exact"/>
      <w:outlineLvl w:val="5"/>
    </w:pPr>
    <w:rPr>
      <w:caps/>
      <w:sz w:val="14"/>
    </w:rPr>
  </w:style>
  <w:style w:type="paragraph" w:styleId="Rubrik7">
    <w:name w:val="heading 7"/>
    <w:basedOn w:val="Rubrik6"/>
    <w:next w:val="Normal"/>
    <w:qFormat/>
    <w:rsid w:val="003400DB"/>
    <w:pPr>
      <w:numPr>
        <w:ilvl w:val="6"/>
      </w:numPr>
      <w:spacing w:before="0"/>
      <w:outlineLvl w:val="6"/>
    </w:pPr>
  </w:style>
  <w:style w:type="paragraph" w:styleId="Rubrik8">
    <w:name w:val="heading 8"/>
    <w:basedOn w:val="Rubrik7"/>
    <w:next w:val="Normal"/>
    <w:qFormat/>
    <w:rsid w:val="003400DB"/>
    <w:pPr>
      <w:numPr>
        <w:ilvl w:val="7"/>
      </w:numPr>
      <w:outlineLvl w:val="7"/>
    </w:pPr>
  </w:style>
  <w:style w:type="paragraph" w:styleId="Rubrik9">
    <w:name w:val="heading 9"/>
    <w:basedOn w:val="Rubrik8"/>
    <w:next w:val="Normal"/>
    <w:qFormat/>
    <w:rsid w:val="003400D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366C8"/>
    <w:pPr>
      <w:spacing w:before="0"/>
      <w:ind w:firstLine="227"/>
    </w:pPr>
  </w:style>
  <w:style w:type="paragraph" w:styleId="Citat">
    <w:name w:val="Quote"/>
    <w:basedOn w:val="Normal"/>
    <w:next w:val="Normal"/>
    <w:qFormat/>
    <w:rsid w:val="006366C8"/>
    <w:pPr>
      <w:spacing w:line="200" w:lineRule="exact"/>
      <w:ind w:left="340"/>
    </w:pPr>
  </w:style>
  <w:style w:type="paragraph" w:customStyle="1" w:styleId="Citatindrag">
    <w:name w:val="Citat_indrag"/>
    <w:aliases w:val="Packad"/>
    <w:basedOn w:val="Citat"/>
    <w:rsid w:val="006366C8"/>
    <w:pPr>
      <w:spacing w:before="0"/>
      <w:ind w:firstLine="227"/>
    </w:pPr>
  </w:style>
  <w:style w:type="paragraph" w:customStyle="1" w:styleId="FSHNormal">
    <w:name w:val="FSH_Normal"/>
    <w:semiHidden/>
    <w:rsid w:val="006366C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366C8"/>
    <w:pPr>
      <w:spacing w:line="240" w:lineRule="auto"/>
    </w:pPr>
  </w:style>
  <w:style w:type="paragraph" w:customStyle="1" w:styleId="FSHNormalS5">
    <w:name w:val="FSH_NormalS5"/>
    <w:basedOn w:val="FSHNormal"/>
    <w:next w:val="FSHNormal"/>
    <w:semiHidden/>
    <w:rsid w:val="006366C8"/>
    <w:pPr>
      <w:keepNext/>
      <w:keepLines/>
      <w:widowControl/>
      <w:spacing w:before="230" w:after="520" w:line="250" w:lineRule="exact"/>
    </w:pPr>
    <w:rPr>
      <w:b/>
      <w:sz w:val="27"/>
    </w:rPr>
  </w:style>
  <w:style w:type="paragraph" w:customStyle="1" w:styleId="FSHNormL">
    <w:name w:val="FSH_NormLÖ"/>
    <w:basedOn w:val="FSHNormal"/>
    <w:next w:val="FSHNormal"/>
    <w:semiHidden/>
    <w:rsid w:val="006366C8"/>
    <w:pPr>
      <w:pBdr>
        <w:top w:val="single" w:sz="12" w:space="1" w:color="auto"/>
      </w:pBdr>
    </w:pPr>
  </w:style>
  <w:style w:type="paragraph" w:customStyle="1" w:styleId="FSHRub1">
    <w:name w:val="FSH_Rub1"/>
    <w:aliases w:val="Rubrik1_S5,Huvudrubrik"/>
    <w:basedOn w:val="FSHNormal"/>
    <w:next w:val="FSHNormal"/>
    <w:semiHidden/>
    <w:rsid w:val="006366C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366C8"/>
    <w:pPr>
      <w:spacing w:before="240" w:after="80" w:line="360" w:lineRule="exact"/>
    </w:pPr>
    <w:rPr>
      <w:sz w:val="36"/>
    </w:rPr>
  </w:style>
  <w:style w:type="paragraph" w:customStyle="1" w:styleId="FSHTitel">
    <w:name w:val="FSH_Titel"/>
    <w:aliases w:val="Dokumentrubrik"/>
    <w:basedOn w:val="FSHRub1"/>
    <w:next w:val="FSHNormal"/>
    <w:semiHidden/>
    <w:rsid w:val="006366C8"/>
    <w:pPr>
      <w:pBdr>
        <w:bottom w:val="single" w:sz="4" w:space="3" w:color="auto"/>
      </w:pBdr>
      <w:spacing w:before="0" w:after="80" w:line="400" w:lineRule="exact"/>
    </w:pPr>
    <w:rPr>
      <w:sz w:val="40"/>
    </w:rPr>
  </w:style>
  <w:style w:type="paragraph" w:customStyle="1" w:styleId="Hemstlrubrik">
    <w:name w:val="Hemstl_rubrik"/>
    <w:basedOn w:val="Rubrik1"/>
    <w:next w:val="Normal"/>
    <w:rsid w:val="006366C8"/>
    <w:pPr>
      <w:spacing w:after="250"/>
    </w:pPr>
  </w:style>
  <w:style w:type="paragraph" w:customStyle="1" w:styleId="Autokorrigering">
    <w:name w:val="Autokorrigering"/>
    <w:rsid w:val="006366C8"/>
    <w:rPr>
      <w:sz w:val="24"/>
      <w:szCs w:val="24"/>
      <w:lang w:val="sv-SE" w:eastAsia="sv-SE"/>
    </w:rPr>
  </w:style>
  <w:style w:type="table" w:styleId="Enkeltabell1">
    <w:name w:val="Table Simple 1"/>
    <w:basedOn w:val="Normaltabell"/>
    <w:rsid w:val="00456EA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KantRubrikS5H">
    <w:name w:val="KantRubrikS5H"/>
    <w:semiHidden/>
    <w:rsid w:val="006366C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366C8"/>
    <w:pPr>
      <w:spacing w:line="200" w:lineRule="exact"/>
    </w:pPr>
  </w:style>
  <w:style w:type="paragraph" w:customStyle="1" w:styleId="KantRubrikS5V">
    <w:name w:val="KantRubrikS5V"/>
    <w:basedOn w:val="KantRubrikS5H"/>
    <w:semiHidden/>
    <w:rsid w:val="006366C8"/>
    <w:pPr>
      <w:tabs>
        <w:tab w:val="right" w:pos="1814"/>
        <w:tab w:val="left" w:pos="1899"/>
      </w:tabs>
      <w:ind w:right="0"/>
      <w:jc w:val="left"/>
    </w:pPr>
  </w:style>
  <w:style w:type="paragraph" w:customStyle="1" w:styleId="KantRubrikS5Vrad2">
    <w:name w:val="KantRubrikS5Vrad2"/>
    <w:basedOn w:val="KantRubrikS5V"/>
    <w:semiHidden/>
    <w:rsid w:val="006366C8"/>
    <w:pPr>
      <w:tabs>
        <w:tab w:val="clear" w:pos="1814"/>
        <w:tab w:val="clear" w:pos="1899"/>
        <w:tab w:val="right" w:pos="1418"/>
        <w:tab w:val="left" w:pos="1503"/>
      </w:tabs>
    </w:pPr>
  </w:style>
  <w:style w:type="paragraph" w:customStyle="1" w:styleId="Lagtext">
    <w:name w:val="Lagtext"/>
    <w:basedOn w:val="Lagtextrubrik"/>
    <w:next w:val="Lagtextindrag"/>
    <w:rsid w:val="006366C8"/>
    <w:pPr>
      <w:spacing w:before="0"/>
    </w:pPr>
    <w:rPr>
      <w:sz w:val="19"/>
    </w:rPr>
  </w:style>
  <w:style w:type="paragraph" w:customStyle="1" w:styleId="Lagtextrubrik">
    <w:name w:val="Lagtext_rubrik"/>
    <w:basedOn w:val="Normal"/>
    <w:next w:val="Normal"/>
    <w:rsid w:val="006366C8"/>
    <w:pPr>
      <w:suppressAutoHyphens/>
      <w:spacing w:line="220" w:lineRule="exact"/>
    </w:pPr>
    <w:rPr>
      <w:i/>
      <w:sz w:val="21"/>
    </w:rPr>
  </w:style>
  <w:style w:type="paragraph" w:customStyle="1" w:styleId="Lagtextindrag">
    <w:name w:val="Lagtext_indrag"/>
    <w:basedOn w:val="Lagtext"/>
    <w:rsid w:val="006366C8"/>
    <w:pPr>
      <w:ind w:firstLine="170"/>
    </w:pPr>
  </w:style>
  <w:style w:type="paragraph" w:customStyle="1" w:styleId="NormalA4fot">
    <w:name w:val="Normal_A4fot"/>
    <w:basedOn w:val="Normal"/>
    <w:semiHidden/>
    <w:rsid w:val="006366C8"/>
    <w:pPr>
      <w:spacing w:before="240" w:line="240" w:lineRule="auto"/>
      <w:jc w:val="center"/>
    </w:pPr>
  </w:style>
  <w:style w:type="paragraph" w:customStyle="1" w:styleId="NormalA4sidnr">
    <w:name w:val="Normal_A4sidnr"/>
    <w:basedOn w:val="Normal"/>
    <w:semiHidden/>
    <w:rsid w:val="006366C8"/>
    <w:pPr>
      <w:spacing w:after="240"/>
      <w:jc w:val="center"/>
    </w:pPr>
  </w:style>
  <w:style w:type="paragraph" w:customStyle="1" w:styleId="NormalS5sidnrH">
    <w:name w:val="Normal_S5sidnrH"/>
    <w:basedOn w:val="Normal"/>
    <w:semiHidden/>
    <w:rsid w:val="006366C8"/>
    <w:pPr>
      <w:spacing w:before="0" w:line="240" w:lineRule="auto"/>
      <w:ind w:right="57"/>
      <w:jc w:val="right"/>
    </w:pPr>
  </w:style>
  <w:style w:type="paragraph" w:customStyle="1" w:styleId="NormalS5sidnrV">
    <w:name w:val="Normal_S5sidnrV"/>
    <w:basedOn w:val="NormalS5sidnrH"/>
    <w:semiHidden/>
    <w:rsid w:val="006366C8"/>
    <w:pPr>
      <w:tabs>
        <w:tab w:val="right" w:pos="1814"/>
        <w:tab w:val="left" w:pos="1899"/>
      </w:tabs>
      <w:ind w:right="0"/>
      <w:jc w:val="left"/>
    </w:pPr>
  </w:style>
  <w:style w:type="paragraph" w:customStyle="1" w:styleId="Normal00">
    <w:name w:val="Normal00"/>
    <w:basedOn w:val="Normal"/>
    <w:semiHidden/>
    <w:rsid w:val="006366C8"/>
    <w:pPr>
      <w:spacing w:before="0" w:line="240" w:lineRule="auto"/>
      <w:jc w:val="left"/>
    </w:pPr>
  </w:style>
  <w:style w:type="paragraph" w:customStyle="1" w:styleId="PunktlistaBomb">
    <w:name w:val="Punktlista_Bomb"/>
    <w:aliases w:val="Bomb"/>
    <w:basedOn w:val="Normal"/>
    <w:rsid w:val="006366C8"/>
    <w:pPr>
      <w:numPr>
        <w:numId w:val="2"/>
      </w:numPr>
    </w:pPr>
  </w:style>
  <w:style w:type="paragraph" w:customStyle="1" w:styleId="PunktlistaNummer">
    <w:name w:val="Punktlista_Nummer"/>
    <w:aliases w:val="Nummerlista"/>
    <w:basedOn w:val="Normal"/>
    <w:rsid w:val="006366C8"/>
    <w:pPr>
      <w:numPr>
        <w:numId w:val="3"/>
      </w:numPr>
    </w:pPr>
  </w:style>
  <w:style w:type="paragraph" w:customStyle="1" w:styleId="PunktlistaTankstreck">
    <w:name w:val="Punktlista_Tankstreck"/>
    <w:aliases w:val="Tankstreck"/>
    <w:basedOn w:val="Normal"/>
    <w:rsid w:val="006366C8"/>
    <w:pPr>
      <w:numPr>
        <w:numId w:val="4"/>
      </w:numPr>
    </w:pPr>
  </w:style>
  <w:style w:type="paragraph" w:customStyle="1" w:styleId="RubrikSammanf">
    <w:name w:val="RubrikSammanf"/>
    <w:basedOn w:val="Rubrik1"/>
    <w:next w:val="Normal"/>
    <w:rsid w:val="006366C8"/>
  </w:style>
  <w:style w:type="paragraph" w:customStyle="1" w:styleId="RubrikInnehllsf">
    <w:name w:val="RubrikInnehållsf"/>
    <w:basedOn w:val="RubrikSammanf"/>
    <w:next w:val="Normal"/>
    <w:rsid w:val="006366C8"/>
  </w:style>
  <w:style w:type="paragraph" w:customStyle="1" w:styleId="Tabellochbildrubrik">
    <w:name w:val="Tabell och bildrubrik"/>
    <w:basedOn w:val="Normal"/>
    <w:next w:val="Normal"/>
    <w:rsid w:val="006366C8"/>
    <w:pPr>
      <w:suppressAutoHyphens/>
      <w:spacing w:before="300" w:line="200" w:lineRule="exact"/>
      <w:jc w:val="left"/>
    </w:pPr>
    <w:rPr>
      <w:caps/>
      <w:sz w:val="14"/>
    </w:rPr>
  </w:style>
  <w:style w:type="paragraph" w:customStyle="1" w:styleId="Underskrifter">
    <w:name w:val="Underskrifter"/>
    <w:basedOn w:val="Normal"/>
    <w:rsid w:val="006366C8"/>
    <w:pPr>
      <w:keepNext/>
      <w:keepLines/>
      <w:suppressAutoHyphens/>
      <w:spacing w:before="0" w:after="40" w:line="250" w:lineRule="exact"/>
    </w:pPr>
    <w:rPr>
      <w:i/>
    </w:rPr>
  </w:style>
  <w:style w:type="paragraph" w:customStyle="1" w:styleId="UnderskriftDatum">
    <w:name w:val="UnderskriftDatum"/>
    <w:basedOn w:val="Underskrifter"/>
    <w:next w:val="Underskrifter"/>
    <w:rsid w:val="006366C8"/>
    <w:pPr>
      <w:spacing w:before="250" w:after="125"/>
    </w:pPr>
    <w:rPr>
      <w:i w:val="0"/>
    </w:rPr>
  </w:style>
  <w:style w:type="paragraph" w:styleId="Sidhuvud">
    <w:name w:val="header"/>
    <w:basedOn w:val="Normal"/>
    <w:semiHidden/>
    <w:rsid w:val="006366C8"/>
    <w:pPr>
      <w:tabs>
        <w:tab w:val="center" w:pos="4536"/>
        <w:tab w:val="right" w:pos="9072"/>
      </w:tabs>
    </w:pPr>
  </w:style>
  <w:style w:type="paragraph" w:styleId="Sidfot">
    <w:name w:val="footer"/>
    <w:basedOn w:val="Normal"/>
    <w:semiHidden/>
    <w:rsid w:val="006366C8"/>
    <w:pPr>
      <w:tabs>
        <w:tab w:val="center" w:pos="4536"/>
        <w:tab w:val="right" w:pos="9072"/>
      </w:tabs>
    </w:pPr>
  </w:style>
  <w:style w:type="paragraph" w:styleId="Innehll1">
    <w:name w:val="toc 1"/>
    <w:basedOn w:val="Normal"/>
    <w:next w:val="Innehll2"/>
    <w:semiHidden/>
    <w:rsid w:val="006366C8"/>
    <w:pPr>
      <w:tabs>
        <w:tab w:val="right" w:leader="dot" w:pos="5953"/>
      </w:tabs>
      <w:suppressAutoHyphens/>
      <w:spacing w:before="0"/>
      <w:ind w:right="567"/>
      <w:jc w:val="left"/>
    </w:pPr>
  </w:style>
  <w:style w:type="paragraph" w:styleId="Innehll2">
    <w:name w:val="toc 2"/>
    <w:basedOn w:val="Innehll1"/>
    <w:next w:val="Innehll3"/>
    <w:semiHidden/>
    <w:rsid w:val="006366C8"/>
    <w:pPr>
      <w:ind w:left="284"/>
    </w:pPr>
  </w:style>
  <w:style w:type="paragraph" w:styleId="Innehll3">
    <w:name w:val="toc 3"/>
    <w:basedOn w:val="Innehll2"/>
    <w:next w:val="Innehll4"/>
    <w:semiHidden/>
    <w:rsid w:val="006366C8"/>
    <w:pPr>
      <w:ind w:left="567"/>
    </w:pPr>
  </w:style>
  <w:style w:type="paragraph" w:styleId="Innehll4">
    <w:name w:val="toc 4"/>
    <w:basedOn w:val="Innehll3"/>
    <w:next w:val="Normal"/>
    <w:semiHidden/>
    <w:rsid w:val="006366C8"/>
  </w:style>
  <w:style w:type="paragraph" w:customStyle="1" w:styleId="Hemstlatt">
    <w:name w:val="Hemstl_att"/>
    <w:aliases w:val="HemstPunkt,HemstPunktFlera,HemställansPunkt,Förslagstext"/>
    <w:basedOn w:val="Normal"/>
    <w:next w:val="Normal"/>
    <w:rsid w:val="003400DB"/>
    <w:pPr>
      <w:keepLines/>
      <w:numPr>
        <w:numId w:val="18"/>
      </w:numPr>
      <w:spacing w:before="0"/>
    </w:pPr>
  </w:style>
  <w:style w:type="paragraph" w:styleId="Datum">
    <w:name w:val="Date"/>
    <w:basedOn w:val="Normal"/>
    <w:next w:val="Normal"/>
    <w:semiHidden/>
    <w:rsid w:val="006366C8"/>
  </w:style>
  <w:style w:type="character" w:styleId="Hyperlnk">
    <w:name w:val="Hyperlink"/>
    <w:basedOn w:val="Standardstycketeckensnitt"/>
    <w:semiHidden/>
    <w:rsid w:val="006366C8"/>
    <w:rPr>
      <w:color w:val="0000FF"/>
      <w:u w:val="single"/>
    </w:rPr>
  </w:style>
  <w:style w:type="paragraph" w:styleId="Indragetstycke">
    <w:name w:val="Block Text"/>
    <w:basedOn w:val="Normal"/>
    <w:semiHidden/>
    <w:rsid w:val="006366C8"/>
    <w:pPr>
      <w:spacing w:after="120"/>
      <w:ind w:left="1440" w:right="1440"/>
    </w:pPr>
  </w:style>
  <w:style w:type="paragraph" w:styleId="Innehll5">
    <w:name w:val="toc 5"/>
    <w:basedOn w:val="Innehll4"/>
    <w:next w:val="Normal"/>
    <w:semiHidden/>
    <w:rsid w:val="006366C8"/>
  </w:style>
  <w:style w:type="paragraph" w:styleId="Lista">
    <w:name w:val="List"/>
    <w:basedOn w:val="Normal"/>
    <w:semiHidden/>
    <w:rsid w:val="006366C8"/>
    <w:pPr>
      <w:ind w:left="283" w:hanging="283"/>
    </w:pPr>
  </w:style>
  <w:style w:type="paragraph" w:styleId="Normalwebb">
    <w:name w:val="Normal (Web)"/>
    <w:basedOn w:val="Normal"/>
    <w:semiHidden/>
    <w:rsid w:val="006366C8"/>
    <w:rPr>
      <w:szCs w:val="24"/>
    </w:rPr>
  </w:style>
  <w:style w:type="paragraph" w:styleId="Numreradlista">
    <w:name w:val="List Number"/>
    <w:basedOn w:val="Normal"/>
    <w:semiHidden/>
    <w:rsid w:val="006366C8"/>
    <w:pPr>
      <w:numPr>
        <w:numId w:val="5"/>
      </w:numPr>
    </w:pPr>
  </w:style>
  <w:style w:type="paragraph" w:styleId="Punktlista">
    <w:name w:val="List Bullet"/>
    <w:basedOn w:val="Normal"/>
    <w:semiHidden/>
    <w:rsid w:val="006366C8"/>
    <w:pPr>
      <w:numPr>
        <w:numId w:val="10"/>
      </w:numPr>
    </w:pPr>
  </w:style>
  <w:style w:type="character" w:styleId="Radnummer">
    <w:name w:val="line number"/>
    <w:basedOn w:val="Standardstycketeckensnitt"/>
    <w:semiHidden/>
    <w:rsid w:val="006366C8"/>
  </w:style>
  <w:style w:type="character" w:styleId="Sidnummer">
    <w:name w:val="page number"/>
    <w:basedOn w:val="Standardstycketeckensnitt"/>
    <w:semiHidden/>
    <w:rsid w:val="006366C8"/>
  </w:style>
  <w:style w:type="paragraph" w:styleId="Signatur">
    <w:name w:val="Signature"/>
    <w:basedOn w:val="Normal"/>
    <w:semiHidden/>
    <w:rsid w:val="006366C8"/>
    <w:pPr>
      <w:ind w:left="4252"/>
    </w:pPr>
  </w:style>
  <w:style w:type="paragraph" w:styleId="Underrubrik">
    <w:name w:val="Subtitle"/>
    <w:basedOn w:val="Normal"/>
    <w:qFormat/>
    <w:rsid w:val="006366C8"/>
    <w:pPr>
      <w:spacing w:after="60"/>
      <w:jc w:val="center"/>
      <w:outlineLvl w:val="1"/>
    </w:pPr>
    <w:rPr>
      <w:rFonts w:ascii="Arial" w:hAnsi="Arial" w:cs="Arial"/>
      <w:szCs w:val="24"/>
    </w:rPr>
  </w:style>
  <w:style w:type="paragraph" w:styleId="Fotnotstext">
    <w:name w:val="footnote text"/>
    <w:basedOn w:val="Normal"/>
    <w:link w:val="FotnotstextChar"/>
    <w:semiHidden/>
    <w:rsid w:val="00456EA8"/>
    <w:pPr>
      <w:spacing w:line="280" w:lineRule="atLeast"/>
    </w:pPr>
    <w:rPr>
      <w:rFonts w:ascii="Bembo" w:hAnsi="Bembo"/>
      <w:sz w:val="20"/>
    </w:rPr>
  </w:style>
  <w:style w:type="character" w:styleId="Fotnotsreferens">
    <w:name w:val="footnote reference"/>
    <w:basedOn w:val="Standardstycketeckensnitt"/>
    <w:semiHidden/>
    <w:rsid w:val="00456EA8"/>
    <w:rPr>
      <w:vertAlign w:val="superscript"/>
    </w:rPr>
  </w:style>
  <w:style w:type="character" w:customStyle="1" w:styleId="FotnotstextChar">
    <w:name w:val="Fotnotstext Char"/>
    <w:basedOn w:val="Standardstycketeckensnitt"/>
    <w:link w:val="Fotnotstext"/>
    <w:rsid w:val="00456EA8"/>
    <w:rPr>
      <w:rFonts w:ascii="Bembo" w:hAnsi="Bembo"/>
      <w:lang w:val="sv-SE" w:eastAsia="sv-SE" w:bidi="ar-SA"/>
    </w:rPr>
  </w:style>
  <w:style w:type="table" w:styleId="Tabellrutnt">
    <w:name w:val="Table Grid"/>
    <w:basedOn w:val="Normaltabell"/>
    <w:rsid w:val="00456EA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456EA8"/>
    <w:rPr>
      <w:rFonts w:ascii="Tahoma" w:hAnsi="Tahoma" w:cs="Tahoma"/>
      <w:sz w:val="16"/>
      <w:szCs w:val="16"/>
    </w:rPr>
  </w:style>
  <w:style w:type="paragraph" w:customStyle="1" w:styleId="Yrkandehnv">
    <w:name w:val="Yrkandehänv"/>
    <w:semiHidden/>
    <w:rsid w:val="006366C8"/>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2563</Words>
  <Characters>14151</Characters>
  <Application>Microsoft Office Word</Application>
  <DocSecurity>4</DocSecurity>
  <Lines>301</Lines>
  <Paragraphs>117</Paragraphs>
  <ScaleCrop>false</ScaleCrop>
  <HeadingPairs>
    <vt:vector size="2" baseType="variant">
      <vt:variant>
        <vt:lpstr>Rubrik</vt:lpstr>
      </vt:variant>
      <vt:variant>
        <vt:i4>1</vt:i4>
      </vt:variant>
    </vt:vector>
  </HeadingPairs>
  <TitlesOfParts>
    <vt:vector size="1" baseType="lpstr">
      <vt:lpstr>v407</vt:lpstr>
    </vt:vector>
  </TitlesOfParts>
  <Company>Riksdagen</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v407</dc:title>
  <dc:subject>v407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2007-01-29T16:05:00Z</cp:lastPrinted>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Ett nytt tandvårdsstöd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nytt tandvårdsstöd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20062007000000000118000004070080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20062007000000000118000004070080</vt:lpwstr>
  </property>
  <property fmtid="{D5CDD505-2E9C-101B-9397-08002B2CF9AE}" pid="50" name="nummer">
    <vt:lpwstr>335</vt:lpwstr>
  </property>
  <property fmtid="{D5CDD505-2E9C-101B-9397-08002B2CF9AE}" pid="51" name="utskottsbeteckning">
    <vt:lpwstr>So</vt:lpwstr>
  </property>
  <property fmtid="{D5CDD505-2E9C-101B-9397-08002B2CF9AE}" pid="52" name="GlobalUID">
    <vt:lpwstr>{952B034C-2DC8-45FC-BDC1-E7AC45B4A2EA}</vt:lpwstr>
  </property>
  <property fmtid="{D5CDD505-2E9C-101B-9397-08002B2CF9AE}" pid="53" name="Överföringar">
    <vt:i4>0</vt:i4>
  </property>
  <property fmtid="{D5CDD505-2E9C-101B-9397-08002B2CF9AE}" pid="54" name="Checksum">
    <vt:lpwstr>*1013201480402*</vt:lpwstr>
  </property>
  <property fmtid="{D5CDD505-2E9C-101B-9397-08002B2CF9AE}" pid="55" name="urixOrigin">
    <vt:lpwstr>070306 12:16:37.569</vt:lpwstr>
  </property>
  <property fmtid="{D5CDD505-2E9C-101B-9397-08002B2CF9AE}" pid="56" name="skuggnummer">
    <vt:lpwstr>1020</vt:lpwstr>
  </property>
  <property fmtid="{D5CDD505-2E9C-101B-9397-08002B2CF9AE}" pid="57" name="urixVersion">
    <vt:lpwstr>3.1.4.1</vt:lpwstr>
  </property>
  <property fmtid="{D5CDD505-2E9C-101B-9397-08002B2CF9AE}" pid="58" name="urixGuid">
    <vt:lpwstr>{81D5DB23-962D-4C32-91BA-C433E95D5A26}</vt:lpwstr>
  </property>
</Properties>
</file>