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E54979" w:rsidTr="00E1647B">
        <w:tc>
          <w:tcPr>
            <w:tcW w:w="2268" w:type="dxa"/>
          </w:tcPr>
          <w:p w:rsidR="00E54979" w:rsidRDefault="00E54979" w:rsidP="007242A3">
            <w:pPr>
              <w:framePr w:w="5035" w:h="1644" w:wrap="notBeside" w:vAnchor="page" w:hAnchor="page" w:x="6573" w:y="721"/>
              <w:rPr>
                <w:rFonts w:ascii="TradeGothic" w:hAnsi="TradeGothic"/>
                <w:i/>
                <w:sz w:val="18"/>
              </w:rPr>
            </w:pPr>
          </w:p>
        </w:tc>
        <w:tc>
          <w:tcPr>
            <w:tcW w:w="2999" w:type="dxa"/>
            <w:gridSpan w:val="2"/>
          </w:tcPr>
          <w:p w:rsidR="00E54979" w:rsidRPr="00CA34FC" w:rsidRDefault="00E54979" w:rsidP="00CA34FC">
            <w:pPr>
              <w:framePr w:w="5035" w:h="1644" w:wrap="notBeside" w:vAnchor="page" w:hAnchor="page" w:x="6573" w:y="721"/>
              <w:jc w:val="right"/>
              <w:rPr>
                <w:rFonts w:ascii="TradeGothic" w:hAnsi="TradeGothic"/>
                <w:sz w:val="18"/>
              </w:rPr>
            </w:pPr>
          </w:p>
        </w:tc>
      </w:tr>
      <w:tr w:rsidR="00E54979" w:rsidTr="00E1647B">
        <w:tc>
          <w:tcPr>
            <w:tcW w:w="5267" w:type="dxa"/>
            <w:gridSpan w:val="3"/>
          </w:tcPr>
          <w:p w:rsidR="00E54979" w:rsidRDefault="00E54979"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E54979" w:rsidTr="00E1647B">
        <w:tc>
          <w:tcPr>
            <w:tcW w:w="3402" w:type="dxa"/>
            <w:gridSpan w:val="2"/>
          </w:tcPr>
          <w:p w:rsidR="00E54979" w:rsidRPr="00E1647B" w:rsidRDefault="00E54979"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rsidR="00E54979" w:rsidRDefault="00E54979" w:rsidP="007242A3">
            <w:pPr>
              <w:framePr w:w="5035" w:h="1644" w:wrap="notBeside" w:vAnchor="page" w:hAnchor="page" w:x="6573" w:y="721"/>
            </w:pPr>
          </w:p>
        </w:tc>
      </w:tr>
      <w:tr w:rsidR="00E54979" w:rsidTr="00E1647B">
        <w:tc>
          <w:tcPr>
            <w:tcW w:w="2268" w:type="dxa"/>
          </w:tcPr>
          <w:p w:rsidR="00E54979" w:rsidRDefault="00E54979" w:rsidP="007242A3">
            <w:pPr>
              <w:framePr w:w="5035" w:h="1644" w:wrap="notBeside" w:vAnchor="page" w:hAnchor="page" w:x="6573" w:y="721"/>
            </w:pPr>
            <w:r>
              <w:t>2013-04-15</w:t>
            </w:r>
          </w:p>
        </w:tc>
        <w:tc>
          <w:tcPr>
            <w:tcW w:w="2999" w:type="dxa"/>
            <w:gridSpan w:val="2"/>
          </w:tcPr>
          <w:p w:rsidR="00E54979" w:rsidRPr="00ED583F" w:rsidRDefault="00E54979" w:rsidP="007242A3">
            <w:pPr>
              <w:framePr w:w="5035" w:h="1644" w:wrap="notBeside" w:vAnchor="page" w:hAnchor="page" w:x="6573" w:y="721"/>
              <w:rPr>
                <w:sz w:val="20"/>
              </w:rPr>
            </w:pPr>
          </w:p>
        </w:tc>
      </w:tr>
      <w:tr w:rsidR="00E54979" w:rsidTr="00E1647B">
        <w:tc>
          <w:tcPr>
            <w:tcW w:w="2268" w:type="dxa"/>
          </w:tcPr>
          <w:p w:rsidR="00E54979" w:rsidRDefault="00E54979" w:rsidP="007242A3">
            <w:pPr>
              <w:framePr w:w="5035" w:h="1644" w:wrap="notBeside" w:vAnchor="page" w:hAnchor="page" w:x="6573" w:y="721"/>
            </w:pPr>
          </w:p>
        </w:tc>
        <w:tc>
          <w:tcPr>
            <w:tcW w:w="2999" w:type="dxa"/>
            <w:gridSpan w:val="2"/>
          </w:tcPr>
          <w:p w:rsidR="00E54979" w:rsidRDefault="00E54979" w:rsidP="007242A3">
            <w:pPr>
              <w:framePr w:w="5035" w:h="1644" w:wrap="notBeside" w:vAnchor="page" w:hAnchor="page" w:x="6573" w:y="721"/>
            </w:pPr>
          </w:p>
        </w:tc>
      </w:tr>
    </w:tbl>
    <w:tbl>
      <w:tblPr>
        <w:tblW w:w="0" w:type="auto"/>
        <w:tblLayout w:type="fixed"/>
        <w:tblLook w:val="0000"/>
      </w:tblPr>
      <w:tblGrid>
        <w:gridCol w:w="4911"/>
      </w:tblGrid>
      <w:tr w:rsidR="00E54979">
        <w:trPr>
          <w:trHeight w:val="284"/>
        </w:trPr>
        <w:tc>
          <w:tcPr>
            <w:tcW w:w="4911" w:type="dxa"/>
          </w:tcPr>
          <w:p w:rsidR="00E54979" w:rsidRDefault="00E54979">
            <w:pPr>
              <w:pStyle w:val="Avsndare"/>
              <w:framePr w:h="2483" w:wrap="notBeside" w:x="1504"/>
              <w:rPr>
                <w:b/>
                <w:i w:val="0"/>
                <w:sz w:val="22"/>
              </w:rPr>
            </w:pPr>
            <w:r>
              <w:rPr>
                <w:b/>
                <w:i w:val="0"/>
                <w:sz w:val="22"/>
              </w:rPr>
              <w:t>Statsrådsberedningen</w:t>
            </w:r>
          </w:p>
        </w:tc>
      </w:tr>
      <w:tr w:rsidR="00E54979">
        <w:trPr>
          <w:trHeight w:val="284"/>
        </w:trPr>
        <w:tc>
          <w:tcPr>
            <w:tcW w:w="4911" w:type="dxa"/>
          </w:tcPr>
          <w:p w:rsidR="00E54979" w:rsidRDefault="00E54979">
            <w:pPr>
              <w:pStyle w:val="Avsndare"/>
              <w:framePr w:h="2483" w:wrap="notBeside" w:x="1504"/>
              <w:rPr>
                <w:bCs/>
                <w:iCs/>
              </w:rPr>
            </w:pPr>
          </w:p>
        </w:tc>
      </w:tr>
      <w:tr w:rsidR="00E54979">
        <w:trPr>
          <w:trHeight w:val="284"/>
        </w:trPr>
        <w:tc>
          <w:tcPr>
            <w:tcW w:w="4911" w:type="dxa"/>
          </w:tcPr>
          <w:p w:rsidR="00E54979" w:rsidRDefault="00E54979">
            <w:pPr>
              <w:pStyle w:val="Avsndare"/>
              <w:framePr w:h="2483" w:wrap="notBeside" w:x="1504"/>
              <w:rPr>
                <w:bCs/>
                <w:iCs/>
              </w:rPr>
            </w:pPr>
            <w:r>
              <w:rPr>
                <w:bCs/>
                <w:iCs/>
              </w:rPr>
              <w:t>EU-kansliet</w:t>
            </w:r>
          </w:p>
        </w:tc>
      </w:tr>
      <w:tr w:rsidR="00E54979">
        <w:trPr>
          <w:trHeight w:val="284"/>
        </w:trPr>
        <w:tc>
          <w:tcPr>
            <w:tcW w:w="4911" w:type="dxa"/>
          </w:tcPr>
          <w:p w:rsidR="00E54979" w:rsidRDefault="00E54979">
            <w:pPr>
              <w:pStyle w:val="Avsndare"/>
              <w:framePr w:h="2483" w:wrap="notBeside" w:x="1504"/>
              <w:rPr>
                <w:bCs/>
                <w:iCs/>
              </w:rPr>
            </w:pPr>
          </w:p>
        </w:tc>
      </w:tr>
      <w:tr w:rsidR="00E54979">
        <w:trPr>
          <w:trHeight w:val="284"/>
        </w:trPr>
        <w:tc>
          <w:tcPr>
            <w:tcW w:w="4911" w:type="dxa"/>
          </w:tcPr>
          <w:p w:rsidR="00E54979" w:rsidRDefault="00E54979">
            <w:pPr>
              <w:pStyle w:val="Avsndare"/>
              <w:framePr w:h="2483" w:wrap="notBeside" w:x="1504"/>
              <w:rPr>
                <w:bCs/>
                <w:iCs/>
              </w:rPr>
            </w:pPr>
          </w:p>
        </w:tc>
      </w:tr>
      <w:tr w:rsidR="00E54979">
        <w:trPr>
          <w:trHeight w:val="284"/>
        </w:trPr>
        <w:tc>
          <w:tcPr>
            <w:tcW w:w="4911" w:type="dxa"/>
          </w:tcPr>
          <w:p w:rsidR="00E54979" w:rsidRDefault="00E54979">
            <w:pPr>
              <w:pStyle w:val="Avsndare"/>
              <w:framePr w:h="2483" w:wrap="notBeside" w:x="1504"/>
              <w:rPr>
                <w:bCs/>
                <w:iCs/>
              </w:rPr>
            </w:pPr>
          </w:p>
        </w:tc>
      </w:tr>
      <w:tr w:rsidR="00E54979">
        <w:trPr>
          <w:trHeight w:val="284"/>
        </w:trPr>
        <w:tc>
          <w:tcPr>
            <w:tcW w:w="4911" w:type="dxa"/>
          </w:tcPr>
          <w:p w:rsidR="00E54979" w:rsidRDefault="00E54979">
            <w:pPr>
              <w:pStyle w:val="Avsndare"/>
              <w:framePr w:h="2483" w:wrap="notBeside" w:x="1504"/>
              <w:rPr>
                <w:bCs/>
                <w:iCs/>
              </w:rPr>
            </w:pPr>
          </w:p>
        </w:tc>
      </w:tr>
      <w:tr w:rsidR="00E54979">
        <w:trPr>
          <w:trHeight w:val="284"/>
        </w:trPr>
        <w:tc>
          <w:tcPr>
            <w:tcW w:w="4911" w:type="dxa"/>
          </w:tcPr>
          <w:p w:rsidR="00E54979" w:rsidRDefault="00E54979">
            <w:pPr>
              <w:pStyle w:val="Avsndare"/>
              <w:framePr w:h="2483" w:wrap="notBeside" w:x="1504"/>
              <w:rPr>
                <w:bCs/>
                <w:iCs/>
              </w:rPr>
            </w:pPr>
          </w:p>
        </w:tc>
      </w:tr>
      <w:tr w:rsidR="00E54979">
        <w:trPr>
          <w:trHeight w:val="284"/>
        </w:trPr>
        <w:tc>
          <w:tcPr>
            <w:tcW w:w="4911" w:type="dxa"/>
          </w:tcPr>
          <w:p w:rsidR="00E54979" w:rsidRDefault="00E54979">
            <w:pPr>
              <w:pStyle w:val="Avsndare"/>
              <w:framePr w:h="2483" w:wrap="notBeside" w:x="1504"/>
              <w:rPr>
                <w:bCs/>
                <w:iCs/>
              </w:rPr>
            </w:pPr>
          </w:p>
        </w:tc>
      </w:tr>
    </w:tbl>
    <w:p w:rsidR="00E54979" w:rsidRPr="00E1647B" w:rsidRDefault="00E54979">
      <w:pPr>
        <w:framePr w:w="4400" w:h="2523" w:wrap="notBeside" w:vAnchor="page" w:hAnchor="page" w:x="6453" w:y="2445"/>
        <w:ind w:left="142"/>
        <w:rPr>
          <w:b/>
        </w:rPr>
      </w:pPr>
    </w:p>
    <w:p w:rsidR="00E54979" w:rsidRDefault="00E54979">
      <w:pPr>
        <w:pStyle w:val="RKrubrik"/>
        <w:pBdr>
          <w:bottom w:val="single" w:sz="6" w:space="1" w:color="auto"/>
        </w:pBdr>
      </w:pPr>
      <w:bookmarkStart w:id="0" w:name="bRubrik"/>
      <w:bookmarkEnd w:id="0"/>
      <w:r>
        <w:t>Allmänna rådets möte den 22 april 2013</w:t>
      </w:r>
    </w:p>
    <w:p w:rsidR="00E54979" w:rsidRDefault="00E54979">
      <w:pPr>
        <w:pStyle w:val="RKrubrik"/>
      </w:pPr>
      <w:r>
        <w:t>Kommenterad dagordning</w:t>
      </w:r>
    </w:p>
    <w:p w:rsidR="00E54979" w:rsidRDefault="00E54979">
      <w:pPr>
        <w:pStyle w:val="RKnormal"/>
      </w:pPr>
    </w:p>
    <w:p w:rsidR="00E54979" w:rsidRDefault="00E54979">
      <w:pPr>
        <w:pStyle w:val="RKrubrik"/>
      </w:pPr>
      <w:r>
        <w:t>1.</w:t>
      </w:r>
      <w:r>
        <w:tab/>
        <w:t>Godkännande av dagordningen</w:t>
      </w:r>
    </w:p>
    <w:p w:rsidR="00E54979" w:rsidRPr="00E1647B" w:rsidRDefault="00E54979" w:rsidP="00E1647B">
      <w:pPr>
        <w:pStyle w:val="RKnormal"/>
      </w:pPr>
    </w:p>
    <w:p w:rsidR="00E54979" w:rsidRPr="00E1647B" w:rsidRDefault="00E54979" w:rsidP="00E1647B">
      <w:pPr>
        <w:pStyle w:val="RKnormal"/>
        <w:ind w:left="284"/>
        <w:rPr>
          <w:i/>
          <w:color w:val="000000"/>
          <w:u w:val="single"/>
        </w:rPr>
      </w:pPr>
      <w:r w:rsidRPr="00E1647B">
        <w:rPr>
          <w:i/>
          <w:color w:val="000000"/>
          <w:u w:val="single"/>
        </w:rPr>
        <w:t>Lagstiftningsöverläggningar</w:t>
      </w:r>
    </w:p>
    <w:p w:rsidR="00E54979" w:rsidRDefault="00E54979">
      <w:pPr>
        <w:pStyle w:val="RKnormal"/>
      </w:pPr>
    </w:p>
    <w:p w:rsidR="00E54979" w:rsidRPr="009A4117" w:rsidRDefault="00E54979" w:rsidP="00581ACA">
      <w:pPr>
        <w:pStyle w:val="RKrubrik"/>
      </w:pPr>
      <w:r>
        <w:t>2.</w:t>
      </w:r>
      <w:r>
        <w:tab/>
        <w:t>(ev.) A-punkter</w:t>
      </w:r>
    </w:p>
    <w:p w:rsidR="00E54979" w:rsidRDefault="00E54979">
      <w:pPr>
        <w:pStyle w:val="RKnormal"/>
      </w:pPr>
    </w:p>
    <w:p w:rsidR="00E54979" w:rsidRDefault="00E54979" w:rsidP="00D81018">
      <w:pPr>
        <w:keepNext/>
        <w:tabs>
          <w:tab w:val="left" w:pos="284"/>
        </w:tabs>
        <w:spacing w:before="360"/>
        <w:rPr>
          <w:rFonts w:ascii="TradeGothic" w:hAnsi="TradeGothic"/>
          <w:b/>
          <w:color w:val="000000"/>
          <w:sz w:val="22"/>
        </w:rPr>
      </w:pPr>
      <w:r w:rsidRPr="009A4117">
        <w:rPr>
          <w:rFonts w:ascii="TradeGothic" w:hAnsi="TradeGothic"/>
          <w:b/>
          <w:sz w:val="22"/>
          <w:szCs w:val="22"/>
        </w:rPr>
        <w:t>3.</w:t>
      </w:r>
      <w:r w:rsidRPr="009A4117">
        <w:rPr>
          <w:rFonts w:ascii="TradeGothic" w:hAnsi="TradeGothic"/>
          <w:b/>
          <w:sz w:val="22"/>
          <w:szCs w:val="22"/>
        </w:rPr>
        <w:tab/>
      </w:r>
      <w:r>
        <w:rPr>
          <w:rFonts w:ascii="TradeGothic" w:hAnsi="TradeGothic"/>
          <w:b/>
          <w:sz w:val="22"/>
          <w:szCs w:val="22"/>
        </w:rPr>
        <w:tab/>
      </w:r>
      <w:r w:rsidRPr="00B66D5F">
        <w:rPr>
          <w:rFonts w:ascii="TradeGothic" w:hAnsi="TradeGothic"/>
          <w:b/>
          <w:color w:val="000000"/>
          <w:sz w:val="22"/>
        </w:rPr>
        <w:t>EU:s fleråriga budgetram</w:t>
      </w:r>
    </w:p>
    <w:p w:rsidR="00E54979" w:rsidRDefault="00E54979" w:rsidP="00581ACA">
      <w:pPr>
        <w:keepNext/>
        <w:tabs>
          <w:tab w:val="left" w:pos="284"/>
        </w:tabs>
        <w:rPr>
          <w:b/>
          <w:color w:val="000000"/>
          <w:szCs w:val="24"/>
        </w:rPr>
      </w:pPr>
      <w:r w:rsidRPr="00B66D5F">
        <w:rPr>
          <w:i/>
          <w:color w:val="000000"/>
          <w:szCs w:val="24"/>
        </w:rPr>
        <w:t>Informationspunkt</w:t>
      </w:r>
      <w:r w:rsidRPr="00B66D5F">
        <w:rPr>
          <w:b/>
          <w:color w:val="000000"/>
          <w:szCs w:val="24"/>
        </w:rPr>
        <w:t xml:space="preserve"> </w:t>
      </w:r>
    </w:p>
    <w:p w:rsidR="00E54979" w:rsidRPr="00B66D5F" w:rsidRDefault="00E54979" w:rsidP="009A4117">
      <w:pPr>
        <w:keepNext/>
        <w:tabs>
          <w:tab w:val="left" w:pos="284"/>
        </w:tabs>
        <w:spacing w:before="360" w:after="120"/>
        <w:rPr>
          <w:b/>
          <w:color w:val="000000"/>
          <w:szCs w:val="24"/>
        </w:rPr>
      </w:pPr>
      <w:r>
        <w:rPr>
          <w:b/>
          <w:color w:val="000000"/>
          <w:szCs w:val="24"/>
        </w:rPr>
        <w:t>Bakgrund</w:t>
      </w:r>
    </w:p>
    <w:p w:rsidR="00E54979" w:rsidRPr="00A27D09" w:rsidRDefault="00E54979" w:rsidP="009A4117">
      <w:pPr>
        <w:rPr>
          <w:color w:val="1F497D"/>
        </w:rPr>
      </w:pPr>
      <w:r>
        <w:t xml:space="preserve">Överenskommelsen vid Europeiska rådet den 7-8 februari i år om EU:s fleråriga budgetram ska nu omvandlas till en budgetramsförordning, ett beslut om egna medel samt ett 70-tal sektorsförordningar. Innan budgetramen kan träda i kraft den 1 januari 2014 ska Europaparlamentet (EP) godkänna budgetramsförordningen. Vidare ska rådet, EP och kommissionen enas om ett interinstitutionellt avtal (IIA) som bland annat reglerar genomförandet av budgetramen. </w:t>
      </w:r>
    </w:p>
    <w:p w:rsidR="00E54979" w:rsidRDefault="00E54979" w:rsidP="009A4117">
      <w:pPr>
        <w:pStyle w:val="RKnormal"/>
      </w:pPr>
    </w:p>
    <w:p w:rsidR="00E54979" w:rsidRDefault="00E54979" w:rsidP="009A4117">
      <w:pPr>
        <w:pStyle w:val="RKnormal"/>
      </w:pPr>
      <w:r>
        <w:t>Den 8 april presenterade det irländska ordförandeskapet ett reviderat förslag till budgetramförordning och ett utkast till IIA. Vid Allmänna rådets möte väntas ordförandeskapet ge en lägesrapport om den fortsatta hanteringen av budgetramen och diskussionerna med EP. Ingen diskussion förutses vid mötet.</w:t>
      </w:r>
    </w:p>
    <w:p w:rsidR="00E54979" w:rsidRDefault="00E54979" w:rsidP="009A4117">
      <w:pPr>
        <w:pStyle w:val="RKnormal"/>
      </w:pPr>
    </w:p>
    <w:p w:rsidR="00E54979" w:rsidRDefault="00E54979" w:rsidP="009A4117">
      <w:pPr>
        <w:pStyle w:val="RKnormal"/>
        <w:rPr>
          <w:b/>
        </w:rPr>
      </w:pPr>
    </w:p>
    <w:p w:rsidR="00E54979" w:rsidRPr="003B69AC" w:rsidRDefault="00E54979" w:rsidP="009A4117">
      <w:pPr>
        <w:pStyle w:val="RKnormal"/>
        <w:rPr>
          <w:b/>
        </w:rPr>
      </w:pPr>
      <w:r w:rsidRPr="003B69AC">
        <w:rPr>
          <w:b/>
        </w:rPr>
        <w:t>Förslag till svensk ståndpunkt</w:t>
      </w:r>
    </w:p>
    <w:p w:rsidR="00E54979" w:rsidRDefault="00E54979" w:rsidP="009A4117">
      <w:pPr>
        <w:pStyle w:val="RKnormal"/>
      </w:pPr>
      <w:r>
        <w:t>Regeringen anser att det är viktigt att de kommande förhandlingarna med EP leder till ett utfall som i största möjliga mån respekterar uppgörelsen vid Europeiska rådet.</w:t>
      </w:r>
    </w:p>
    <w:p w:rsidR="00E54979" w:rsidRDefault="00E54979" w:rsidP="009A4117">
      <w:pPr>
        <w:pStyle w:val="RKnormal"/>
      </w:pPr>
    </w:p>
    <w:p w:rsidR="00E54979" w:rsidRPr="00E1647B" w:rsidRDefault="00E54979" w:rsidP="00E1647B">
      <w:pPr>
        <w:pStyle w:val="RKrubrik"/>
        <w:tabs>
          <w:tab w:val="clear" w:pos="1134"/>
        </w:tabs>
        <w:rPr>
          <w:b w:val="0"/>
          <w:color w:val="000000"/>
        </w:rPr>
      </w:pPr>
      <w:r>
        <w:rPr>
          <w:color w:val="000000"/>
        </w:rPr>
        <w:t xml:space="preserve">4. </w:t>
      </w:r>
      <w:r>
        <w:rPr>
          <w:color w:val="000000"/>
        </w:rPr>
        <w:tab/>
      </w:r>
      <w:r w:rsidRPr="00E1647B">
        <w:rPr>
          <w:color w:val="000000"/>
        </w:rPr>
        <w:t xml:space="preserve">Övriga frågor  </w:t>
      </w:r>
    </w:p>
    <w:p w:rsidR="00E54979" w:rsidRPr="0022421E" w:rsidRDefault="00E54979" w:rsidP="00E1647B">
      <w:pPr>
        <w:pStyle w:val="RKrubrik"/>
        <w:tabs>
          <w:tab w:val="clear" w:pos="709"/>
          <w:tab w:val="clear" w:pos="1134"/>
          <w:tab w:val="left" w:pos="567"/>
        </w:tabs>
        <w:ind w:left="284"/>
        <w:rPr>
          <w:rFonts w:ascii="OrigGarmnd BT" w:hAnsi="OrigGarmnd BT"/>
          <w:b w:val="0"/>
          <w:color w:val="000000"/>
          <w:sz w:val="24"/>
          <w:szCs w:val="24"/>
        </w:rPr>
      </w:pPr>
      <w:r>
        <w:rPr>
          <w:rFonts w:ascii="OrigGarmnd BT" w:hAnsi="OrigGarmnd BT"/>
          <w:b w:val="0"/>
          <w:color w:val="000000"/>
          <w:sz w:val="24"/>
          <w:szCs w:val="24"/>
        </w:rPr>
        <w:tab/>
        <w:t>=</w:t>
      </w:r>
      <w:r w:rsidRPr="0022421E">
        <w:rPr>
          <w:rFonts w:ascii="OrigGarmnd BT" w:hAnsi="OrigGarmnd BT"/>
          <w:b w:val="0"/>
          <w:color w:val="000000"/>
          <w:sz w:val="24"/>
          <w:szCs w:val="24"/>
        </w:rPr>
        <w:t xml:space="preserve"> (ev.) Information från ordförandeskapet om aktuella lagförslag</w:t>
      </w:r>
    </w:p>
    <w:p w:rsidR="00E54979" w:rsidRDefault="00E54979">
      <w:pPr>
        <w:pStyle w:val="RKrubrik"/>
      </w:pPr>
    </w:p>
    <w:p w:rsidR="00E54979" w:rsidRPr="00E1647B" w:rsidRDefault="00E54979" w:rsidP="00E1647B">
      <w:pPr>
        <w:pStyle w:val="Default"/>
        <w:ind w:left="284"/>
      </w:pPr>
      <w:r w:rsidRPr="00E1647B">
        <w:rPr>
          <w:i/>
          <w:iCs/>
          <w:u w:val="single"/>
        </w:rPr>
        <w:t>Icke lagstiftande verksamhet</w:t>
      </w:r>
    </w:p>
    <w:p w:rsidR="00E54979" w:rsidRPr="00E1647B" w:rsidRDefault="00E54979" w:rsidP="00207C36">
      <w:pPr>
        <w:pStyle w:val="RKrubrik"/>
        <w:rPr>
          <w:color w:val="000000"/>
        </w:rPr>
      </w:pPr>
      <w:r>
        <w:rPr>
          <w:color w:val="000000"/>
        </w:rPr>
        <w:t>5</w:t>
      </w:r>
      <w:r w:rsidRPr="00E1647B">
        <w:rPr>
          <w:color w:val="000000"/>
        </w:rPr>
        <w:t>.</w:t>
      </w:r>
      <w:r w:rsidRPr="00E1647B">
        <w:rPr>
          <w:color w:val="000000"/>
        </w:rPr>
        <w:tab/>
        <w:t>A-punkter</w:t>
      </w:r>
    </w:p>
    <w:p w:rsidR="00E54979" w:rsidRPr="00E1647B" w:rsidRDefault="00E54979" w:rsidP="00207C36">
      <w:pPr>
        <w:pStyle w:val="RKnormal"/>
        <w:rPr>
          <w:color w:val="000000"/>
        </w:rPr>
      </w:pPr>
    </w:p>
    <w:p w:rsidR="00E54979" w:rsidRPr="00E1647B" w:rsidRDefault="00E54979" w:rsidP="00D81018">
      <w:pPr>
        <w:pStyle w:val="RKrubrik"/>
        <w:tabs>
          <w:tab w:val="clear" w:pos="1134"/>
        </w:tabs>
        <w:spacing w:after="0"/>
        <w:rPr>
          <w:color w:val="000000"/>
        </w:rPr>
      </w:pPr>
      <w:r>
        <w:rPr>
          <w:color w:val="000000"/>
        </w:rPr>
        <w:t>6</w:t>
      </w:r>
      <w:r w:rsidRPr="00E1647B">
        <w:rPr>
          <w:color w:val="000000"/>
        </w:rPr>
        <w:t>.</w:t>
      </w:r>
      <w:r w:rsidRPr="00E1647B">
        <w:rPr>
          <w:color w:val="000000"/>
        </w:rPr>
        <w:tab/>
        <w:t xml:space="preserve">Resolutioner, synpunkter och beslut antagna av Europaparlamentet </w:t>
      </w:r>
    </w:p>
    <w:p w:rsidR="00E54979" w:rsidRPr="00E1647B" w:rsidRDefault="00E54979" w:rsidP="00D81018">
      <w:pPr>
        <w:spacing w:line="240" w:lineRule="auto"/>
        <w:rPr>
          <w:i/>
          <w:color w:val="000000"/>
          <w:szCs w:val="24"/>
        </w:rPr>
      </w:pPr>
      <w:r w:rsidRPr="00E1647B">
        <w:rPr>
          <w:i/>
          <w:color w:val="000000"/>
          <w:szCs w:val="24"/>
        </w:rPr>
        <w:t>Informationspunkt</w:t>
      </w:r>
    </w:p>
    <w:p w:rsidR="00E54979" w:rsidRPr="00E1647B" w:rsidRDefault="00E54979" w:rsidP="00D81018">
      <w:pPr>
        <w:spacing w:line="240" w:lineRule="auto"/>
        <w:rPr>
          <w:i/>
          <w:color w:val="000000"/>
          <w:szCs w:val="24"/>
        </w:rPr>
      </w:pPr>
    </w:p>
    <w:p w:rsidR="00E54979" w:rsidRPr="00E1647B" w:rsidRDefault="00E54979" w:rsidP="00D81018">
      <w:pPr>
        <w:spacing w:after="120"/>
        <w:rPr>
          <w:color w:val="000000"/>
        </w:rPr>
      </w:pPr>
      <w:r w:rsidRPr="00E1647B">
        <w:rPr>
          <w:color w:val="000000"/>
        </w:rPr>
        <w:t>Allmänna rådet avser att notera resolutioner, yttranden och beslut antagna av Europaparlamentet</w:t>
      </w:r>
      <w:bookmarkStart w:id="1" w:name="_GoBack"/>
      <w:bookmarkEnd w:id="1"/>
      <w:r w:rsidRPr="00E1647B">
        <w:rPr>
          <w:color w:val="000000"/>
        </w:rPr>
        <w:t xml:space="preserve"> under sammanträdesperioden den </w:t>
      </w:r>
      <w:r>
        <w:rPr>
          <w:color w:val="000000"/>
        </w:rPr>
        <w:t>11-14 mars</w:t>
      </w:r>
      <w:r w:rsidRPr="00E1647B">
        <w:rPr>
          <w:color w:val="000000"/>
        </w:rPr>
        <w:t xml:space="preserve"> 2013. Detta är en standardpunkt på dagordningen.</w:t>
      </w:r>
    </w:p>
    <w:p w:rsidR="00E54979" w:rsidRPr="00E1647B" w:rsidRDefault="00E54979" w:rsidP="00E1647B">
      <w:pPr>
        <w:spacing w:after="120"/>
        <w:ind w:left="284"/>
        <w:rPr>
          <w:color w:val="000000"/>
        </w:rPr>
      </w:pPr>
    </w:p>
    <w:p w:rsidR="00E54979" w:rsidRPr="00D81018" w:rsidRDefault="00E54979" w:rsidP="00F424C2">
      <w:pPr>
        <w:pStyle w:val="ListParagraph"/>
        <w:keepNext/>
        <w:numPr>
          <w:ilvl w:val="0"/>
          <w:numId w:val="3"/>
        </w:numPr>
        <w:tabs>
          <w:tab w:val="left" w:pos="709"/>
        </w:tabs>
        <w:spacing w:before="360"/>
        <w:ind w:left="142" w:hanging="142"/>
        <w:rPr>
          <w:rFonts w:ascii="TradeGothic" w:hAnsi="TradeGothic"/>
          <w:b/>
          <w:color w:val="000000"/>
          <w:sz w:val="22"/>
        </w:rPr>
      </w:pPr>
      <w:r w:rsidRPr="00D81018">
        <w:rPr>
          <w:rFonts w:ascii="TradeGothic" w:hAnsi="TradeGothic"/>
          <w:b/>
          <w:color w:val="000000"/>
          <w:sz w:val="22"/>
        </w:rPr>
        <w:t>Förberedelser av Europeiska rådet den 22 maj 2013</w:t>
      </w:r>
    </w:p>
    <w:p w:rsidR="00E54979" w:rsidRDefault="00E54979" w:rsidP="00F424C2">
      <w:pPr>
        <w:keepNext/>
        <w:tabs>
          <w:tab w:val="left" w:pos="1134"/>
          <w:tab w:val="left" w:pos="2835"/>
        </w:tabs>
        <w:spacing w:after="360"/>
        <w:rPr>
          <w:i/>
          <w:color w:val="000000"/>
          <w:szCs w:val="24"/>
        </w:rPr>
      </w:pPr>
      <w:r w:rsidRPr="003B69AC">
        <w:rPr>
          <w:i/>
          <w:color w:val="000000"/>
          <w:szCs w:val="24"/>
        </w:rPr>
        <w:t>Informationspunkt</w:t>
      </w:r>
    </w:p>
    <w:p w:rsidR="00E54979" w:rsidRPr="003761AC" w:rsidRDefault="00E54979" w:rsidP="003761AC">
      <w:pPr>
        <w:spacing w:line="240" w:lineRule="auto"/>
        <w:rPr>
          <w:rFonts w:cs="OrigGarmnd BT"/>
          <w:color w:val="000000"/>
          <w:szCs w:val="24"/>
          <w:lang w:eastAsia="sv-SE"/>
        </w:rPr>
      </w:pPr>
      <w:r w:rsidRPr="003761AC">
        <w:rPr>
          <w:rFonts w:cs="OrigGarmnd BT"/>
          <w:color w:val="000000"/>
          <w:szCs w:val="24"/>
          <w:lang w:eastAsia="sv-SE"/>
        </w:rPr>
        <w:t xml:space="preserve">Utkastet till annoterad dagordning inför Europeiska rådet den 22 maj ska presenteras vid Allmänna rådets möte. Dagordningen har delgivits nämnden. </w:t>
      </w:r>
    </w:p>
    <w:p w:rsidR="00E54979" w:rsidRPr="003761AC" w:rsidRDefault="00E54979" w:rsidP="003761AC">
      <w:pPr>
        <w:spacing w:line="240" w:lineRule="auto"/>
        <w:rPr>
          <w:rFonts w:cs="OrigGarmnd BT"/>
          <w:color w:val="000000"/>
          <w:szCs w:val="24"/>
          <w:lang w:eastAsia="sv-SE"/>
        </w:rPr>
      </w:pPr>
    </w:p>
    <w:p w:rsidR="00E54979" w:rsidRDefault="00E54979" w:rsidP="003761AC">
      <w:pPr>
        <w:spacing w:line="240" w:lineRule="auto"/>
        <w:rPr>
          <w:rFonts w:cs="OrigGarmnd BT"/>
          <w:color w:val="000000"/>
          <w:szCs w:val="24"/>
          <w:lang w:eastAsia="sv-SE"/>
        </w:rPr>
      </w:pPr>
      <w:r w:rsidRPr="003761AC">
        <w:rPr>
          <w:rFonts w:cs="OrigGarmnd BT"/>
          <w:color w:val="000000"/>
          <w:szCs w:val="24"/>
          <w:lang w:eastAsia="sv-SE"/>
        </w:rPr>
        <w:t xml:space="preserve">Energipolitiska frågor väntas stå i centrum vid mötet med särskilt fokus på färdigställandet av den inre marknaden för energi, behovet av investeringar i modern energiinfrastruktur och energipriser. Vidare ska skattefrågor diskuteras med fokus på effektiv skatteuppbörd och åtgärder mot skattebedrägeri och skatteundandragande. En </w:t>
      </w:r>
      <w:r>
        <w:rPr>
          <w:rFonts w:cs="OrigGarmnd BT"/>
          <w:color w:val="000000"/>
          <w:szCs w:val="24"/>
          <w:lang w:eastAsia="sv-SE"/>
        </w:rPr>
        <w:t>lägesavstämning</w:t>
      </w:r>
      <w:r w:rsidRPr="003761AC">
        <w:rPr>
          <w:rFonts w:cs="OrigGarmnd BT"/>
          <w:color w:val="000000"/>
          <w:szCs w:val="24"/>
          <w:lang w:eastAsia="sv-SE"/>
        </w:rPr>
        <w:t xml:space="preserve"> om fördjupningen av den ekonomiska och monetära unionen (EMU) är också att vänta men utan antagande av slutsatser. Avslutningsvis kan det bli aktuellt för Europeiska rådet att diskutera utrikespolitiska frågor. </w:t>
      </w:r>
    </w:p>
    <w:p w:rsidR="00E54979" w:rsidRDefault="00E54979">
      <w:pPr>
        <w:rPr>
          <w:rFonts w:cs="OrigGarmnd BT"/>
          <w:color w:val="000000"/>
          <w:szCs w:val="24"/>
          <w:lang w:eastAsia="sv-SE"/>
        </w:rPr>
      </w:pPr>
      <w:r>
        <w:rPr>
          <w:rFonts w:cs="OrigGarmnd BT"/>
          <w:color w:val="000000"/>
          <w:szCs w:val="24"/>
          <w:lang w:eastAsia="sv-SE"/>
        </w:rPr>
        <w:br w:type="page"/>
      </w:r>
    </w:p>
    <w:p w:rsidR="00E54979" w:rsidRPr="00B66D5F" w:rsidRDefault="00E54979" w:rsidP="009A4117">
      <w:pPr>
        <w:pStyle w:val="RKnormal"/>
        <w:numPr>
          <w:ilvl w:val="0"/>
          <w:numId w:val="3"/>
        </w:numPr>
        <w:tabs>
          <w:tab w:val="clear" w:pos="709"/>
          <w:tab w:val="clear" w:pos="2835"/>
          <w:tab w:val="left" w:pos="0"/>
        </w:tabs>
        <w:ind w:left="0" w:firstLine="0"/>
        <w:rPr>
          <w:rFonts w:ascii="TradeGothic" w:hAnsi="TradeGothic"/>
          <w:b/>
          <w:sz w:val="22"/>
          <w:szCs w:val="22"/>
        </w:rPr>
      </w:pPr>
      <w:r w:rsidRPr="00B66D5F">
        <w:rPr>
          <w:rFonts w:ascii="TradeGothic" w:hAnsi="TradeGothic"/>
          <w:b/>
          <w:sz w:val="22"/>
          <w:szCs w:val="22"/>
        </w:rPr>
        <w:t xml:space="preserve">Kommissionens rapporter om Serbien, Kosovo och </w:t>
      </w:r>
      <w:r>
        <w:rPr>
          <w:rFonts w:ascii="TradeGothic" w:hAnsi="TradeGothic"/>
          <w:b/>
          <w:sz w:val="22"/>
          <w:szCs w:val="22"/>
        </w:rPr>
        <w:t>Makedonien</w:t>
      </w:r>
    </w:p>
    <w:p w:rsidR="00E54979" w:rsidRDefault="00E54979" w:rsidP="004E6318">
      <w:pPr>
        <w:tabs>
          <w:tab w:val="left" w:pos="2835"/>
        </w:tabs>
        <w:spacing w:line="240" w:lineRule="auto"/>
        <w:rPr>
          <w:rFonts w:cs="OrigGarmnd BT"/>
          <w:i/>
          <w:iCs/>
          <w:color w:val="000000"/>
          <w:szCs w:val="24"/>
          <w:lang w:eastAsia="sv-SE"/>
        </w:rPr>
      </w:pPr>
      <w:r>
        <w:rPr>
          <w:rFonts w:cs="OrigGarmnd BT"/>
          <w:i/>
          <w:iCs/>
          <w:color w:val="000000"/>
          <w:szCs w:val="24"/>
          <w:lang w:eastAsia="sv-SE"/>
        </w:rPr>
        <w:t>Diskussionspunkt</w:t>
      </w:r>
    </w:p>
    <w:p w:rsidR="00E54979" w:rsidRDefault="00E54979" w:rsidP="004E6318">
      <w:pPr>
        <w:tabs>
          <w:tab w:val="left" w:pos="2835"/>
        </w:tabs>
        <w:spacing w:line="240" w:lineRule="auto"/>
        <w:rPr>
          <w:rFonts w:cs="OrigGarmnd BT"/>
          <w:i/>
          <w:iCs/>
          <w:color w:val="000000"/>
          <w:szCs w:val="24"/>
          <w:lang w:eastAsia="sv-SE"/>
        </w:rPr>
      </w:pPr>
    </w:p>
    <w:p w:rsidR="00E54979" w:rsidRPr="004E6318" w:rsidRDefault="00E54979" w:rsidP="004E6318">
      <w:pPr>
        <w:rPr>
          <w:b/>
          <w:iCs/>
          <w:color w:val="000000"/>
          <w:lang w:eastAsia="sv-SE"/>
        </w:rPr>
      </w:pPr>
      <w:r w:rsidRPr="004E6318">
        <w:rPr>
          <w:b/>
          <w:iCs/>
          <w:color w:val="000000"/>
          <w:lang w:eastAsia="sv-SE"/>
        </w:rPr>
        <w:t>Bakgrund</w:t>
      </w:r>
    </w:p>
    <w:p w:rsidR="00E54979" w:rsidRDefault="00E54979" w:rsidP="004E6318">
      <w:pPr>
        <w:rPr>
          <w:color w:val="000000"/>
          <w:lang w:eastAsia="sv-SE"/>
        </w:rPr>
      </w:pPr>
      <w:r>
        <w:rPr>
          <w:color w:val="000000"/>
          <w:lang w:eastAsia="sv-SE"/>
        </w:rPr>
        <w:t xml:space="preserve">I enlighet med Allmänna rådets slutsatser i december 2012 om EU:s utvidgning förväntas kommissionen presentera rapporter om Serbien, Kosovo och Makedonien. Rapporterna behandlar förutsättningarna för att inleda förhandlingar för ett stabiliserings- och associeringsavtal med Kosovo, medlemskapsförhandlingar med Serbien och medlemskapsförhandlingar med Makedonien. </w:t>
      </w:r>
    </w:p>
    <w:p w:rsidR="00E54979" w:rsidRDefault="00E54979" w:rsidP="004E6318">
      <w:pPr>
        <w:rPr>
          <w:color w:val="000000"/>
          <w:lang w:eastAsia="sv-SE"/>
        </w:rPr>
      </w:pPr>
    </w:p>
    <w:p w:rsidR="00E54979" w:rsidRDefault="00E54979" w:rsidP="005D799C">
      <w:r>
        <w:t>Kommissionen ska rapportera om Serbiens framsteg gällande reformer inom rättstatsområdet, förbättring av företagsklimatet samt behandling av nationella minoriteter och</w:t>
      </w:r>
      <w:r>
        <w:rPr>
          <w:color w:val="000000"/>
        </w:rPr>
        <w:t xml:space="preserve"> Kosovos genomförande av kortfristiga prioriteringar vad gäller rättsstatsprincipen, offentlig förvaltning, skydd av minoriteter och handel. Av betydelse för Serbiens och Kosovos framsteg i EU-närmandet är den av Höge representanten Ashton faciliterade dialogen mellan länderna. </w:t>
      </w:r>
      <w:r>
        <w:t>Efter det att Serbien den 8 april avvisat ett förslag om en kompromissöverenskommelse är det för närvarande osäkert hur processen kan drivas framåt.</w:t>
      </w:r>
    </w:p>
    <w:p w:rsidR="00E54979" w:rsidRDefault="00E54979" w:rsidP="005D799C"/>
    <w:p w:rsidR="00E54979" w:rsidRDefault="00E54979" w:rsidP="004E6318">
      <w:r>
        <w:t xml:space="preserve">Sedan FN-medlaren Nimetz överläggningar med parterna den 8 och 9 april finns inte några indikationer på att rörelse mot en lösning i namnfrågan för Makedonien ska kunna redovisas i kommissionens </w:t>
      </w:r>
    </w:p>
    <w:p w:rsidR="00E54979" w:rsidRDefault="00E54979" w:rsidP="004E6318">
      <w:r>
        <w:t>rapport inför Allmänna rådets möte.</w:t>
      </w:r>
    </w:p>
    <w:p w:rsidR="00E54979" w:rsidRDefault="00E54979" w:rsidP="004E6318">
      <w:pPr>
        <w:rPr>
          <w:color w:val="000000"/>
          <w:lang w:eastAsia="sv-SE"/>
        </w:rPr>
      </w:pPr>
    </w:p>
    <w:p w:rsidR="00E54979" w:rsidRPr="00207C36" w:rsidRDefault="00E54979" w:rsidP="004E6318">
      <w:pPr>
        <w:rPr>
          <w:b/>
          <w:iCs/>
          <w:color w:val="000000"/>
          <w:lang w:eastAsia="sv-SE"/>
        </w:rPr>
      </w:pPr>
      <w:r>
        <w:rPr>
          <w:b/>
          <w:iCs/>
          <w:color w:val="000000"/>
          <w:lang w:eastAsia="sv-SE"/>
        </w:rPr>
        <w:t>Förslag till svensk ståndpunkt</w:t>
      </w:r>
    </w:p>
    <w:p w:rsidR="00E54979" w:rsidRDefault="00E54979" w:rsidP="004E6318">
      <w:pPr>
        <w:rPr>
          <w:color w:val="000000"/>
          <w:lang w:eastAsia="sv-SE"/>
        </w:rPr>
      </w:pPr>
      <w:r>
        <w:rPr>
          <w:color w:val="000000"/>
          <w:lang w:eastAsia="sv-SE"/>
        </w:rPr>
        <w:t>EU:s utvidgning är en central fråga i svensk utrikespolitik. Utvidgningen är även en nyckelfaktor i att skapa stabilitet i EU:s närområde, genom att förankra demokratins, rättsstatens och den fria rörlighetens principer. Förutsatt</w:t>
      </w:r>
      <w:r w:rsidRPr="00204DF9">
        <w:rPr>
          <w:color w:val="000000"/>
          <w:lang w:eastAsia="sv-SE"/>
        </w:rPr>
        <w:t xml:space="preserve"> positiva rapporter och framsteg i dialogen</w:t>
      </w:r>
      <w:r>
        <w:rPr>
          <w:color w:val="000000"/>
          <w:lang w:eastAsia="sv-SE"/>
        </w:rPr>
        <w:t xml:space="preserve"> mellan Pristina och Belgrad i enlighet med rådsslutsatserna i december kommer regeringen verka för beslut om förhandlingsstart för Serbien i juni och inledande av förhandlingar för ett stabiliserings- och associeringsavtal med Kosovo. En lösning av namnfrågan mellan Makedonien och Grekland samt en start av EU-anslutningsförhandlingar med Makedonien ligger enligt regeringen i hela EU:s intresse. Regeringen avser verka för en makedonisk förhandlingsstart så snart utvecklingen av namnfrågan, grannlandsrelationerna och det allmänna reformläget i landet medger detta.</w:t>
      </w:r>
    </w:p>
    <w:p w:rsidR="00E54979" w:rsidRDefault="00E54979">
      <w:pPr>
        <w:rPr>
          <w:color w:val="000000"/>
          <w:lang w:eastAsia="sv-SE"/>
        </w:rPr>
      </w:pPr>
      <w:r>
        <w:rPr>
          <w:color w:val="000000"/>
          <w:lang w:eastAsia="sv-SE"/>
        </w:rPr>
        <w:br w:type="page"/>
      </w:r>
    </w:p>
    <w:p w:rsidR="00E54979" w:rsidRDefault="00E54979" w:rsidP="00D81018">
      <w:pPr>
        <w:pStyle w:val="Heading2"/>
        <w:numPr>
          <w:ilvl w:val="0"/>
          <w:numId w:val="3"/>
        </w:numPr>
        <w:tabs>
          <w:tab w:val="clear" w:pos="1134"/>
          <w:tab w:val="left" w:pos="709"/>
        </w:tabs>
        <w:spacing w:after="0"/>
        <w:ind w:left="0" w:firstLine="0"/>
      </w:pPr>
      <w:r>
        <w:t>Förslag från några medlemsstater om initiativ om demokrati, grundläggande värden och rättsstatens principer</w:t>
      </w:r>
    </w:p>
    <w:p w:rsidR="00E54979" w:rsidRDefault="00E54979" w:rsidP="00B66D5F">
      <w:pPr>
        <w:pStyle w:val="RKnormal"/>
        <w:rPr>
          <w:i/>
        </w:rPr>
      </w:pPr>
      <w:r>
        <w:rPr>
          <w:i/>
        </w:rPr>
        <w:t>Diskussionspunkt</w:t>
      </w:r>
    </w:p>
    <w:p w:rsidR="00E54979" w:rsidRDefault="00E54979" w:rsidP="00B66D5F">
      <w:pPr>
        <w:pStyle w:val="RKnormal"/>
      </w:pPr>
    </w:p>
    <w:p w:rsidR="00E54979" w:rsidRPr="008F3CDA" w:rsidRDefault="00E54979" w:rsidP="00C273A3">
      <w:pPr>
        <w:rPr>
          <w:b/>
        </w:rPr>
      </w:pPr>
      <w:r w:rsidRPr="008F3CDA">
        <w:rPr>
          <w:b/>
        </w:rPr>
        <w:t>Bakgrund</w:t>
      </w:r>
    </w:p>
    <w:p w:rsidR="00E54979" w:rsidRDefault="00E54979" w:rsidP="00C273A3">
      <w:r>
        <w:t>Tysklands utrikesminister Westerwelle avser initiera en diskussion mot bakgrund av sitt initiativ om att stärka granskningen av hur Europeiska Unionens medlemsstater efterlever grundläggande rättigheter och rättsstatens principer. Initiativet presenterades i ett brev till kommissionens ordförande Barroso den 6 mars. Brevet undertecknades förutom av Tyskland, även av Nederländerna, Finland och Danmark. Syftet med dagordningspunkten är att understryka behovet av att kommissionen engagerar sig i och tar ansvar för frågan genom att utarbeta förslag till konkreta åtgärder.</w:t>
      </w:r>
    </w:p>
    <w:p w:rsidR="00E54979" w:rsidRDefault="00E54979" w:rsidP="00C273A3"/>
    <w:p w:rsidR="00E54979" w:rsidRDefault="00E54979" w:rsidP="00C273A3"/>
    <w:p w:rsidR="00E54979" w:rsidRPr="008F3CDA" w:rsidRDefault="00E54979" w:rsidP="00C273A3">
      <w:pPr>
        <w:rPr>
          <w:b/>
        </w:rPr>
      </w:pPr>
      <w:r w:rsidRPr="008F3CDA">
        <w:rPr>
          <w:b/>
        </w:rPr>
        <w:t>Förslag till svensk ståndpunkt</w:t>
      </w:r>
    </w:p>
    <w:p w:rsidR="00E54979" w:rsidRDefault="00E54979" w:rsidP="00C273A3">
      <w:r>
        <w:t xml:space="preserve">Regeringen är positiv till att få till stånd någon form av granskning vad gäller mänskliga rättigheter i EU:s medlemsstater. Regeringen anser vidare att kommissionen har en viktig roll i arbetet för att utveckla metoder för att förbättra EU:s medlemsstaters efterlevnad av grundläggande rättigheter och rättsstatens principer. Däremot anser regeringen inte i nuläget att det är aktuellt att införa något sanktionssystem. En granskning bör också utföras av kommissionen, som fördragens väktare, och utformas så att den drar nytta av arbete som redan utförs av andra aktörer, t.ex. Europarådet och FN-systemet. </w:t>
      </w:r>
      <w:r w:rsidRPr="004B4101">
        <w:t>Det initiativ som lämnats av DE, NL, FI och DK tar upp flera viktiga frågor som SE välkomnar fortsatt diskussion kring</w:t>
      </w:r>
      <w:r w:rsidRPr="00E65E07">
        <w:t>.</w:t>
      </w:r>
    </w:p>
    <w:p w:rsidR="00E54979" w:rsidRDefault="00E54979" w:rsidP="006F6724">
      <w:pPr>
        <w:pStyle w:val="RKnormal"/>
      </w:pPr>
    </w:p>
    <w:p w:rsidR="00E54979" w:rsidRDefault="00E54979" w:rsidP="006F6724">
      <w:pPr>
        <w:pStyle w:val="RKnormal"/>
      </w:pPr>
    </w:p>
    <w:p w:rsidR="00E54979" w:rsidRPr="003B69AC" w:rsidRDefault="00E54979" w:rsidP="009A4117">
      <w:pPr>
        <w:pStyle w:val="RKnormal"/>
        <w:numPr>
          <w:ilvl w:val="0"/>
          <w:numId w:val="3"/>
        </w:numPr>
        <w:tabs>
          <w:tab w:val="clear" w:pos="709"/>
          <w:tab w:val="clear" w:pos="2835"/>
          <w:tab w:val="left" w:pos="0"/>
        </w:tabs>
        <w:ind w:left="0" w:firstLine="0"/>
        <w:rPr>
          <w:rFonts w:ascii="TradeGothic" w:hAnsi="TradeGothic"/>
          <w:b/>
          <w:sz w:val="22"/>
          <w:szCs w:val="22"/>
        </w:rPr>
      </w:pPr>
      <w:r w:rsidRPr="003B69AC">
        <w:rPr>
          <w:rFonts w:ascii="TradeGothic" w:hAnsi="TradeGothic"/>
          <w:b/>
          <w:sz w:val="22"/>
          <w:szCs w:val="22"/>
        </w:rPr>
        <w:t>Övriga frågor</w:t>
      </w:r>
    </w:p>
    <w:sectPr w:rsidR="00E54979" w:rsidRPr="003B69AC" w:rsidSect="007B18C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979" w:rsidRDefault="00E54979">
      <w:r>
        <w:separator/>
      </w:r>
    </w:p>
  </w:endnote>
  <w:endnote w:type="continuationSeparator" w:id="0">
    <w:p w:rsidR="00E54979" w:rsidRDefault="00E54979">
      <w:r>
        <w:continuationSeparator/>
      </w:r>
    </w:p>
  </w:endnote>
</w:endnotes>
</file>

<file path=word/fontTable.xml><?xml version="1.0" encoding="utf-8"?>
<w:fonts xmlns:r="http://schemas.openxmlformats.org/officeDocument/2006/relationships" xmlns:w="http://schemas.openxmlformats.org/wordprocessingml/2006/main">
  <w:font w:name="TradeGothic">
    <w:altName w:val="Courier"/>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979" w:rsidRDefault="00E54979">
      <w:r>
        <w:separator/>
      </w:r>
    </w:p>
  </w:footnote>
  <w:footnote w:type="continuationSeparator" w:id="0">
    <w:p w:rsidR="00E54979" w:rsidRDefault="00E549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979" w:rsidRDefault="00E5497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E54979">
      <w:trPr>
        <w:cantSplit/>
      </w:trPr>
      <w:tc>
        <w:tcPr>
          <w:tcW w:w="3119" w:type="dxa"/>
        </w:tcPr>
        <w:p w:rsidR="00E54979" w:rsidRDefault="00E54979">
          <w:pPr>
            <w:pStyle w:val="Header"/>
            <w:spacing w:line="200" w:lineRule="atLeast"/>
            <w:ind w:right="357"/>
            <w:rPr>
              <w:rFonts w:ascii="TradeGothic" w:hAnsi="TradeGothic"/>
              <w:b/>
              <w:bCs/>
              <w:sz w:val="16"/>
            </w:rPr>
          </w:pPr>
        </w:p>
      </w:tc>
      <w:tc>
        <w:tcPr>
          <w:tcW w:w="4111" w:type="dxa"/>
          <w:tcMar>
            <w:left w:w="567" w:type="dxa"/>
          </w:tcMar>
        </w:tcPr>
        <w:p w:rsidR="00E54979" w:rsidRDefault="00E54979">
          <w:pPr>
            <w:pStyle w:val="Header"/>
            <w:ind w:right="360"/>
          </w:pPr>
        </w:p>
      </w:tc>
      <w:tc>
        <w:tcPr>
          <w:tcW w:w="1525" w:type="dxa"/>
        </w:tcPr>
        <w:p w:rsidR="00E54979" w:rsidRDefault="00E54979">
          <w:pPr>
            <w:pStyle w:val="Header"/>
            <w:ind w:right="360"/>
          </w:pPr>
        </w:p>
      </w:tc>
    </w:tr>
  </w:tbl>
  <w:p w:rsidR="00E54979" w:rsidRDefault="00E54979">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979" w:rsidRDefault="00E5497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E54979">
      <w:trPr>
        <w:cantSplit/>
      </w:trPr>
      <w:tc>
        <w:tcPr>
          <w:tcW w:w="3119" w:type="dxa"/>
        </w:tcPr>
        <w:p w:rsidR="00E54979" w:rsidRDefault="00E54979">
          <w:pPr>
            <w:pStyle w:val="Header"/>
            <w:spacing w:line="200" w:lineRule="atLeast"/>
            <w:ind w:right="357"/>
            <w:rPr>
              <w:rFonts w:ascii="TradeGothic" w:hAnsi="TradeGothic"/>
              <w:b/>
              <w:bCs/>
              <w:sz w:val="16"/>
            </w:rPr>
          </w:pPr>
        </w:p>
      </w:tc>
      <w:tc>
        <w:tcPr>
          <w:tcW w:w="4111" w:type="dxa"/>
          <w:tcMar>
            <w:left w:w="567" w:type="dxa"/>
          </w:tcMar>
        </w:tcPr>
        <w:p w:rsidR="00E54979" w:rsidRDefault="00E54979">
          <w:pPr>
            <w:pStyle w:val="Header"/>
            <w:ind w:right="360"/>
          </w:pPr>
        </w:p>
      </w:tc>
      <w:tc>
        <w:tcPr>
          <w:tcW w:w="1525" w:type="dxa"/>
        </w:tcPr>
        <w:p w:rsidR="00E54979" w:rsidRDefault="00E54979">
          <w:pPr>
            <w:pStyle w:val="Header"/>
            <w:ind w:right="360"/>
          </w:pPr>
        </w:p>
      </w:tc>
    </w:tr>
  </w:tbl>
  <w:p w:rsidR="00E54979" w:rsidRDefault="00E54979">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979" w:rsidRDefault="00E54979">
    <w:pPr>
      <w:framePr w:w="2948" w:h="1321" w:hRule="exact" w:wrap="notBeside" w:vAnchor="page" w:hAnchor="page" w:x="1362" w:y="653"/>
    </w:pPr>
    <w:r w:rsidRPr="006B3E03">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E54979" w:rsidRDefault="00E54979">
    <w:pPr>
      <w:pStyle w:val="RKrubrik"/>
      <w:keepNext w:val="0"/>
      <w:tabs>
        <w:tab w:val="clear" w:pos="1134"/>
        <w:tab w:val="clear" w:pos="2835"/>
      </w:tabs>
      <w:spacing w:before="0" w:after="0" w:line="320" w:lineRule="atLeast"/>
      <w:rPr>
        <w:bCs/>
      </w:rPr>
    </w:pPr>
  </w:p>
  <w:p w:rsidR="00E54979" w:rsidRDefault="00E54979">
    <w:pPr>
      <w:rPr>
        <w:rFonts w:ascii="TradeGothic" w:hAnsi="TradeGothic"/>
        <w:b/>
        <w:bCs/>
        <w:spacing w:val="12"/>
        <w:sz w:val="22"/>
      </w:rPr>
    </w:pPr>
  </w:p>
  <w:p w:rsidR="00E54979" w:rsidRDefault="00E54979">
    <w:pPr>
      <w:pStyle w:val="RKrubrik"/>
      <w:keepNext w:val="0"/>
      <w:tabs>
        <w:tab w:val="clear" w:pos="1134"/>
        <w:tab w:val="clear" w:pos="2835"/>
      </w:tabs>
      <w:spacing w:before="0" w:after="0" w:line="320" w:lineRule="atLeast"/>
      <w:rPr>
        <w:bCs/>
      </w:rPr>
    </w:pPr>
  </w:p>
  <w:p w:rsidR="00E54979" w:rsidRDefault="00E54979">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929E3"/>
    <w:multiLevelType w:val="hybridMultilevel"/>
    <w:tmpl w:val="A4943E7A"/>
    <w:lvl w:ilvl="0" w:tplc="1A6CE676">
      <w:start w:val="6"/>
      <w:numFmt w:val="decimal"/>
      <w:lvlText w:val="%1."/>
      <w:lvlJc w:val="left"/>
      <w:pPr>
        <w:ind w:left="1500" w:hanging="360"/>
      </w:pPr>
      <w:rPr>
        <w:rFonts w:ascii="TradeGothic" w:hAnsi="TradeGothic" w:cs="Times New Roman" w:hint="default"/>
        <w:b/>
        <w:sz w:val="22"/>
        <w:szCs w:val="22"/>
      </w:rPr>
    </w:lvl>
    <w:lvl w:ilvl="1" w:tplc="041D0019">
      <w:start w:val="1"/>
      <w:numFmt w:val="lowerLetter"/>
      <w:lvlText w:val="%2."/>
      <w:lvlJc w:val="left"/>
      <w:pPr>
        <w:ind w:left="2220" w:hanging="360"/>
      </w:pPr>
      <w:rPr>
        <w:rFonts w:cs="Times New Roman"/>
      </w:rPr>
    </w:lvl>
    <w:lvl w:ilvl="2" w:tplc="041D001B" w:tentative="1">
      <w:start w:val="1"/>
      <w:numFmt w:val="lowerRoman"/>
      <w:lvlText w:val="%3."/>
      <w:lvlJc w:val="right"/>
      <w:pPr>
        <w:ind w:left="2940" w:hanging="180"/>
      </w:pPr>
      <w:rPr>
        <w:rFonts w:cs="Times New Roman"/>
      </w:rPr>
    </w:lvl>
    <w:lvl w:ilvl="3" w:tplc="041D000F" w:tentative="1">
      <w:start w:val="1"/>
      <w:numFmt w:val="decimal"/>
      <w:lvlText w:val="%4."/>
      <w:lvlJc w:val="left"/>
      <w:pPr>
        <w:ind w:left="3660" w:hanging="360"/>
      </w:pPr>
      <w:rPr>
        <w:rFonts w:cs="Times New Roman"/>
      </w:rPr>
    </w:lvl>
    <w:lvl w:ilvl="4" w:tplc="041D0019" w:tentative="1">
      <w:start w:val="1"/>
      <w:numFmt w:val="lowerLetter"/>
      <w:lvlText w:val="%5."/>
      <w:lvlJc w:val="left"/>
      <w:pPr>
        <w:ind w:left="4380" w:hanging="360"/>
      </w:pPr>
      <w:rPr>
        <w:rFonts w:cs="Times New Roman"/>
      </w:rPr>
    </w:lvl>
    <w:lvl w:ilvl="5" w:tplc="041D001B" w:tentative="1">
      <w:start w:val="1"/>
      <w:numFmt w:val="lowerRoman"/>
      <w:lvlText w:val="%6."/>
      <w:lvlJc w:val="right"/>
      <w:pPr>
        <w:ind w:left="5100" w:hanging="180"/>
      </w:pPr>
      <w:rPr>
        <w:rFonts w:cs="Times New Roman"/>
      </w:rPr>
    </w:lvl>
    <w:lvl w:ilvl="6" w:tplc="041D000F" w:tentative="1">
      <w:start w:val="1"/>
      <w:numFmt w:val="decimal"/>
      <w:lvlText w:val="%7."/>
      <w:lvlJc w:val="left"/>
      <w:pPr>
        <w:ind w:left="5820" w:hanging="360"/>
      </w:pPr>
      <w:rPr>
        <w:rFonts w:cs="Times New Roman"/>
      </w:rPr>
    </w:lvl>
    <w:lvl w:ilvl="7" w:tplc="041D0019" w:tentative="1">
      <w:start w:val="1"/>
      <w:numFmt w:val="lowerLetter"/>
      <w:lvlText w:val="%8."/>
      <w:lvlJc w:val="left"/>
      <w:pPr>
        <w:ind w:left="6540" w:hanging="360"/>
      </w:pPr>
      <w:rPr>
        <w:rFonts w:cs="Times New Roman"/>
      </w:rPr>
    </w:lvl>
    <w:lvl w:ilvl="8" w:tplc="041D001B" w:tentative="1">
      <w:start w:val="1"/>
      <w:numFmt w:val="lowerRoman"/>
      <w:lvlText w:val="%9."/>
      <w:lvlJc w:val="right"/>
      <w:pPr>
        <w:ind w:left="7260" w:hanging="180"/>
      </w:pPr>
      <w:rPr>
        <w:rFonts w:cs="Times New Roman"/>
      </w:rPr>
    </w:lvl>
  </w:abstractNum>
  <w:abstractNum w:abstractNumId="1">
    <w:nsid w:val="44261CC3"/>
    <w:multiLevelType w:val="hybridMultilevel"/>
    <w:tmpl w:val="9E0EF626"/>
    <w:lvl w:ilvl="0" w:tplc="37EA539A">
      <w:start w:val="7"/>
      <w:numFmt w:val="decimal"/>
      <w:lvlText w:val="%1."/>
      <w:lvlJc w:val="left"/>
      <w:pPr>
        <w:ind w:left="7180" w:hanging="360"/>
      </w:pPr>
      <w:rPr>
        <w:rFonts w:cs="Times New Roman" w:hint="default"/>
      </w:rPr>
    </w:lvl>
    <w:lvl w:ilvl="1" w:tplc="041D0019" w:tentative="1">
      <w:start w:val="1"/>
      <w:numFmt w:val="lowerLetter"/>
      <w:lvlText w:val="%2."/>
      <w:lvlJc w:val="left"/>
      <w:pPr>
        <w:ind w:left="7900" w:hanging="360"/>
      </w:pPr>
      <w:rPr>
        <w:rFonts w:cs="Times New Roman"/>
      </w:rPr>
    </w:lvl>
    <w:lvl w:ilvl="2" w:tplc="041D001B" w:tentative="1">
      <w:start w:val="1"/>
      <w:numFmt w:val="lowerRoman"/>
      <w:lvlText w:val="%3."/>
      <w:lvlJc w:val="right"/>
      <w:pPr>
        <w:ind w:left="8620" w:hanging="180"/>
      </w:pPr>
      <w:rPr>
        <w:rFonts w:cs="Times New Roman"/>
      </w:rPr>
    </w:lvl>
    <w:lvl w:ilvl="3" w:tplc="041D000F" w:tentative="1">
      <w:start w:val="1"/>
      <w:numFmt w:val="decimal"/>
      <w:lvlText w:val="%4."/>
      <w:lvlJc w:val="left"/>
      <w:pPr>
        <w:ind w:left="9340" w:hanging="360"/>
      </w:pPr>
      <w:rPr>
        <w:rFonts w:cs="Times New Roman"/>
      </w:rPr>
    </w:lvl>
    <w:lvl w:ilvl="4" w:tplc="041D0019" w:tentative="1">
      <w:start w:val="1"/>
      <w:numFmt w:val="lowerLetter"/>
      <w:lvlText w:val="%5."/>
      <w:lvlJc w:val="left"/>
      <w:pPr>
        <w:ind w:left="10060" w:hanging="360"/>
      </w:pPr>
      <w:rPr>
        <w:rFonts w:cs="Times New Roman"/>
      </w:rPr>
    </w:lvl>
    <w:lvl w:ilvl="5" w:tplc="041D001B" w:tentative="1">
      <w:start w:val="1"/>
      <w:numFmt w:val="lowerRoman"/>
      <w:lvlText w:val="%6."/>
      <w:lvlJc w:val="right"/>
      <w:pPr>
        <w:ind w:left="10780" w:hanging="180"/>
      </w:pPr>
      <w:rPr>
        <w:rFonts w:cs="Times New Roman"/>
      </w:rPr>
    </w:lvl>
    <w:lvl w:ilvl="6" w:tplc="041D000F" w:tentative="1">
      <w:start w:val="1"/>
      <w:numFmt w:val="decimal"/>
      <w:lvlText w:val="%7."/>
      <w:lvlJc w:val="left"/>
      <w:pPr>
        <w:ind w:left="11500" w:hanging="360"/>
      </w:pPr>
      <w:rPr>
        <w:rFonts w:cs="Times New Roman"/>
      </w:rPr>
    </w:lvl>
    <w:lvl w:ilvl="7" w:tplc="041D0019" w:tentative="1">
      <w:start w:val="1"/>
      <w:numFmt w:val="lowerLetter"/>
      <w:lvlText w:val="%8."/>
      <w:lvlJc w:val="left"/>
      <w:pPr>
        <w:ind w:left="12220" w:hanging="360"/>
      </w:pPr>
      <w:rPr>
        <w:rFonts w:cs="Times New Roman"/>
      </w:rPr>
    </w:lvl>
    <w:lvl w:ilvl="8" w:tplc="041D001B" w:tentative="1">
      <w:start w:val="1"/>
      <w:numFmt w:val="lowerRoman"/>
      <w:lvlText w:val="%9."/>
      <w:lvlJc w:val="right"/>
      <w:pPr>
        <w:ind w:left="12940" w:hanging="180"/>
      </w:pPr>
      <w:rPr>
        <w:rFonts w:cs="Times New Roman"/>
      </w:rPr>
    </w:lvl>
  </w:abstractNum>
  <w:abstractNum w:abstractNumId="2">
    <w:nsid w:val="76311745"/>
    <w:multiLevelType w:val="hybridMultilevel"/>
    <w:tmpl w:val="D1C03ACA"/>
    <w:lvl w:ilvl="0" w:tplc="A5EA8A86">
      <w:start w:val="1"/>
      <w:numFmt w:val="decimal"/>
      <w:lvlText w:val="%1."/>
      <w:lvlJc w:val="left"/>
      <w:pPr>
        <w:ind w:left="1065" w:hanging="705"/>
      </w:pPr>
      <w:rPr>
        <w:rFonts w:cs="Times New Roman" w:hint="default"/>
        <w:b/>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Statsrådsberedningen"/>
    <w:docVar w:name="Regering" w:val="N"/>
  </w:docVars>
  <w:rsids>
    <w:rsidRoot w:val="00E1647B"/>
    <w:rsid w:val="000540BD"/>
    <w:rsid w:val="000C1F4D"/>
    <w:rsid w:val="000D6D76"/>
    <w:rsid w:val="000E33D7"/>
    <w:rsid w:val="001302D1"/>
    <w:rsid w:val="0013069A"/>
    <w:rsid w:val="00150384"/>
    <w:rsid w:val="00160901"/>
    <w:rsid w:val="001805B7"/>
    <w:rsid w:val="00204DF9"/>
    <w:rsid w:val="00207C36"/>
    <w:rsid w:val="0022421E"/>
    <w:rsid w:val="002574C2"/>
    <w:rsid w:val="002C21CC"/>
    <w:rsid w:val="002E5664"/>
    <w:rsid w:val="002E7A9A"/>
    <w:rsid w:val="00345A6D"/>
    <w:rsid w:val="003512AF"/>
    <w:rsid w:val="00354262"/>
    <w:rsid w:val="00367B1C"/>
    <w:rsid w:val="003761AC"/>
    <w:rsid w:val="003A2E71"/>
    <w:rsid w:val="003B69AC"/>
    <w:rsid w:val="004A328D"/>
    <w:rsid w:val="004B4101"/>
    <w:rsid w:val="004E6318"/>
    <w:rsid w:val="00581ACA"/>
    <w:rsid w:val="0058762B"/>
    <w:rsid w:val="005D799C"/>
    <w:rsid w:val="006B3E03"/>
    <w:rsid w:val="006E3ABF"/>
    <w:rsid w:val="006E4E11"/>
    <w:rsid w:val="006F6724"/>
    <w:rsid w:val="0070487E"/>
    <w:rsid w:val="007242A3"/>
    <w:rsid w:val="007A6855"/>
    <w:rsid w:val="007B18C5"/>
    <w:rsid w:val="008C2166"/>
    <w:rsid w:val="008F1195"/>
    <w:rsid w:val="008F248C"/>
    <w:rsid w:val="008F3CDA"/>
    <w:rsid w:val="0092027A"/>
    <w:rsid w:val="00955E31"/>
    <w:rsid w:val="00992E72"/>
    <w:rsid w:val="009A4117"/>
    <w:rsid w:val="00A27D09"/>
    <w:rsid w:val="00AF26D1"/>
    <w:rsid w:val="00B25BC4"/>
    <w:rsid w:val="00B34992"/>
    <w:rsid w:val="00B667F3"/>
    <w:rsid w:val="00B66D5F"/>
    <w:rsid w:val="00B67A39"/>
    <w:rsid w:val="00BD2A54"/>
    <w:rsid w:val="00C273A3"/>
    <w:rsid w:val="00CA34FC"/>
    <w:rsid w:val="00CA70C7"/>
    <w:rsid w:val="00CF2054"/>
    <w:rsid w:val="00D133D7"/>
    <w:rsid w:val="00D6060A"/>
    <w:rsid w:val="00D81018"/>
    <w:rsid w:val="00E1647B"/>
    <w:rsid w:val="00E210BA"/>
    <w:rsid w:val="00E54979"/>
    <w:rsid w:val="00E65E07"/>
    <w:rsid w:val="00E80146"/>
    <w:rsid w:val="00E904D0"/>
    <w:rsid w:val="00EA5BC7"/>
    <w:rsid w:val="00EC25F9"/>
    <w:rsid w:val="00ED583F"/>
    <w:rsid w:val="00F00F30"/>
    <w:rsid w:val="00F424C2"/>
    <w:rsid w:val="00F50EA1"/>
    <w:rsid w:val="00F51B40"/>
    <w:rsid w:val="00F9691C"/>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8C5"/>
    <w:pPr>
      <w:spacing w:line="24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7B18C5"/>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7B18C5"/>
    <w:pPr>
      <w:spacing w:before="360"/>
      <w:outlineLvl w:val="1"/>
    </w:pPr>
  </w:style>
  <w:style w:type="paragraph" w:styleId="Heading3">
    <w:name w:val="heading 3"/>
    <w:basedOn w:val="Heading2"/>
    <w:next w:val="RKnormal"/>
    <w:link w:val="Heading3Char"/>
    <w:uiPriority w:val="99"/>
    <w:qFormat/>
    <w:rsid w:val="007B18C5"/>
    <w:pPr>
      <w:spacing w:after="120"/>
      <w:outlineLvl w:val="2"/>
    </w:pPr>
    <w:rPr>
      <w:b w:val="0"/>
    </w:rPr>
  </w:style>
  <w:style w:type="paragraph" w:styleId="Heading4">
    <w:name w:val="heading 4"/>
    <w:basedOn w:val="Heading3"/>
    <w:next w:val="RKnormal"/>
    <w:link w:val="Heading4Char"/>
    <w:uiPriority w:val="99"/>
    <w:qFormat/>
    <w:rsid w:val="007B18C5"/>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FE0"/>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0B0FE0"/>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0B0FE0"/>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0B0FE0"/>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7B18C5"/>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7B18C5"/>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0B0FE0"/>
    <w:rPr>
      <w:rFonts w:ascii="OrigGarmnd BT" w:hAnsi="OrigGarmnd BT"/>
      <w:sz w:val="24"/>
      <w:szCs w:val="20"/>
      <w:lang w:eastAsia="en-US"/>
    </w:rPr>
  </w:style>
  <w:style w:type="paragraph" w:styleId="Header">
    <w:name w:val="header"/>
    <w:basedOn w:val="Normal"/>
    <w:link w:val="HeaderChar"/>
    <w:uiPriority w:val="99"/>
    <w:rsid w:val="007B18C5"/>
    <w:pPr>
      <w:tabs>
        <w:tab w:val="center" w:pos="4153"/>
        <w:tab w:val="right" w:pos="8306"/>
      </w:tabs>
    </w:pPr>
  </w:style>
  <w:style w:type="character" w:customStyle="1" w:styleId="HeaderChar">
    <w:name w:val="Header Char"/>
    <w:basedOn w:val="DefaultParagraphFont"/>
    <w:link w:val="Header"/>
    <w:uiPriority w:val="99"/>
    <w:semiHidden/>
    <w:rsid w:val="000B0FE0"/>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pPr>
  </w:style>
  <w:style w:type="paragraph" w:customStyle="1" w:styleId="RKrubrik">
    <w:name w:val="RKrubrik"/>
    <w:basedOn w:val="RKnormal"/>
    <w:next w:val="RKnormal"/>
    <w:uiPriority w:val="99"/>
    <w:rsid w:val="007B18C5"/>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7B18C5"/>
    <w:rPr>
      <w:rFonts w:cs="Times New Roman"/>
    </w:rPr>
  </w:style>
  <w:style w:type="character" w:customStyle="1" w:styleId="RKnormalChar">
    <w:name w:val="RKnormal Char"/>
    <w:link w:val="RKnormal"/>
    <w:uiPriority w:val="99"/>
    <w:locked/>
    <w:rsid w:val="00E1647B"/>
    <w:rPr>
      <w:rFonts w:ascii="OrigGarmnd BT" w:hAnsi="OrigGarmnd BT"/>
      <w:sz w:val="24"/>
      <w:lang w:eastAsia="en-US"/>
    </w:rPr>
  </w:style>
  <w:style w:type="paragraph" w:customStyle="1" w:styleId="Default">
    <w:name w:val="Default"/>
    <w:uiPriority w:val="99"/>
    <w:rsid w:val="00E1647B"/>
    <w:pPr>
      <w:autoSpaceDE w:val="0"/>
      <w:autoSpaceDN w:val="0"/>
      <w:adjustRightInd w:val="0"/>
      <w:spacing w:line="240" w:lineRule="atLeast"/>
    </w:pPr>
    <w:rPr>
      <w:rFonts w:ascii="OrigGarmnd BT" w:hAnsi="OrigGarmnd BT" w:cs="OrigGarmnd BT"/>
      <w:color w:val="000000"/>
      <w:sz w:val="24"/>
      <w:szCs w:val="24"/>
    </w:rPr>
  </w:style>
  <w:style w:type="paragraph" w:styleId="BalloonText">
    <w:name w:val="Balloon Text"/>
    <w:basedOn w:val="Normal"/>
    <w:link w:val="BalloonTextChar"/>
    <w:uiPriority w:val="99"/>
    <w:rsid w:val="003B69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B69AC"/>
    <w:rPr>
      <w:rFonts w:ascii="Tahoma" w:hAnsi="Tahoma" w:cs="Tahoma"/>
      <w:sz w:val="16"/>
      <w:szCs w:val="16"/>
      <w:lang w:eastAsia="en-US"/>
    </w:rPr>
  </w:style>
  <w:style w:type="character" w:styleId="CommentReference">
    <w:name w:val="annotation reference"/>
    <w:basedOn w:val="DefaultParagraphFont"/>
    <w:uiPriority w:val="99"/>
    <w:rsid w:val="003A2E71"/>
    <w:rPr>
      <w:rFonts w:cs="Times New Roman"/>
      <w:sz w:val="16"/>
      <w:szCs w:val="16"/>
    </w:rPr>
  </w:style>
  <w:style w:type="paragraph" w:styleId="CommentText">
    <w:name w:val="annotation text"/>
    <w:basedOn w:val="Normal"/>
    <w:link w:val="CommentTextChar"/>
    <w:uiPriority w:val="99"/>
    <w:rsid w:val="003A2E71"/>
    <w:pPr>
      <w:spacing w:line="240" w:lineRule="auto"/>
    </w:pPr>
    <w:rPr>
      <w:sz w:val="20"/>
    </w:rPr>
  </w:style>
  <w:style w:type="character" w:customStyle="1" w:styleId="CommentTextChar">
    <w:name w:val="Comment Text Char"/>
    <w:basedOn w:val="DefaultParagraphFont"/>
    <w:link w:val="CommentText"/>
    <w:uiPriority w:val="99"/>
    <w:locked/>
    <w:rsid w:val="003A2E71"/>
    <w:rPr>
      <w:rFonts w:ascii="OrigGarmnd BT" w:hAnsi="OrigGarmnd BT" w:cs="Times New Roman"/>
      <w:lang w:eastAsia="en-US"/>
    </w:rPr>
  </w:style>
  <w:style w:type="paragraph" w:styleId="CommentSubject">
    <w:name w:val="annotation subject"/>
    <w:basedOn w:val="CommentText"/>
    <w:next w:val="CommentText"/>
    <w:link w:val="CommentSubjectChar"/>
    <w:uiPriority w:val="99"/>
    <w:rsid w:val="003A2E71"/>
    <w:rPr>
      <w:b/>
      <w:bCs/>
    </w:rPr>
  </w:style>
  <w:style w:type="character" w:customStyle="1" w:styleId="CommentSubjectChar">
    <w:name w:val="Comment Subject Char"/>
    <w:basedOn w:val="CommentTextChar"/>
    <w:link w:val="CommentSubject"/>
    <w:uiPriority w:val="99"/>
    <w:locked/>
    <w:rsid w:val="003A2E71"/>
    <w:rPr>
      <w:b/>
      <w:bCs/>
    </w:rPr>
  </w:style>
  <w:style w:type="paragraph" w:styleId="ListParagraph">
    <w:name w:val="List Paragraph"/>
    <w:basedOn w:val="Normal"/>
    <w:uiPriority w:val="99"/>
    <w:qFormat/>
    <w:rsid w:val="009A4117"/>
    <w:pPr>
      <w:ind w:left="720"/>
      <w:contextualSpacing/>
    </w:pPr>
  </w:style>
</w:styles>
</file>

<file path=word/webSettings.xml><?xml version="1.0" encoding="utf-8"?>
<w:webSettings xmlns:r="http://schemas.openxmlformats.org/officeDocument/2006/relationships" xmlns:w="http://schemas.openxmlformats.org/wordprocessingml/2006/main">
  <w:divs>
    <w:div w:id="10101351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810</Words>
  <Characters>5280</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Johanna Gesteby-Tsokas</dc:creator>
  <cp:keywords/>
  <dc:description/>
  <cp:lastModifiedBy>jb0525aa</cp:lastModifiedBy>
  <cp:revision>2</cp:revision>
  <cp:lastPrinted>2013-04-15T10:50:00Z</cp:lastPrinted>
  <dcterms:created xsi:type="dcterms:W3CDTF">2013-04-15T10:50:00Z</dcterms:created>
  <dcterms:modified xsi:type="dcterms:W3CDTF">2013-04-15T10:50:00Z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1;0;0;421</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0x01010053E1D612BA3F4E21AA250ECD751942B3009C7E30FED4CE7541B6BEEAC5BBDA3952</vt:lpwstr>
  </property>
  <property fmtid="{D5CDD505-2E9C-101B-9397-08002B2CF9AE}" pid="6" name="_dlc_DocIdItemGuid">
    <vt:lpwstr>7a501cb4-d5f1-4a09-be88-5d369a72bac5</vt:lpwstr>
  </property>
  <property fmtid="{D5CDD505-2E9C-101B-9397-08002B2CF9AE}" pid="7" name="TaxCatchAll">
    <vt:lpwstr/>
  </property>
  <property fmtid="{D5CDD505-2E9C-101B-9397-08002B2CF9AE}" pid="8" name="Sekretess">
    <vt:lpwstr/>
  </property>
  <property fmtid="{D5CDD505-2E9C-101B-9397-08002B2CF9AE}" pid="9" name="c9cd366cc722410295b9eacffbd73909">
    <vt:lpwstr/>
  </property>
  <property fmtid="{D5CDD505-2E9C-101B-9397-08002B2CF9AE}" pid="10" name="Diarienummer">
    <vt:lpwstr/>
  </property>
  <property fmtid="{D5CDD505-2E9C-101B-9397-08002B2CF9AE}" pid="11" name="k46d94c0acf84ab9a79866a9d8b1905f">
    <vt:lpwstr/>
  </property>
  <property fmtid="{D5CDD505-2E9C-101B-9397-08002B2CF9AE}" pid="12" name="_dlc_DocId">
    <vt:lpwstr>JE6N4JFJXNNF-9-55160</vt:lpwstr>
  </property>
  <property fmtid="{D5CDD505-2E9C-101B-9397-08002B2CF9AE}" pid="13" name="_dlc_DocIdUrl">
    <vt:lpwstr>http://rkdhs-sb/enhet/EUKansli/_layouts/DocIdRedir.aspx?ID=JE6N4JFJXNNF-9-55160, JE6N4JFJXNNF-9-55160</vt:lpwstr>
  </property>
  <property fmtid="{D5CDD505-2E9C-101B-9397-08002B2CF9AE}" pid="14" name="RKOrdnaCheckInComment">
    <vt:lpwstr/>
  </property>
  <property fmtid="{D5CDD505-2E9C-101B-9397-08002B2CF9AE}" pid="15" name="RKOrdnaClass">
    <vt:lpwstr/>
  </property>
</Properties>
</file>