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A610A" w:rsidTr="00CD7FE6">
        <w:tc>
          <w:tcPr>
            <w:tcW w:w="2268" w:type="dxa"/>
          </w:tcPr>
          <w:p w:rsidR="000A610A" w:rsidRDefault="000A610A" w:rsidP="007242A3">
            <w:pPr>
              <w:framePr w:w="5035" w:h="1644" w:wrap="notBeside" w:vAnchor="page" w:hAnchor="page" w:x="6573" w:y="721"/>
              <w:rPr>
                <w:rFonts w:ascii="TradeGothic" w:hAnsi="TradeGothic"/>
                <w:i/>
                <w:sz w:val="18"/>
              </w:rPr>
            </w:pPr>
          </w:p>
        </w:tc>
        <w:tc>
          <w:tcPr>
            <w:tcW w:w="2999" w:type="dxa"/>
            <w:gridSpan w:val="2"/>
          </w:tcPr>
          <w:p w:rsidR="000A610A" w:rsidRDefault="000A610A" w:rsidP="007242A3">
            <w:pPr>
              <w:framePr w:w="5035" w:h="1644" w:wrap="notBeside" w:vAnchor="page" w:hAnchor="page" w:x="6573" w:y="721"/>
              <w:rPr>
                <w:rFonts w:ascii="TradeGothic" w:hAnsi="TradeGothic"/>
                <w:i/>
                <w:sz w:val="18"/>
              </w:rPr>
            </w:pPr>
          </w:p>
        </w:tc>
      </w:tr>
      <w:tr w:rsidR="000A610A" w:rsidTr="00CD7FE6">
        <w:tc>
          <w:tcPr>
            <w:tcW w:w="5267" w:type="dxa"/>
            <w:gridSpan w:val="3"/>
          </w:tcPr>
          <w:p w:rsidR="000A610A" w:rsidRDefault="000A610A"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A610A" w:rsidTr="00CD7FE6">
        <w:tc>
          <w:tcPr>
            <w:tcW w:w="3402" w:type="dxa"/>
            <w:gridSpan w:val="2"/>
          </w:tcPr>
          <w:p w:rsidR="000A610A" w:rsidRDefault="000A610A" w:rsidP="007242A3">
            <w:pPr>
              <w:framePr w:w="5035" w:h="1644" w:wrap="notBeside" w:vAnchor="page" w:hAnchor="page" w:x="6573" w:y="721"/>
            </w:pPr>
          </w:p>
        </w:tc>
        <w:tc>
          <w:tcPr>
            <w:tcW w:w="1865" w:type="dxa"/>
          </w:tcPr>
          <w:p w:rsidR="000A610A" w:rsidRDefault="000A610A" w:rsidP="007242A3">
            <w:pPr>
              <w:framePr w:w="5035" w:h="1644" w:wrap="notBeside" w:vAnchor="page" w:hAnchor="page" w:x="6573" w:y="721"/>
            </w:pPr>
          </w:p>
        </w:tc>
      </w:tr>
      <w:tr w:rsidR="000A610A" w:rsidTr="00CD7FE6">
        <w:tc>
          <w:tcPr>
            <w:tcW w:w="2268" w:type="dxa"/>
          </w:tcPr>
          <w:p w:rsidR="000A610A" w:rsidRDefault="000A610A" w:rsidP="00AA617C">
            <w:pPr>
              <w:framePr w:w="5035" w:h="1644" w:wrap="notBeside" w:vAnchor="page" w:hAnchor="page" w:x="6573" w:y="721"/>
            </w:pPr>
            <w:r>
              <w:t>2012-10-15</w:t>
            </w:r>
            <w:bookmarkStart w:id="0" w:name="_GoBack"/>
            <w:bookmarkEnd w:id="0"/>
          </w:p>
        </w:tc>
        <w:tc>
          <w:tcPr>
            <w:tcW w:w="2999" w:type="dxa"/>
            <w:gridSpan w:val="2"/>
          </w:tcPr>
          <w:p w:rsidR="000A610A" w:rsidRPr="00ED583F" w:rsidRDefault="000A610A" w:rsidP="007242A3">
            <w:pPr>
              <w:framePr w:w="5035" w:h="1644" w:wrap="notBeside" w:vAnchor="page" w:hAnchor="page" w:x="6573" w:y="721"/>
              <w:rPr>
                <w:sz w:val="20"/>
              </w:rPr>
            </w:pPr>
          </w:p>
        </w:tc>
      </w:tr>
      <w:tr w:rsidR="000A610A" w:rsidTr="00CD7FE6">
        <w:tc>
          <w:tcPr>
            <w:tcW w:w="2268" w:type="dxa"/>
          </w:tcPr>
          <w:p w:rsidR="000A610A" w:rsidRDefault="000A610A" w:rsidP="007242A3">
            <w:pPr>
              <w:framePr w:w="5035" w:h="1644" w:wrap="notBeside" w:vAnchor="page" w:hAnchor="page" w:x="6573" w:y="721"/>
            </w:pPr>
          </w:p>
        </w:tc>
        <w:tc>
          <w:tcPr>
            <w:tcW w:w="2999" w:type="dxa"/>
            <w:gridSpan w:val="2"/>
          </w:tcPr>
          <w:p w:rsidR="000A610A" w:rsidRDefault="000A610A" w:rsidP="007242A3">
            <w:pPr>
              <w:framePr w:w="5035" w:h="1644" w:wrap="notBeside" w:vAnchor="page" w:hAnchor="page" w:x="6573" w:y="721"/>
            </w:pPr>
          </w:p>
        </w:tc>
      </w:tr>
    </w:tbl>
    <w:p w:rsidR="000A610A" w:rsidRPr="00B97F5F" w:rsidRDefault="000A610A" w:rsidP="00B97F5F">
      <w:pPr>
        <w:rPr>
          <w:vanish/>
        </w:rPr>
      </w:pPr>
    </w:p>
    <w:tbl>
      <w:tblPr>
        <w:tblW w:w="0" w:type="auto"/>
        <w:tblLayout w:type="fixed"/>
        <w:tblLook w:val="0000"/>
      </w:tblPr>
      <w:tblGrid>
        <w:gridCol w:w="4911"/>
      </w:tblGrid>
      <w:tr w:rsidR="000A610A">
        <w:trPr>
          <w:trHeight w:val="284"/>
        </w:trPr>
        <w:tc>
          <w:tcPr>
            <w:tcW w:w="4911" w:type="dxa"/>
          </w:tcPr>
          <w:p w:rsidR="000A610A" w:rsidRDefault="000A610A">
            <w:pPr>
              <w:pStyle w:val="Avsndare"/>
              <w:framePr w:h="2483" w:wrap="notBeside" w:x="1504"/>
              <w:rPr>
                <w:b/>
                <w:i w:val="0"/>
                <w:sz w:val="22"/>
              </w:rPr>
            </w:pPr>
            <w:r>
              <w:rPr>
                <w:b/>
                <w:i w:val="0"/>
                <w:sz w:val="22"/>
              </w:rPr>
              <w:t>Justitiedepartementet</w:t>
            </w:r>
          </w:p>
        </w:tc>
      </w:tr>
      <w:tr w:rsidR="000A610A">
        <w:trPr>
          <w:trHeight w:val="284"/>
        </w:trPr>
        <w:tc>
          <w:tcPr>
            <w:tcW w:w="4911" w:type="dxa"/>
          </w:tcPr>
          <w:p w:rsidR="000A610A" w:rsidRDefault="000A610A">
            <w:pPr>
              <w:pStyle w:val="Avsndare"/>
              <w:framePr w:h="2483" w:wrap="notBeside" w:x="1504"/>
              <w:rPr>
                <w:bCs/>
                <w:iCs/>
              </w:rPr>
            </w:pPr>
          </w:p>
        </w:tc>
      </w:tr>
      <w:tr w:rsidR="000A610A">
        <w:trPr>
          <w:trHeight w:val="284"/>
        </w:trPr>
        <w:tc>
          <w:tcPr>
            <w:tcW w:w="4911" w:type="dxa"/>
          </w:tcPr>
          <w:p w:rsidR="000A610A" w:rsidRDefault="000A610A">
            <w:pPr>
              <w:pStyle w:val="Avsndare"/>
              <w:framePr w:h="2483" w:wrap="notBeside" w:x="1504"/>
              <w:rPr>
                <w:bCs/>
                <w:iCs/>
              </w:rPr>
            </w:pPr>
            <w:r>
              <w:rPr>
                <w:bCs/>
                <w:iCs/>
              </w:rPr>
              <w:t>Straffrättsenheten</w:t>
            </w:r>
          </w:p>
        </w:tc>
      </w:tr>
      <w:tr w:rsidR="000A610A">
        <w:trPr>
          <w:trHeight w:val="284"/>
        </w:trPr>
        <w:tc>
          <w:tcPr>
            <w:tcW w:w="4911" w:type="dxa"/>
          </w:tcPr>
          <w:p w:rsidR="000A610A" w:rsidRDefault="000A610A">
            <w:pPr>
              <w:pStyle w:val="Avsndare"/>
              <w:framePr w:h="2483" w:wrap="notBeside" w:x="1504"/>
              <w:rPr>
                <w:bCs/>
                <w:iCs/>
              </w:rPr>
            </w:pPr>
          </w:p>
        </w:tc>
      </w:tr>
      <w:tr w:rsidR="000A610A">
        <w:trPr>
          <w:trHeight w:val="284"/>
        </w:trPr>
        <w:tc>
          <w:tcPr>
            <w:tcW w:w="4911" w:type="dxa"/>
          </w:tcPr>
          <w:p w:rsidR="000A610A" w:rsidRDefault="000A610A">
            <w:pPr>
              <w:pStyle w:val="Avsndare"/>
              <w:framePr w:h="2483" w:wrap="notBeside" w:x="1504"/>
              <w:rPr>
                <w:bCs/>
                <w:iCs/>
              </w:rPr>
            </w:pPr>
          </w:p>
        </w:tc>
      </w:tr>
      <w:tr w:rsidR="000A610A">
        <w:trPr>
          <w:trHeight w:val="284"/>
        </w:trPr>
        <w:tc>
          <w:tcPr>
            <w:tcW w:w="4911" w:type="dxa"/>
          </w:tcPr>
          <w:p w:rsidR="000A610A" w:rsidRDefault="000A610A">
            <w:pPr>
              <w:pStyle w:val="Avsndare"/>
              <w:framePr w:h="2483" w:wrap="notBeside" w:x="1504"/>
              <w:rPr>
                <w:bCs/>
                <w:iCs/>
              </w:rPr>
            </w:pPr>
          </w:p>
        </w:tc>
      </w:tr>
      <w:tr w:rsidR="000A610A">
        <w:trPr>
          <w:trHeight w:val="284"/>
        </w:trPr>
        <w:tc>
          <w:tcPr>
            <w:tcW w:w="4911" w:type="dxa"/>
          </w:tcPr>
          <w:p w:rsidR="000A610A" w:rsidRDefault="000A610A">
            <w:pPr>
              <w:pStyle w:val="Avsndare"/>
              <w:framePr w:h="2483" w:wrap="notBeside" w:x="1504"/>
              <w:rPr>
                <w:bCs/>
                <w:iCs/>
              </w:rPr>
            </w:pPr>
          </w:p>
        </w:tc>
      </w:tr>
      <w:tr w:rsidR="000A610A">
        <w:trPr>
          <w:trHeight w:val="284"/>
        </w:trPr>
        <w:tc>
          <w:tcPr>
            <w:tcW w:w="4911" w:type="dxa"/>
          </w:tcPr>
          <w:p w:rsidR="000A610A" w:rsidRDefault="000A610A">
            <w:pPr>
              <w:pStyle w:val="Avsndare"/>
              <w:framePr w:h="2483" w:wrap="notBeside" w:x="1504"/>
              <w:rPr>
                <w:bCs/>
                <w:iCs/>
              </w:rPr>
            </w:pPr>
          </w:p>
        </w:tc>
      </w:tr>
      <w:tr w:rsidR="000A610A">
        <w:trPr>
          <w:trHeight w:val="284"/>
        </w:trPr>
        <w:tc>
          <w:tcPr>
            <w:tcW w:w="4911" w:type="dxa"/>
          </w:tcPr>
          <w:p w:rsidR="000A610A" w:rsidRDefault="000A610A">
            <w:pPr>
              <w:pStyle w:val="Avsndare"/>
              <w:framePr w:h="2483" w:wrap="notBeside" w:x="1504"/>
              <w:rPr>
                <w:bCs/>
                <w:iCs/>
              </w:rPr>
            </w:pPr>
          </w:p>
        </w:tc>
      </w:tr>
    </w:tbl>
    <w:p w:rsidR="000A610A" w:rsidRPr="00CD7FE6" w:rsidRDefault="000A610A">
      <w:pPr>
        <w:framePr w:w="4400" w:h="2523" w:wrap="notBeside" w:vAnchor="page" w:hAnchor="page" w:x="6453" w:y="2445"/>
        <w:ind w:left="142"/>
        <w:rPr>
          <w:b/>
        </w:rPr>
      </w:pPr>
    </w:p>
    <w:p w:rsidR="000A610A" w:rsidRDefault="000A610A" w:rsidP="00635593">
      <w:pPr>
        <w:pStyle w:val="RKrubrik"/>
        <w:pBdr>
          <w:bottom w:val="single" w:sz="6" w:space="1" w:color="auto"/>
        </w:pBdr>
      </w:pPr>
      <w:bookmarkStart w:id="1" w:name="bRubrik"/>
      <w:bookmarkEnd w:id="1"/>
      <w:r>
        <w:t xml:space="preserve">Rådets möte för rättsliga och inrikes frågor (RIF) den 25–26 oktober 2012 </w:t>
      </w:r>
    </w:p>
    <w:p w:rsidR="000A610A" w:rsidRDefault="000A610A">
      <w:pPr>
        <w:pStyle w:val="RKnormal"/>
      </w:pPr>
    </w:p>
    <w:p w:rsidR="000A610A" w:rsidRDefault="000A610A" w:rsidP="000121C5">
      <w:pPr>
        <w:pStyle w:val="RKnormal"/>
      </w:pPr>
      <w:r>
        <w:t>Dagordningspunkt 12</w:t>
      </w:r>
    </w:p>
    <w:p w:rsidR="000A610A" w:rsidRDefault="000A610A" w:rsidP="000121C5">
      <w:pPr>
        <w:pStyle w:val="RKnormal"/>
      </w:pPr>
    </w:p>
    <w:p w:rsidR="000A610A" w:rsidRDefault="000A610A" w:rsidP="00672E5A">
      <w:pPr>
        <w:spacing w:line="240" w:lineRule="auto"/>
        <w:ind w:left="567" w:hanging="567"/>
        <w:rPr>
          <w:bCs/>
          <w:lang w:eastAsia="da-DK"/>
        </w:rPr>
      </w:pPr>
      <w:r>
        <w:t xml:space="preserve">Rubrik: </w:t>
      </w:r>
      <w:r w:rsidRPr="00270A64">
        <w:rPr>
          <w:bCs/>
          <w:lang w:eastAsia="da-DK"/>
        </w:rPr>
        <w:t xml:space="preserve">Förslag till Europaparlamentets och rådets direktiv om frysning </w:t>
      </w:r>
    </w:p>
    <w:p w:rsidR="000A610A" w:rsidRDefault="000A610A" w:rsidP="00672E5A">
      <w:pPr>
        <w:spacing w:line="240" w:lineRule="auto"/>
        <w:ind w:left="567" w:hanging="567"/>
        <w:rPr>
          <w:b/>
          <w:bCs/>
        </w:rPr>
      </w:pPr>
      <w:r w:rsidRPr="00270A64">
        <w:rPr>
          <w:bCs/>
          <w:lang w:eastAsia="da-DK"/>
        </w:rPr>
        <w:t>och förverkande av vinning av brott i Europeiska unionen</w:t>
      </w:r>
      <w:r w:rsidRPr="00143A17">
        <w:rPr>
          <w:bCs/>
          <w:lang w:eastAsia="da-DK"/>
        </w:rPr>
        <w:t xml:space="preserve"> </w:t>
      </w:r>
      <w:r>
        <w:rPr>
          <w:b/>
          <w:bCs/>
        </w:rPr>
        <w:t xml:space="preserve">[första  </w:t>
      </w:r>
    </w:p>
    <w:p w:rsidR="000A610A" w:rsidRPr="00672E5A" w:rsidRDefault="000A610A" w:rsidP="00672E5A">
      <w:pPr>
        <w:spacing w:line="240" w:lineRule="auto"/>
        <w:ind w:left="567" w:hanging="567"/>
        <w:rPr>
          <w:b/>
          <w:bCs/>
        </w:rPr>
      </w:pPr>
      <w:r>
        <w:rPr>
          <w:b/>
          <w:bCs/>
        </w:rPr>
        <w:t>behandlingen]</w:t>
      </w:r>
    </w:p>
    <w:p w:rsidR="000A610A" w:rsidRPr="00143A17" w:rsidRDefault="000A610A" w:rsidP="00672E5A">
      <w:pPr>
        <w:spacing w:line="240" w:lineRule="auto"/>
        <w:ind w:left="567"/>
        <w:rPr>
          <w:iCs/>
          <w:lang w:eastAsia="da-DK"/>
        </w:rPr>
      </w:pPr>
      <w:r w:rsidRPr="00143A17">
        <w:t>=</w:t>
      </w:r>
      <w:r w:rsidRPr="00143A17">
        <w:tab/>
      </w:r>
      <w:r>
        <w:rPr>
          <w:iCs/>
          <w:lang w:eastAsia="da-DK"/>
        </w:rPr>
        <w:t>Lägesrapport / riktlinjedebatt</w:t>
      </w:r>
    </w:p>
    <w:p w:rsidR="000A610A" w:rsidRDefault="000A610A" w:rsidP="000121C5">
      <w:pPr>
        <w:pStyle w:val="RKnormal"/>
      </w:pPr>
    </w:p>
    <w:p w:rsidR="000A610A" w:rsidRDefault="000A610A" w:rsidP="000121C5">
      <w:pPr>
        <w:pStyle w:val="RKnormal"/>
      </w:pPr>
      <w:r>
        <w:t>Dokument: (…)</w:t>
      </w:r>
    </w:p>
    <w:p w:rsidR="000A610A" w:rsidRDefault="000A610A" w:rsidP="000121C5">
      <w:pPr>
        <w:pStyle w:val="RKnormal"/>
      </w:pPr>
    </w:p>
    <w:p w:rsidR="000A610A" w:rsidRDefault="000A610A" w:rsidP="000121C5">
      <w:pPr>
        <w:pStyle w:val="RKnormal"/>
      </w:pPr>
      <w:r>
        <w:t>Tidigare dokument: KOM(2012) 85, Fakta-PM Ju-dep 2011/12:FPM132</w:t>
      </w:r>
    </w:p>
    <w:p w:rsidR="000A610A" w:rsidRDefault="000A610A" w:rsidP="000121C5">
      <w:pPr>
        <w:pStyle w:val="RKnormal"/>
      </w:pPr>
    </w:p>
    <w:p w:rsidR="000A610A" w:rsidRDefault="000A610A" w:rsidP="000121C5">
      <w:pPr>
        <w:pStyle w:val="RKnormal"/>
      </w:pPr>
      <w:r>
        <w:t>Tidigare behandlad vid samråd med EU-nämnden</w:t>
      </w:r>
      <w:r w:rsidRPr="009166D7">
        <w:t>:  –</w:t>
      </w:r>
    </w:p>
    <w:p w:rsidR="000A610A" w:rsidRDefault="000A610A">
      <w:pPr>
        <w:pStyle w:val="RKrubrik"/>
      </w:pPr>
      <w:r>
        <w:t>Bakgrund</w:t>
      </w:r>
    </w:p>
    <w:p w:rsidR="000A610A" w:rsidRDefault="000A610A" w:rsidP="000121C5">
      <w:pPr>
        <w:pStyle w:val="RKnormal"/>
      </w:pPr>
      <w:r w:rsidRPr="00174585">
        <w:t xml:space="preserve">Förslaget till direktiv presenterades den </w:t>
      </w:r>
      <w:r>
        <w:t>12 mars 2012</w:t>
      </w:r>
      <w:r w:rsidRPr="00174585">
        <w:t xml:space="preserve"> (KOM[</w:t>
      </w:r>
      <w:r>
        <w:t>2012</w:t>
      </w:r>
      <w:r w:rsidRPr="00174585">
        <w:t>]</w:t>
      </w:r>
      <w:r>
        <w:t>85)</w:t>
      </w:r>
      <w:r w:rsidRPr="00174585">
        <w:t xml:space="preserve">. </w:t>
      </w:r>
    </w:p>
    <w:p w:rsidR="000A610A" w:rsidRDefault="000A610A" w:rsidP="000121C5">
      <w:pPr>
        <w:pStyle w:val="RKnormal"/>
      </w:pPr>
    </w:p>
    <w:p w:rsidR="000A610A" w:rsidRPr="00EE0766" w:rsidRDefault="000A610A" w:rsidP="000121C5">
      <w:pPr>
        <w:pStyle w:val="RKnormal"/>
      </w:pPr>
      <w:r w:rsidRPr="00EE0766">
        <w:t xml:space="preserve">Syftet med förslaget är att stärka medlemsstaternas system för frysning och förverkande av tillgångar som härrör från brottslig verksamhet. </w:t>
      </w:r>
    </w:p>
    <w:p w:rsidR="000A610A" w:rsidRPr="00EE0766" w:rsidRDefault="000A610A" w:rsidP="000121C5">
      <w:pPr>
        <w:pStyle w:val="RKnormal"/>
      </w:pPr>
    </w:p>
    <w:p w:rsidR="000A610A" w:rsidRPr="00EE0766" w:rsidRDefault="000A610A" w:rsidP="000121C5">
      <w:pPr>
        <w:pStyle w:val="RKnormal"/>
      </w:pPr>
      <w:r w:rsidRPr="00EE0766">
        <w:t>Förverkande innebär att någon – oftast den som har begått ett brott – genom ett straffrättsligt förfarande berövas egendom eller rätt till egen</w:t>
      </w:r>
      <w:r>
        <w:softHyphen/>
      </w:r>
      <w:r w:rsidRPr="00EE0766">
        <w:t>dom eller förpliktas att betala ett belopp till staten. Med frysning – ett begrepp som vanligen inte används i svensk lagtext – menas att egendom tillfälligt tas om hand eller görs omöjlig att disponera i avvaktan på ett beslut om förverkande.</w:t>
      </w:r>
    </w:p>
    <w:p w:rsidR="000A610A" w:rsidRPr="00EE0766" w:rsidRDefault="000A610A" w:rsidP="00EE0766">
      <w:pPr>
        <w:pStyle w:val="RKnormal"/>
      </w:pPr>
    </w:p>
    <w:p w:rsidR="000A610A" w:rsidRPr="00EE0766" w:rsidRDefault="000A610A" w:rsidP="00EE0766">
      <w:pPr>
        <w:pStyle w:val="RKnormal"/>
      </w:pPr>
      <w:r w:rsidRPr="00EE0766">
        <w:t xml:space="preserve">Förslaget innehåller minimiregler om bland annat </w:t>
      </w:r>
    </w:p>
    <w:p w:rsidR="000A610A" w:rsidRPr="00EE0766" w:rsidRDefault="000A610A" w:rsidP="00635593">
      <w:pPr>
        <w:pStyle w:val="RKnormal"/>
        <w:numPr>
          <w:ilvl w:val="0"/>
          <w:numId w:val="3"/>
        </w:numPr>
        <w:tabs>
          <w:tab w:val="clear" w:pos="2835"/>
          <w:tab w:val="left" w:pos="993"/>
        </w:tabs>
        <w:ind w:left="993" w:hanging="426"/>
      </w:pPr>
      <w:r w:rsidRPr="00EE0766">
        <w:t>förverkande av hjälpmedel och av vinning av brott hos den som döms för ett brott,</w:t>
      </w:r>
    </w:p>
    <w:p w:rsidR="000A610A" w:rsidRPr="00EE0766" w:rsidRDefault="000A610A" w:rsidP="00635593">
      <w:pPr>
        <w:pStyle w:val="RKnormal"/>
        <w:numPr>
          <w:ilvl w:val="0"/>
          <w:numId w:val="3"/>
        </w:numPr>
        <w:tabs>
          <w:tab w:val="clear" w:pos="2835"/>
          <w:tab w:val="left" w:pos="993"/>
        </w:tabs>
        <w:ind w:left="993" w:hanging="426"/>
      </w:pPr>
      <w:r w:rsidRPr="00EE0766">
        <w:t>förverkande av egendom hos en person som döms för ett brott även om egendomen i fråga inte kan knytas till just det brottet, under förutsättning att det är klart mera san</w:t>
      </w:r>
      <w:r>
        <w:softHyphen/>
      </w:r>
      <w:r w:rsidRPr="00EE0766">
        <w:t xml:space="preserve">nolikt att egendomen härrör från annan liknande brottslig verksamhet av den dömde (utvidgat förverkande), </w:t>
      </w:r>
    </w:p>
    <w:p w:rsidR="000A610A" w:rsidRPr="00EE0766" w:rsidRDefault="000A610A" w:rsidP="00635593">
      <w:pPr>
        <w:pStyle w:val="RKnormal"/>
        <w:numPr>
          <w:ilvl w:val="0"/>
          <w:numId w:val="3"/>
        </w:numPr>
        <w:tabs>
          <w:tab w:val="clear" w:pos="2835"/>
          <w:tab w:val="left" w:pos="993"/>
        </w:tabs>
        <w:ind w:left="993" w:hanging="426"/>
      </w:pPr>
      <w:r w:rsidRPr="00EE0766">
        <w:t>förverkande av egendom som överlåtits till tredje man om den</w:t>
      </w:r>
      <w:r>
        <w:softHyphen/>
      </w:r>
      <w:r w:rsidRPr="00EE0766">
        <w:t>ne bort inse att egendomen härrör från brott eller om överlå</w:t>
      </w:r>
      <w:r>
        <w:softHyphen/>
      </w:r>
      <w:r w:rsidRPr="00EE0766">
        <w:t xml:space="preserve">telsen skett i syfte att undanhålla egendomen från förverkande, </w:t>
      </w:r>
    </w:p>
    <w:p w:rsidR="000A610A" w:rsidRPr="00EE0766" w:rsidRDefault="000A610A" w:rsidP="00635593">
      <w:pPr>
        <w:pStyle w:val="RKnormal"/>
        <w:numPr>
          <w:ilvl w:val="0"/>
          <w:numId w:val="3"/>
        </w:numPr>
        <w:tabs>
          <w:tab w:val="clear" w:pos="2835"/>
          <w:tab w:val="left" w:pos="993"/>
        </w:tabs>
        <w:ind w:left="993" w:hanging="426"/>
      </w:pPr>
      <w:r w:rsidRPr="00EE0766">
        <w:t>förverkande utan samband med en fällande brottmålsdom om sådan dom inte kan meddelas på grund av att den miss</w:t>
      </w:r>
      <w:r>
        <w:softHyphen/>
      </w:r>
      <w:r w:rsidRPr="00EE0766">
        <w:t>tänkte avlidit, är kroniskt sjuk eller undanhåller sig från lagföring, och</w:t>
      </w:r>
    </w:p>
    <w:p w:rsidR="000A610A" w:rsidRPr="00EE0766" w:rsidRDefault="000A610A" w:rsidP="00635593">
      <w:pPr>
        <w:pStyle w:val="RKnormal"/>
        <w:numPr>
          <w:ilvl w:val="0"/>
          <w:numId w:val="3"/>
        </w:numPr>
        <w:tabs>
          <w:tab w:val="clear" w:pos="2835"/>
          <w:tab w:val="left" w:pos="993"/>
        </w:tabs>
        <w:ind w:left="993" w:hanging="426"/>
      </w:pPr>
      <w:r w:rsidRPr="00EE0766">
        <w:t>tillfällig ”frysning” av tillgångar i avvaktan på domstols</w:t>
      </w:r>
      <w:r>
        <w:softHyphen/>
      </w:r>
      <w:r w:rsidRPr="00EE0766">
        <w:t>pröv</w:t>
      </w:r>
      <w:r>
        <w:softHyphen/>
      </w:r>
      <w:r w:rsidRPr="00EE0766">
        <w:t>ning om fara föreligger för att egendomen annars kommer att skaffas undan.</w:t>
      </w:r>
    </w:p>
    <w:p w:rsidR="000A610A" w:rsidRPr="00EE0766" w:rsidRDefault="000A610A" w:rsidP="00EE0766">
      <w:pPr>
        <w:pStyle w:val="NormalIndent"/>
        <w:rPr>
          <w:rFonts w:ascii="OrigGarmnd BT" w:hAnsi="OrigGarmnd BT"/>
          <w:sz w:val="24"/>
          <w:szCs w:val="24"/>
        </w:rPr>
      </w:pPr>
    </w:p>
    <w:p w:rsidR="000A610A" w:rsidRDefault="000A610A" w:rsidP="000121C5">
      <w:pPr>
        <w:pStyle w:val="RKnormal"/>
      </w:pPr>
      <w:r w:rsidRPr="00EE0766">
        <w:t>Direktivet ställer också krav på att medlemsstaterna samlar data och för statistik över förverkande och återvinning av brottsliga tillgångar.</w:t>
      </w:r>
    </w:p>
    <w:p w:rsidR="000A610A" w:rsidRDefault="000A610A" w:rsidP="00EE0766">
      <w:pPr>
        <w:pStyle w:val="NormalIndent"/>
        <w:spacing w:line="320" w:lineRule="atLeast"/>
        <w:ind w:firstLine="0"/>
        <w:jc w:val="left"/>
        <w:rPr>
          <w:rFonts w:ascii="OrigGarmnd BT" w:hAnsi="OrigGarmnd BT"/>
          <w:sz w:val="24"/>
          <w:szCs w:val="24"/>
        </w:rPr>
      </w:pPr>
    </w:p>
    <w:p w:rsidR="000A610A" w:rsidRDefault="000A610A" w:rsidP="00174585">
      <w:pPr>
        <w:pStyle w:val="RKnormal"/>
        <w:spacing w:line="320" w:lineRule="atLeast"/>
      </w:pPr>
      <w:r w:rsidRPr="002F251F">
        <w:t>Ordförandeskapets avsikt är att rådet ska hålla en riktlinjedebatt för att följa upp den diskussion som ägde rum vid informella RIF i Nicosia den 23–24 juli 2012. Såvitt känt ska debatten avse förutsättningarna för utvid</w:t>
      </w:r>
      <w:r w:rsidRPr="002F251F">
        <w:softHyphen/>
        <w:t>gat förverkande.</w:t>
      </w:r>
      <w:r>
        <w:t xml:space="preserve"> </w:t>
      </w:r>
    </w:p>
    <w:p w:rsidR="000A610A" w:rsidRDefault="000A610A">
      <w:pPr>
        <w:pStyle w:val="RKrubrik"/>
      </w:pPr>
      <w:r w:rsidRPr="00E222B4">
        <w:t>Rättslig grund och beslutsförfarande</w:t>
      </w:r>
    </w:p>
    <w:p w:rsidR="000A610A" w:rsidRDefault="000A610A" w:rsidP="000121C5">
      <w:pPr>
        <w:pStyle w:val="RKnormal"/>
      </w:pPr>
      <w:r>
        <w:t>Förslaget grundar sig på artiklarna 82.2 och 83.1 i fördraget om Euro</w:t>
      </w:r>
      <w:r>
        <w:softHyphen/>
        <w:t>pe</w:t>
      </w:r>
      <w:r>
        <w:softHyphen/>
        <w:t>iska unionens funktionssätt (EUF-fördraget) och ska antas i enlighet med det ordinarie lagstiftningsförfarandet, vilket innebär att rådet beslu</w:t>
      </w:r>
      <w:r>
        <w:softHyphen/>
        <w:t>tar med kvalificerad majoritet och att Europaparlamentet är medbeslu</w:t>
      </w:r>
      <w:r>
        <w:softHyphen/>
        <w:t>tande.</w:t>
      </w:r>
    </w:p>
    <w:p w:rsidR="000A610A" w:rsidRDefault="000A610A" w:rsidP="000121C5">
      <w:pPr>
        <w:pStyle w:val="RKnormal"/>
      </w:pPr>
    </w:p>
    <w:p w:rsidR="000A610A" w:rsidRDefault="000A610A" w:rsidP="000121C5">
      <w:pPr>
        <w:pStyle w:val="RKnormal"/>
      </w:pPr>
      <w:r>
        <w:t>EU har i enlighet med 83.1 i EUF-fördraget befogenhet att genom di</w:t>
      </w:r>
      <w:r>
        <w:softHyphen/>
        <w:t>rektiv fastställa minimiregler om fastställande av brottsrekvisit och på</w:t>
      </w:r>
      <w:r>
        <w:softHyphen/>
        <w:t>följder inom områden med särskilt allvarlig brottslighet med gränsöver</w:t>
      </w:r>
      <w:r>
        <w:softHyphen/>
        <w:t>skridande inslag till följd av brottens karaktär eller effekter eller av ett särskilt behov att bekämpa dem på gemensamma grunder. Denna befo</w:t>
      </w:r>
      <w:r>
        <w:softHyphen/>
        <w:t xml:space="preserve">genhet gäller endast i förhållande till vissa i artikeln särskilt uppräknade brottskategorier (på engelska benämnda </w:t>
      </w:r>
      <w:r w:rsidRPr="00A27CB0">
        <w:rPr>
          <w:i/>
        </w:rPr>
        <w:t>euro-crimes</w:t>
      </w:r>
      <w:r>
        <w:t>). Även om förver</w:t>
      </w:r>
      <w:r>
        <w:softHyphen/>
        <w:t>kande enligt svensk rätt inte utgör en påföljd utan räknas som en särskild rättsverkan av brott och artikeln enligt sin ordalydelse endast är tillämp</w:t>
      </w:r>
      <w:r>
        <w:softHyphen/>
        <w:t>lig i förhållande till brottsrekvisit och påföljder, har förverkandebestäm</w:t>
      </w:r>
      <w:r>
        <w:softHyphen/>
        <w:t>melser antagits i andra rättsakter med artikel 83.1 som åberopad rättslig grund, se t.ex. Europaparlamentets och rådets direktiv 2011/93/EU om bekämpande av sexuella övergrepp mot barn, sexuell exploatering av barn och barnpornografi samt om ersättande av rådets rambeslut 2004/68/RIF. Regeringen gör därför bedömningen att den åberopade rättsliga grunden ger EU befogenhet att genom direktiv anta minimibe</w:t>
      </w:r>
      <w:r>
        <w:softHyphen/>
        <w:t>stämmelser om förverkande.</w:t>
      </w:r>
    </w:p>
    <w:p w:rsidR="000A610A" w:rsidRDefault="000A610A">
      <w:pPr>
        <w:pStyle w:val="RKrubrik"/>
        <w:rPr>
          <w:i/>
          <w:iCs/>
        </w:rPr>
      </w:pPr>
      <w:r>
        <w:rPr>
          <w:i/>
          <w:iCs/>
        </w:rPr>
        <w:t>Svensk ståndpunkt</w:t>
      </w:r>
    </w:p>
    <w:p w:rsidR="000A610A" w:rsidRDefault="000A610A" w:rsidP="009166D7">
      <w:pPr>
        <w:pStyle w:val="RKnormal"/>
      </w:pPr>
      <w:r w:rsidRPr="00E222B4">
        <w:t>Ökade möjligheter att komma åt kriminellas vinster är en prioriterad frå</w:t>
      </w:r>
      <w:r>
        <w:softHyphen/>
        <w:t>ga för regeringen. U</w:t>
      </w:r>
      <w:r w:rsidRPr="00E222B4">
        <w:t>tgångspunkt</w:t>
      </w:r>
      <w:r>
        <w:t>en</w:t>
      </w:r>
      <w:r w:rsidRPr="00E222B4">
        <w:t xml:space="preserve"> är att förverkande av vinning av brott ska vara ett effektivt och verkningsfullt verktyg i kampen mot all</w:t>
      </w:r>
      <w:r>
        <w:softHyphen/>
      </w:r>
      <w:r w:rsidRPr="00E222B4">
        <w:t xml:space="preserve">varlig brottslighet. Regeringen </w:t>
      </w:r>
      <w:r>
        <w:t xml:space="preserve">har därför </w:t>
      </w:r>
      <w:r w:rsidRPr="00E222B4">
        <w:t>välkomna</w:t>
      </w:r>
      <w:r>
        <w:t>t</w:t>
      </w:r>
      <w:r w:rsidRPr="00E222B4">
        <w:t xml:space="preserve"> en översyn av för</w:t>
      </w:r>
      <w:r>
        <w:softHyphen/>
      </w:r>
      <w:r w:rsidRPr="00E222B4">
        <w:t>verkanderegleringen inom EU. I förhandlingsarbete</w:t>
      </w:r>
      <w:r>
        <w:t>t</w:t>
      </w:r>
      <w:r w:rsidRPr="00E222B4">
        <w:t xml:space="preserve"> </w:t>
      </w:r>
      <w:r>
        <w:t xml:space="preserve">måste emellertid </w:t>
      </w:r>
      <w:r w:rsidRPr="00E222B4">
        <w:t xml:space="preserve">samtidigt säkerställas att enskildas rättssäkerhet inte urholkas i fråga om prövning av möjligheterna till förverkande. Som utgångspunkt </w:t>
      </w:r>
      <w:r>
        <w:t>gäller där</w:t>
      </w:r>
      <w:r>
        <w:softHyphen/>
        <w:t xml:space="preserve">för att </w:t>
      </w:r>
      <w:r w:rsidRPr="00E222B4">
        <w:t xml:space="preserve">Sverige dels </w:t>
      </w:r>
      <w:r>
        <w:t xml:space="preserve">ska </w:t>
      </w:r>
      <w:r w:rsidRPr="00E222B4">
        <w:t>bevaka att det påvisas ett klart och övertyg</w:t>
      </w:r>
      <w:r>
        <w:softHyphen/>
      </w:r>
      <w:r w:rsidRPr="00E222B4">
        <w:t>an</w:t>
      </w:r>
      <w:r>
        <w:softHyphen/>
      </w:r>
      <w:r w:rsidRPr="00E222B4">
        <w:t xml:space="preserve">de behov av nya förverkandelösningar, dels </w:t>
      </w:r>
      <w:r>
        <w:t xml:space="preserve">ska </w:t>
      </w:r>
      <w:r w:rsidRPr="00E222B4">
        <w:t>säkerställ</w:t>
      </w:r>
      <w:r>
        <w:t>a</w:t>
      </w:r>
      <w:r w:rsidRPr="00E222B4">
        <w:t xml:space="preserve"> </w:t>
      </w:r>
      <w:r>
        <w:t>a</w:t>
      </w:r>
      <w:r w:rsidRPr="00E222B4">
        <w:t>tt valda lös</w:t>
      </w:r>
      <w:r>
        <w:softHyphen/>
      </w:r>
      <w:r w:rsidRPr="00E222B4">
        <w:t>ning</w:t>
      </w:r>
      <w:r>
        <w:softHyphen/>
      </w:r>
      <w:r w:rsidRPr="00E222B4">
        <w:t xml:space="preserve">ar tillgodoser tillämpliga rättssäkerhetskrav. Vidare </w:t>
      </w:r>
      <w:r>
        <w:t xml:space="preserve">ska </w:t>
      </w:r>
      <w:r w:rsidRPr="00E222B4">
        <w:t>reger</w:t>
      </w:r>
      <w:r>
        <w:softHyphen/>
      </w:r>
      <w:r w:rsidRPr="00E222B4">
        <w:t>ingen</w:t>
      </w:r>
      <w:r>
        <w:t xml:space="preserve"> </w:t>
      </w:r>
      <w:r w:rsidRPr="00E222B4">
        <w:t xml:space="preserve">verka för att det skapas ett reellt mervärde genom det nya förslaget. </w:t>
      </w:r>
    </w:p>
    <w:p w:rsidR="000A610A" w:rsidRDefault="000A610A" w:rsidP="009166D7">
      <w:pPr>
        <w:pStyle w:val="RKnormal"/>
      </w:pPr>
    </w:p>
    <w:p w:rsidR="000A610A" w:rsidRDefault="000A610A" w:rsidP="009166D7">
      <w:pPr>
        <w:pStyle w:val="RKnormal"/>
      </w:pPr>
      <w:r>
        <w:t>När det gäller den särskilda förverkandeformen utvidgat förverkande kan följande sägas: Utvidgat förverkande är ett effektivt verktyg för att kom</w:t>
      </w:r>
      <w:r>
        <w:softHyphen/>
        <w:t>ma åt vinning av brottslig verksamhet. Det är därför viktigt att bestäm</w:t>
      </w:r>
      <w:r>
        <w:softHyphen/>
        <w:t>melsen utformas på så sätt att dessa effektiva möjligheter till förverkande tas till vara. Hittills har förhandlingarna om artikeln gått i en positiv rikt</w:t>
      </w:r>
      <w:r>
        <w:softHyphen/>
        <w:t>ning och flera onödiga begränsningar i tillämpningsområdet har fallit bort. Samtidigt gäller emellertid att utvidgat förverkande är en ingripan</w:t>
      </w:r>
      <w:r>
        <w:softHyphen/>
        <w:t>de åtgärd som bör få tillgripas bara i anledning av allvarlig vinnings</w:t>
      </w:r>
      <w:r>
        <w:softHyphen/>
        <w:t xml:space="preserve">brottslighet. De brott som ska kunna utlösa utvidgat förverkande bör därför vara allvarliga brott som kan ge ekonomisk vinning.   </w:t>
      </w:r>
    </w:p>
    <w:p w:rsidR="000A610A" w:rsidRDefault="000A610A">
      <w:pPr>
        <w:pStyle w:val="RKrubrik"/>
      </w:pPr>
      <w:r>
        <w:t>Europaparlamentets inställning</w:t>
      </w:r>
    </w:p>
    <w:p w:rsidR="000A610A" w:rsidRPr="000121C5" w:rsidRDefault="000A610A" w:rsidP="000121C5">
      <w:pPr>
        <w:pStyle w:val="RKnormal"/>
      </w:pPr>
      <w:r w:rsidRPr="000121C5">
        <w:t>Frågan har ännu inte behandlats av parlamentet. Ansvarigt utskott i EP, LIBE-utskottet, har lämnat e</w:t>
      </w:r>
      <w:r>
        <w:t>tt</w:t>
      </w:r>
      <w:r w:rsidRPr="000121C5">
        <w:t xml:space="preserve"> utkast till rapport och föreslagit vissa änd</w:t>
      </w:r>
      <w:r>
        <w:softHyphen/>
      </w:r>
      <w:r w:rsidRPr="000121C5">
        <w:t xml:space="preserve">ringar av </w:t>
      </w:r>
      <w:r>
        <w:t>främst redaktionell art.</w:t>
      </w:r>
    </w:p>
    <w:p w:rsidR="000A610A" w:rsidRDefault="000A610A">
      <w:pPr>
        <w:pStyle w:val="RKrubrik"/>
        <w:rPr>
          <w:i/>
          <w:iCs/>
        </w:rPr>
      </w:pPr>
      <w:r>
        <w:rPr>
          <w:i/>
          <w:iCs/>
        </w:rPr>
        <w:t>Förslaget</w:t>
      </w:r>
    </w:p>
    <w:p w:rsidR="000A610A" w:rsidRDefault="000A610A">
      <w:pPr>
        <w:pStyle w:val="RKnormal"/>
      </w:pPr>
      <w:r>
        <w:t>Den del av förslaget som nu är föremål för riktlinjedebatt är bestämmel</w:t>
      </w:r>
      <w:r>
        <w:softHyphen/>
        <w:t>sen om utvidgat förverkande (artikel 4). Sedan för</w:t>
      </w:r>
      <w:r>
        <w:softHyphen/>
        <w:t>handlingarna inleddes har bestämmelsen utvecklats i positiv riktning på så sätt att flera onödiga begränsningar av tillämpningsområdet har fallit bort. I nuvarande för</w:t>
      </w:r>
      <w:r>
        <w:softHyphen/>
        <w:t>hand</w:t>
      </w:r>
      <w:r>
        <w:softHyphen/>
        <w:t>lingsläge kan dock noteras att bestämmelsen inte säger något om vilket beviskrav som ska uppställas för att utvidgat förverkande ska få tillgripas. I stället lämnas det åt medlemssta</w:t>
      </w:r>
      <w:r>
        <w:softHyphen/>
        <w:t>terna att bestämma detta. Inte heller sägs det för närvarande något om vilket lägsta maximistraff som ska vara föreskrivet för de brott som ska tillåtas utlösa utvidgat för</w:t>
      </w:r>
      <w:r>
        <w:softHyphen/>
        <w:t>verkande.</w:t>
      </w:r>
    </w:p>
    <w:p w:rsidR="000A610A" w:rsidRDefault="000A610A">
      <w:pPr>
        <w:pStyle w:val="RKrubrik"/>
        <w:rPr>
          <w:i/>
          <w:iCs/>
        </w:rPr>
      </w:pPr>
      <w:r>
        <w:rPr>
          <w:i/>
          <w:iCs/>
        </w:rPr>
        <w:t>Gällande svenska regler och förslagets effekter på dessa</w:t>
      </w:r>
    </w:p>
    <w:p w:rsidR="000A610A" w:rsidRDefault="000A610A" w:rsidP="007D312B">
      <w:pPr>
        <w:pStyle w:val="RKnormal"/>
      </w:pPr>
      <w:r>
        <w:t>Brottsbalkens bestämmelse om utvidgat förverkande (36 kap. 1 b §) in</w:t>
      </w:r>
      <w:r>
        <w:softHyphen/>
        <w:t>fördes år 2008. Den in</w:t>
      </w:r>
      <w:r>
        <w:softHyphen/>
        <w:t>nebär att det i vissa fall är möjligt att förverka ut</w:t>
      </w:r>
      <w:r>
        <w:softHyphen/>
        <w:t>byte som kommer från en inte närmare preciserad brottslig verksamhet, alltså även annat brotts</w:t>
      </w:r>
      <w:r>
        <w:softHyphen/>
        <w:t>ligt handlande än det som personen döms för i den aktuella rättegången. Sambandet mellan egendomen och den brotts</w:t>
      </w:r>
      <w:r>
        <w:softHyphen/>
        <w:t>liga verksamheten behöver inte heller styrkas fullt ut. I stället är det till</w:t>
      </w:r>
      <w:r>
        <w:softHyphen/>
        <w:t>räckligt att åklagaren upp</w:t>
      </w:r>
      <w:r>
        <w:softHyphen/>
        <w:t>fyl</w:t>
      </w:r>
      <w:r>
        <w:softHyphen/>
        <w:t>ler ett lägre ställt beviskrav. (Med tidigare regler var det däremot bara möjligt att förverka utbyte av just det brott som en person dömdes för. Det krävdes dessutom att det var fullt bevisat att egendomen härrörde från det brottet.) Utvidgat förverkande kan som huvudregel beslutas när någon döms för ett brott som har ett maximi</w:t>
      </w:r>
      <w:r>
        <w:softHyphen/>
        <w:t>straff på sex års fängel</w:t>
      </w:r>
      <w:r>
        <w:softHyphen/>
        <w:t>se eller mer. Exempel på sådana brott – som här kallas förverkandeutlö</w:t>
      </w:r>
      <w:r>
        <w:softHyphen/>
        <w:t>sande brott – är rån, grovt bedrägeri, grovt kopp</w:t>
      </w:r>
      <w:r>
        <w:softHyphen/>
        <w:t>leri och grovt narkotika</w:t>
      </w:r>
      <w:r>
        <w:softHyphen/>
        <w:t>brott. En ytterligare förutsättning för förverkan</w:t>
      </w:r>
      <w:r>
        <w:softHyphen/>
        <w:t>de är att det förver</w:t>
      </w:r>
      <w:r>
        <w:softHyphen/>
        <w:t>kan</w:t>
      </w:r>
      <w:r>
        <w:softHyphen/>
        <w:t>deutlösande brottet har varit av sådant slag att det kunnat ge ekonomiskt utbyte.</w:t>
      </w:r>
    </w:p>
    <w:p w:rsidR="000A610A" w:rsidRDefault="000A610A" w:rsidP="007D312B">
      <w:pPr>
        <w:pStyle w:val="RKnormal"/>
      </w:pPr>
    </w:p>
    <w:p w:rsidR="000A610A" w:rsidRDefault="000A610A" w:rsidP="007D312B">
      <w:pPr>
        <w:pStyle w:val="RKnormal"/>
      </w:pPr>
      <w:r>
        <w:t>I nuvarande förhandlingsläge har direktivutkastets bestämmelse om ut</w:t>
      </w:r>
      <w:r>
        <w:softHyphen/>
        <w:t>vidgat förverkande en utformning som går längre än den svenska regle</w:t>
      </w:r>
      <w:r>
        <w:softHyphen/>
        <w:t>ringen i frågan om vilket lägsta maximistraff som ska vara föreskrivet för de brott som ska kunna utlösa utvidgat förverkande. Direktivet föreskri</w:t>
      </w:r>
      <w:r>
        <w:softHyphen/>
        <w:t>ver nämligen ingen sådan tröskel alls i fråga om straff. Om den nuva</w:t>
      </w:r>
      <w:r>
        <w:softHyphen/>
        <w:t>ran</w:t>
      </w:r>
      <w:r>
        <w:softHyphen/>
        <w:t>de lydelsen står sig, skulle detta begränsa direktivets möjligheter att leda till harmoni</w:t>
      </w:r>
      <w:r>
        <w:softHyphen/>
        <w:t xml:space="preserve">sering. </w:t>
      </w:r>
    </w:p>
    <w:p w:rsidR="000A610A" w:rsidRDefault="000A610A" w:rsidP="007D312B">
      <w:pPr>
        <w:pStyle w:val="RKnormal"/>
      </w:pPr>
    </w:p>
    <w:p w:rsidR="000A610A" w:rsidRDefault="000A610A" w:rsidP="007D312B">
      <w:pPr>
        <w:pStyle w:val="RKnormal"/>
      </w:pPr>
      <w:r>
        <w:t>Att förslaget för närvarande inte har någon föreskrift om vilket beviskrav som ska upp</w:t>
      </w:r>
      <w:r>
        <w:softHyphen/>
        <w:t>ställas för att utvidgat förverkande ska få tillgripas leder inte till att det nuvarande svenska beviskravet behöver ändras. Däremot inne</w:t>
      </w:r>
      <w:r>
        <w:softHyphen/>
        <w:t>bär frånvaron av beviskrav att direktivet inte heller här skulle ha förut</w:t>
      </w:r>
      <w:r>
        <w:softHyphen/>
        <w:t>sättning</w:t>
      </w:r>
      <w:r>
        <w:softHyphen/>
        <w:t>ar att leda till någon harmonisering och att svårigheter dessutom kunde uppkomma vid erkännande och verkställighet av beslut om utvid</w:t>
      </w:r>
      <w:r>
        <w:softHyphen/>
        <w:t xml:space="preserve">gat förverkande som fattats i en annan medlemsstat.  </w:t>
      </w:r>
    </w:p>
    <w:p w:rsidR="000A610A" w:rsidRDefault="000A610A">
      <w:pPr>
        <w:pStyle w:val="RKrubrik"/>
      </w:pPr>
      <w:r>
        <w:t>Ekonomiska konsekvenser</w:t>
      </w:r>
    </w:p>
    <w:p w:rsidR="000A610A" w:rsidRDefault="000A610A">
      <w:pPr>
        <w:pStyle w:val="RKnormal"/>
      </w:pPr>
      <w:r>
        <w:t>Förslaget bedöms inte ha ekonomiska konsekven</w:t>
      </w:r>
      <w:r>
        <w:softHyphen/>
        <w:t>ser för Sverige.</w:t>
      </w:r>
    </w:p>
    <w:p w:rsidR="000A610A" w:rsidRDefault="000A610A">
      <w:pPr>
        <w:pStyle w:val="RKnormal"/>
      </w:pPr>
    </w:p>
    <w:p w:rsidR="000A610A" w:rsidRDefault="000A610A">
      <w:pPr>
        <w:pStyle w:val="RKnormal"/>
        <w:rPr>
          <w:i/>
          <w:iCs/>
        </w:rPr>
      </w:pPr>
    </w:p>
    <w:p w:rsidR="000A610A" w:rsidRDefault="000A610A">
      <w:pPr>
        <w:pStyle w:val="RKnormal"/>
        <w:ind w:left="-1134"/>
      </w:pPr>
    </w:p>
    <w:sectPr w:rsidR="000A610A" w:rsidSect="00D160C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10A" w:rsidRDefault="000A610A">
      <w:r>
        <w:separator/>
      </w:r>
    </w:p>
  </w:endnote>
  <w:endnote w:type="continuationSeparator" w:id="0">
    <w:p w:rsidR="000A610A" w:rsidRDefault="000A61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10A" w:rsidRDefault="000A610A">
      <w:r>
        <w:separator/>
      </w:r>
    </w:p>
  </w:footnote>
  <w:footnote w:type="continuationSeparator" w:id="0">
    <w:p w:rsidR="000A610A" w:rsidRDefault="000A61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0A" w:rsidRDefault="000A61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A610A">
      <w:trPr>
        <w:cantSplit/>
      </w:trPr>
      <w:tc>
        <w:tcPr>
          <w:tcW w:w="3119" w:type="dxa"/>
        </w:tcPr>
        <w:p w:rsidR="000A610A" w:rsidRDefault="000A610A">
          <w:pPr>
            <w:pStyle w:val="Header"/>
            <w:spacing w:line="200" w:lineRule="atLeast"/>
            <w:ind w:right="357"/>
            <w:rPr>
              <w:rFonts w:ascii="TradeGothic" w:hAnsi="TradeGothic"/>
              <w:b/>
              <w:bCs/>
              <w:sz w:val="16"/>
            </w:rPr>
          </w:pPr>
        </w:p>
      </w:tc>
      <w:tc>
        <w:tcPr>
          <w:tcW w:w="4111" w:type="dxa"/>
          <w:tcMar>
            <w:left w:w="567" w:type="dxa"/>
          </w:tcMar>
        </w:tcPr>
        <w:p w:rsidR="000A610A" w:rsidRDefault="000A610A">
          <w:pPr>
            <w:pStyle w:val="Header"/>
            <w:ind w:right="360"/>
          </w:pPr>
        </w:p>
      </w:tc>
      <w:tc>
        <w:tcPr>
          <w:tcW w:w="1525" w:type="dxa"/>
        </w:tcPr>
        <w:p w:rsidR="000A610A" w:rsidRDefault="000A610A">
          <w:pPr>
            <w:pStyle w:val="Header"/>
            <w:ind w:right="360"/>
          </w:pPr>
        </w:p>
      </w:tc>
    </w:tr>
  </w:tbl>
  <w:p w:rsidR="000A610A" w:rsidRDefault="000A610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0A" w:rsidRDefault="000A61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A610A">
      <w:trPr>
        <w:cantSplit/>
      </w:trPr>
      <w:tc>
        <w:tcPr>
          <w:tcW w:w="3119" w:type="dxa"/>
        </w:tcPr>
        <w:p w:rsidR="000A610A" w:rsidRDefault="000A610A">
          <w:pPr>
            <w:pStyle w:val="Header"/>
            <w:spacing w:line="200" w:lineRule="atLeast"/>
            <w:ind w:right="357"/>
            <w:rPr>
              <w:rFonts w:ascii="TradeGothic" w:hAnsi="TradeGothic"/>
              <w:b/>
              <w:bCs/>
              <w:sz w:val="16"/>
            </w:rPr>
          </w:pPr>
        </w:p>
      </w:tc>
      <w:tc>
        <w:tcPr>
          <w:tcW w:w="4111" w:type="dxa"/>
          <w:tcMar>
            <w:left w:w="567" w:type="dxa"/>
          </w:tcMar>
        </w:tcPr>
        <w:p w:rsidR="000A610A" w:rsidRDefault="000A610A">
          <w:pPr>
            <w:pStyle w:val="Header"/>
            <w:ind w:right="360"/>
          </w:pPr>
        </w:p>
      </w:tc>
      <w:tc>
        <w:tcPr>
          <w:tcW w:w="1525" w:type="dxa"/>
        </w:tcPr>
        <w:p w:rsidR="000A610A" w:rsidRDefault="000A610A">
          <w:pPr>
            <w:pStyle w:val="Header"/>
            <w:ind w:right="360"/>
          </w:pPr>
        </w:p>
      </w:tc>
    </w:tr>
  </w:tbl>
  <w:p w:rsidR="000A610A" w:rsidRDefault="000A610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0A" w:rsidRDefault="000A610A">
    <w:pPr>
      <w:framePr w:w="2948" w:h="1321" w:hRule="exact" w:wrap="notBeside" w:vAnchor="page" w:hAnchor="page" w:x="1362" w:y="653"/>
    </w:pPr>
    <w:r w:rsidRPr="00845AC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A610A" w:rsidRDefault="000A610A">
    <w:pPr>
      <w:pStyle w:val="RKrubrik"/>
      <w:keepNext w:val="0"/>
      <w:tabs>
        <w:tab w:val="clear" w:pos="1134"/>
        <w:tab w:val="clear" w:pos="2835"/>
      </w:tabs>
      <w:spacing w:before="0" w:after="0" w:line="320" w:lineRule="atLeast"/>
      <w:rPr>
        <w:bCs/>
      </w:rPr>
    </w:pPr>
  </w:p>
  <w:p w:rsidR="000A610A" w:rsidRDefault="000A610A">
    <w:pPr>
      <w:rPr>
        <w:rFonts w:ascii="TradeGothic" w:hAnsi="TradeGothic"/>
        <w:b/>
        <w:bCs/>
        <w:spacing w:val="12"/>
        <w:sz w:val="22"/>
      </w:rPr>
    </w:pPr>
  </w:p>
  <w:p w:rsidR="000A610A" w:rsidRDefault="000A610A">
    <w:pPr>
      <w:pStyle w:val="RKrubrik"/>
      <w:keepNext w:val="0"/>
      <w:tabs>
        <w:tab w:val="clear" w:pos="1134"/>
        <w:tab w:val="clear" w:pos="2835"/>
      </w:tabs>
      <w:spacing w:before="0" w:after="0" w:line="320" w:lineRule="atLeast"/>
      <w:rPr>
        <w:bCs/>
      </w:rPr>
    </w:pPr>
  </w:p>
  <w:p w:rsidR="000A610A" w:rsidRDefault="000A610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7806"/>
    <w:multiLevelType w:val="hybridMultilevel"/>
    <w:tmpl w:val="8A926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1E422C1"/>
    <w:multiLevelType w:val="hybridMultilevel"/>
    <w:tmpl w:val="F92A7702"/>
    <w:lvl w:ilvl="0" w:tplc="193EAF1A">
      <w:start w:val="19"/>
      <w:numFmt w:val="bullet"/>
      <w:lvlText w:val="•"/>
      <w:lvlJc w:val="left"/>
      <w:pPr>
        <w:ind w:left="1440" w:hanging="360"/>
      </w:pPr>
      <w:rPr>
        <w:rFonts w:ascii="OrigGarmnd BT" w:eastAsia="Times New Roman" w:hAnsi="OrigGarmnd BT" w:hint="default"/>
      </w:rPr>
    </w:lvl>
    <w:lvl w:ilvl="1" w:tplc="041D0003" w:tentative="1">
      <w:start w:val="1"/>
      <w:numFmt w:val="bullet"/>
      <w:lvlText w:val="o"/>
      <w:lvlJc w:val="left"/>
      <w:pPr>
        <w:ind w:left="2160" w:hanging="360"/>
      </w:pPr>
      <w:rPr>
        <w:rFonts w:ascii="Courier New" w:hAnsi="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73112944"/>
    <w:multiLevelType w:val="hybridMultilevel"/>
    <w:tmpl w:val="2722B72A"/>
    <w:lvl w:ilvl="0" w:tplc="193EAF1A">
      <w:start w:val="19"/>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CD7FE6"/>
    <w:rsid w:val="000121C5"/>
    <w:rsid w:val="000A610A"/>
    <w:rsid w:val="00133C6F"/>
    <w:rsid w:val="00143A17"/>
    <w:rsid w:val="00150384"/>
    <w:rsid w:val="00174585"/>
    <w:rsid w:val="001805B7"/>
    <w:rsid w:val="00185D71"/>
    <w:rsid w:val="00270A64"/>
    <w:rsid w:val="002718CF"/>
    <w:rsid w:val="002F251F"/>
    <w:rsid w:val="003458D1"/>
    <w:rsid w:val="00360766"/>
    <w:rsid w:val="004724DB"/>
    <w:rsid w:val="00497821"/>
    <w:rsid w:val="004A29C2"/>
    <w:rsid w:val="004A328D"/>
    <w:rsid w:val="004C0F52"/>
    <w:rsid w:val="00503FDD"/>
    <w:rsid w:val="0058762B"/>
    <w:rsid w:val="005D0DDA"/>
    <w:rsid w:val="00635593"/>
    <w:rsid w:val="006631E7"/>
    <w:rsid w:val="00672E5A"/>
    <w:rsid w:val="00691D77"/>
    <w:rsid w:val="006B280F"/>
    <w:rsid w:val="006E4E11"/>
    <w:rsid w:val="007054ED"/>
    <w:rsid w:val="0071506E"/>
    <w:rsid w:val="007242A3"/>
    <w:rsid w:val="007606B4"/>
    <w:rsid w:val="007678BD"/>
    <w:rsid w:val="00771C8D"/>
    <w:rsid w:val="007A6855"/>
    <w:rsid w:val="007D312B"/>
    <w:rsid w:val="007D4056"/>
    <w:rsid w:val="008254A3"/>
    <w:rsid w:val="00845AC4"/>
    <w:rsid w:val="008A7BA2"/>
    <w:rsid w:val="00907CF9"/>
    <w:rsid w:val="009166D7"/>
    <w:rsid w:val="0095725E"/>
    <w:rsid w:val="009C2D83"/>
    <w:rsid w:val="009F7038"/>
    <w:rsid w:val="00A02121"/>
    <w:rsid w:val="00A27CB0"/>
    <w:rsid w:val="00A52309"/>
    <w:rsid w:val="00A55DE2"/>
    <w:rsid w:val="00A72499"/>
    <w:rsid w:val="00AA617C"/>
    <w:rsid w:val="00AE2020"/>
    <w:rsid w:val="00AF59A3"/>
    <w:rsid w:val="00AF679E"/>
    <w:rsid w:val="00B84337"/>
    <w:rsid w:val="00B97F5F"/>
    <w:rsid w:val="00BE24DC"/>
    <w:rsid w:val="00CB255B"/>
    <w:rsid w:val="00CD7FE6"/>
    <w:rsid w:val="00CF5FC6"/>
    <w:rsid w:val="00D133D7"/>
    <w:rsid w:val="00D160C4"/>
    <w:rsid w:val="00D726DB"/>
    <w:rsid w:val="00DC4E98"/>
    <w:rsid w:val="00DD2B58"/>
    <w:rsid w:val="00E11D2A"/>
    <w:rsid w:val="00E126C8"/>
    <w:rsid w:val="00E222B4"/>
    <w:rsid w:val="00E2304A"/>
    <w:rsid w:val="00E8573C"/>
    <w:rsid w:val="00EC25F9"/>
    <w:rsid w:val="00ED583F"/>
    <w:rsid w:val="00EE0766"/>
    <w:rsid w:val="00FC779B"/>
    <w:rsid w:val="00FE78C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C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160C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160C4"/>
    <w:pPr>
      <w:spacing w:before="360"/>
      <w:outlineLvl w:val="1"/>
    </w:pPr>
  </w:style>
  <w:style w:type="paragraph" w:styleId="Heading3">
    <w:name w:val="heading 3"/>
    <w:basedOn w:val="Heading2"/>
    <w:next w:val="RKnormal"/>
    <w:link w:val="Heading3Char"/>
    <w:uiPriority w:val="99"/>
    <w:qFormat/>
    <w:rsid w:val="00D160C4"/>
    <w:pPr>
      <w:spacing w:after="120" w:line="240" w:lineRule="atLeast"/>
      <w:outlineLvl w:val="2"/>
    </w:pPr>
    <w:rPr>
      <w:b w:val="0"/>
    </w:rPr>
  </w:style>
  <w:style w:type="paragraph" w:styleId="Heading4">
    <w:name w:val="heading 4"/>
    <w:basedOn w:val="Heading3"/>
    <w:next w:val="RKnormal"/>
    <w:link w:val="Heading4Char"/>
    <w:uiPriority w:val="99"/>
    <w:qFormat/>
    <w:rsid w:val="00D160C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BB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43BB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43BB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43BB1"/>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160C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160C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643BB1"/>
    <w:rPr>
      <w:rFonts w:ascii="OrigGarmnd BT" w:hAnsi="OrigGarmnd BT"/>
      <w:sz w:val="24"/>
      <w:szCs w:val="20"/>
      <w:lang w:eastAsia="en-US"/>
    </w:rPr>
  </w:style>
  <w:style w:type="paragraph" w:styleId="Header">
    <w:name w:val="header"/>
    <w:basedOn w:val="Normal"/>
    <w:link w:val="HeaderChar"/>
    <w:uiPriority w:val="99"/>
    <w:rsid w:val="00D160C4"/>
    <w:pPr>
      <w:tabs>
        <w:tab w:val="center" w:pos="4153"/>
        <w:tab w:val="right" w:pos="8306"/>
      </w:tabs>
    </w:pPr>
  </w:style>
  <w:style w:type="character" w:customStyle="1" w:styleId="HeaderChar">
    <w:name w:val="Header Char"/>
    <w:basedOn w:val="DefaultParagraphFont"/>
    <w:link w:val="Header"/>
    <w:uiPriority w:val="99"/>
    <w:semiHidden/>
    <w:rsid w:val="00643BB1"/>
    <w:rPr>
      <w:rFonts w:ascii="OrigGarmnd BT" w:hAnsi="OrigGarmnd BT"/>
      <w:sz w:val="24"/>
      <w:szCs w:val="20"/>
      <w:lang w:eastAsia="en-US"/>
    </w:rPr>
  </w:style>
  <w:style w:type="paragraph" w:customStyle="1" w:styleId="RKnormal">
    <w:name w:val="RKnormal"/>
    <w:basedOn w:val="Normal"/>
    <w:uiPriority w:val="99"/>
    <w:rsid w:val="00D160C4"/>
    <w:pPr>
      <w:tabs>
        <w:tab w:val="left" w:pos="2835"/>
      </w:tabs>
      <w:spacing w:line="240" w:lineRule="atLeast"/>
    </w:pPr>
  </w:style>
  <w:style w:type="paragraph" w:customStyle="1" w:styleId="RKrubrik">
    <w:name w:val="RKrubrik"/>
    <w:basedOn w:val="RKnormal"/>
    <w:next w:val="RKnormal"/>
    <w:uiPriority w:val="99"/>
    <w:rsid w:val="00D160C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160C4"/>
    <w:rPr>
      <w:rFonts w:cs="Times New Roman"/>
    </w:rPr>
  </w:style>
  <w:style w:type="paragraph" w:styleId="NormalIndent">
    <w:name w:val="Normal Indent"/>
    <w:basedOn w:val="Normal"/>
    <w:link w:val="NormalIndentChar"/>
    <w:uiPriority w:val="99"/>
    <w:rsid w:val="004C0F52"/>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NormalIndentChar">
    <w:name w:val="Normal Indent Char"/>
    <w:link w:val="NormalIndent"/>
    <w:uiPriority w:val="99"/>
    <w:locked/>
    <w:rsid w:val="004C0F52"/>
    <w:rPr>
      <w:sz w:val="19"/>
    </w:rPr>
  </w:style>
  <w:style w:type="paragraph" w:styleId="BalloonText">
    <w:name w:val="Balloon Text"/>
    <w:basedOn w:val="Normal"/>
    <w:link w:val="BalloonTextChar"/>
    <w:uiPriority w:val="99"/>
    <w:rsid w:val="00771C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71C8D"/>
    <w:rPr>
      <w:rFonts w:ascii="Tahoma" w:hAnsi="Tahoma" w:cs="Tahoma"/>
      <w:sz w:val="16"/>
      <w:szCs w:val="16"/>
      <w:lang w:eastAsia="en-US"/>
    </w:rPr>
  </w:style>
  <w:style w:type="paragraph" w:customStyle="1" w:styleId="CharZchnZchn">
    <w:name w:val="Char Zchn Zchn"/>
    <w:basedOn w:val="Normal"/>
    <w:uiPriority w:val="99"/>
    <w:rsid w:val="00672E5A"/>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1215</Words>
  <Characters>7342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Marie Söderlund</dc:creator>
  <cp:keywords/>
  <dc:description/>
  <cp:lastModifiedBy>jb0525aa</cp:lastModifiedBy>
  <cp:revision>2</cp:revision>
  <cp:lastPrinted>2012-10-12T13:26:00Z</cp:lastPrinted>
  <dcterms:created xsi:type="dcterms:W3CDTF">2012-10-15T11:12:00Z</dcterms:created>
  <dcterms:modified xsi:type="dcterms:W3CDTF">2012-10-15T11:12:00Z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ContentTypeId">
    <vt:lpwstr>0x010100D4E2D80DC721422ABBDF033BB3857F490300843E95EF4A801E43ACB544B780898DD4</vt:lpwstr>
  </property>
  <property fmtid="{D5CDD505-2E9C-101B-9397-08002B2CF9AE}" pid="13" name="RKOrdnaDepartement2">
    <vt:lpwstr>Finansdepartementet</vt:lpwstr>
  </property>
  <property fmtid="{D5CDD505-2E9C-101B-9397-08002B2CF9AE}" pid="14" name="RKOrdnaActivityCategory2">
    <vt:lpwstr>4.1.2. Rådsarbete</vt:lpwstr>
  </property>
  <property fmtid="{D5CDD505-2E9C-101B-9397-08002B2CF9AE}" pid="15" name="display_urn:schemas-microsoft-com:office:office#Editor">
    <vt:lpwstr>Marie Söderlund</vt:lpwstr>
  </property>
  <property fmtid="{D5CDD505-2E9C-101B-9397-08002B2CF9AE}" pid="16" name="display_urn:schemas-microsoft-com:office:office#Author">
    <vt:lpwstr>Frida Tottmar</vt:lpwstr>
  </property>
  <property fmtid="{D5CDD505-2E9C-101B-9397-08002B2CF9AE}" pid="17" name="Order">
    <vt:lpwstr>1178200.00000000</vt:lpwstr>
  </property>
  <property fmtid="{D5CDD505-2E9C-101B-9397-08002B2CF9AE}" pid="18" name="Aktivitetskategori">
    <vt:lpwstr>8;#4.1.2. Rådsarbete|1af30613-4dfb-4481-b80b-5c962e3e508b</vt:lpwstr>
  </property>
  <property fmtid="{D5CDD505-2E9C-101B-9397-08002B2CF9AE}" pid="19" name="Departementsenhet">
    <vt:lpwstr>32;#Finansdepartementet|0b2f41b1-db50-472c-80a1-d21b0254fb2b</vt:lpwstr>
  </property>
  <property fmtid="{D5CDD505-2E9C-101B-9397-08002B2CF9AE}" pid="20" name="_dlc_DocId">
    <vt:lpwstr>F5J5VW6DSRJ4-5-10370</vt:lpwstr>
  </property>
  <property fmtid="{D5CDD505-2E9C-101B-9397-08002B2CF9AE}" pid="21" name="_dlc_DocIdItemGuid">
    <vt:lpwstr>7dff6dfc-5d88-4c69-8e45-58360fff3922</vt:lpwstr>
  </property>
  <property fmtid="{D5CDD505-2E9C-101B-9397-08002B2CF9AE}" pid="22" name="_dlc_DocIdUrl">
    <vt:lpwstr>http://rkdhs-ju/enhet/eu/_layouts/DocIdRedir.aspx?ID=F5J5VW6DSRJ4-5-10370, F5J5VW6DSRJ4-5-10370</vt:lpwstr>
  </property>
  <property fmtid="{D5CDD505-2E9C-101B-9397-08002B2CF9AE}" pid="23" name="RKOrdnaCheckInComment">
    <vt:lpwstr/>
  </property>
  <property fmtid="{D5CDD505-2E9C-101B-9397-08002B2CF9AE}" pid="24" name="RKOrdnaClass">
    <vt:lpwstr>3</vt:lpwstr>
  </property>
  <property fmtid="{D5CDD505-2E9C-101B-9397-08002B2CF9AE}" pid="25" name="Diarienummer">
    <vt:lpwstr/>
  </property>
  <property fmtid="{D5CDD505-2E9C-101B-9397-08002B2CF9AE}" pid="26" name="k46d94c0acf84ab9a79866a9d8b1905f">
    <vt:lpwstr>Finansdepartementet0b2f41b1-db50-472c-80a1-d21b0254fb2b</vt:lpwstr>
  </property>
  <property fmtid="{D5CDD505-2E9C-101B-9397-08002B2CF9AE}" pid="27" name="Nyckelord">
    <vt:lpwstr/>
  </property>
  <property fmtid="{D5CDD505-2E9C-101B-9397-08002B2CF9AE}" pid="28" name="Sekretess">
    <vt:lpwstr/>
  </property>
  <property fmtid="{D5CDD505-2E9C-101B-9397-08002B2CF9AE}" pid="29" name="c9cd366cc722410295b9eacffbd73909">
    <vt:lpwstr>4.1.2. Rådsarbete1af30613-4dfb-4481-b80b-5c962e3e508b</vt:lpwstr>
  </property>
  <property fmtid="{D5CDD505-2E9C-101B-9397-08002B2CF9AE}" pid="30" name="TaxCatchAll">
    <vt:lpwstr>32;#;#8;#</vt:lpwstr>
  </property>
</Properties>
</file>