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D0036" w:rsidTr="00D46426">
        <w:tc>
          <w:tcPr>
            <w:tcW w:w="2268" w:type="dxa"/>
          </w:tcPr>
          <w:p w:rsidR="006D0036" w:rsidRDefault="006D0036"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D0036" w:rsidRPr="0071707B" w:rsidRDefault="006D0036" w:rsidP="0071707B">
            <w:pPr>
              <w:framePr w:w="5035" w:h="1644" w:wrap="notBeside" w:vAnchor="page" w:hAnchor="page" w:x="6573" w:y="721"/>
              <w:jc w:val="right"/>
              <w:rPr>
                <w:rFonts w:ascii="TradeGothic" w:hAnsi="TradeGothic"/>
                <w:sz w:val="18"/>
              </w:rPr>
            </w:pPr>
            <w:r>
              <w:rPr>
                <w:rFonts w:ascii="TradeGothic" w:hAnsi="TradeGothic"/>
                <w:sz w:val="18"/>
              </w:rPr>
              <w:t>KKR, dp. 5b</w:t>
            </w:r>
          </w:p>
        </w:tc>
      </w:tr>
      <w:tr w:rsidR="006D0036" w:rsidTr="00D46426">
        <w:tc>
          <w:tcPr>
            <w:tcW w:w="5267" w:type="dxa"/>
            <w:gridSpan w:val="3"/>
          </w:tcPr>
          <w:p w:rsidR="006D0036" w:rsidRDefault="006D003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D0036" w:rsidTr="00D46426">
        <w:tc>
          <w:tcPr>
            <w:tcW w:w="3402" w:type="dxa"/>
            <w:gridSpan w:val="2"/>
          </w:tcPr>
          <w:p w:rsidR="006D0036" w:rsidRDefault="006D0036" w:rsidP="007242A3">
            <w:pPr>
              <w:framePr w:w="5035" w:h="1644" w:wrap="notBeside" w:vAnchor="page" w:hAnchor="page" w:x="6573" w:y="721"/>
            </w:pPr>
          </w:p>
        </w:tc>
        <w:tc>
          <w:tcPr>
            <w:tcW w:w="1865" w:type="dxa"/>
          </w:tcPr>
          <w:p w:rsidR="006D0036" w:rsidRDefault="006D0036" w:rsidP="007242A3">
            <w:pPr>
              <w:framePr w:w="5035" w:h="1644" w:wrap="notBeside" w:vAnchor="page" w:hAnchor="page" w:x="6573" w:y="721"/>
            </w:pPr>
          </w:p>
        </w:tc>
      </w:tr>
      <w:tr w:rsidR="006D0036" w:rsidTr="00D46426">
        <w:tc>
          <w:tcPr>
            <w:tcW w:w="2268" w:type="dxa"/>
          </w:tcPr>
          <w:p w:rsidR="006D0036" w:rsidRDefault="006D0036" w:rsidP="007242A3">
            <w:pPr>
              <w:framePr w:w="5035" w:h="1644" w:wrap="notBeside" w:vAnchor="page" w:hAnchor="page" w:x="6573" w:y="721"/>
            </w:pPr>
            <w:r>
              <w:t>2013-09-10</w:t>
            </w:r>
          </w:p>
        </w:tc>
        <w:tc>
          <w:tcPr>
            <w:tcW w:w="2999" w:type="dxa"/>
            <w:gridSpan w:val="2"/>
          </w:tcPr>
          <w:p w:rsidR="006D0036" w:rsidRPr="00ED583F" w:rsidRDefault="006D0036" w:rsidP="007242A3">
            <w:pPr>
              <w:framePr w:w="5035" w:h="1644" w:wrap="notBeside" w:vAnchor="page" w:hAnchor="page" w:x="6573" w:y="721"/>
              <w:rPr>
                <w:sz w:val="20"/>
              </w:rPr>
            </w:pPr>
          </w:p>
        </w:tc>
      </w:tr>
      <w:tr w:rsidR="006D0036" w:rsidTr="00D46426">
        <w:tc>
          <w:tcPr>
            <w:tcW w:w="2268" w:type="dxa"/>
          </w:tcPr>
          <w:p w:rsidR="006D0036" w:rsidRDefault="006D0036" w:rsidP="007242A3">
            <w:pPr>
              <w:framePr w:w="5035" w:h="1644" w:wrap="notBeside" w:vAnchor="page" w:hAnchor="page" w:x="6573" w:y="721"/>
            </w:pPr>
          </w:p>
        </w:tc>
        <w:tc>
          <w:tcPr>
            <w:tcW w:w="2999" w:type="dxa"/>
            <w:gridSpan w:val="2"/>
          </w:tcPr>
          <w:p w:rsidR="006D0036" w:rsidRDefault="006D0036" w:rsidP="007242A3">
            <w:pPr>
              <w:framePr w:w="5035" w:h="1644" w:wrap="notBeside" w:vAnchor="page" w:hAnchor="page" w:x="6573" w:y="721"/>
            </w:pPr>
          </w:p>
        </w:tc>
      </w:tr>
    </w:tbl>
    <w:tbl>
      <w:tblPr>
        <w:tblW w:w="0" w:type="auto"/>
        <w:tblLayout w:type="fixed"/>
        <w:tblLook w:val="0000"/>
      </w:tblPr>
      <w:tblGrid>
        <w:gridCol w:w="4911"/>
      </w:tblGrid>
      <w:tr w:rsidR="006D0036">
        <w:trPr>
          <w:trHeight w:val="284"/>
        </w:trPr>
        <w:tc>
          <w:tcPr>
            <w:tcW w:w="4911" w:type="dxa"/>
          </w:tcPr>
          <w:p w:rsidR="006D0036" w:rsidRDefault="006D0036">
            <w:pPr>
              <w:pStyle w:val="Avsndare"/>
              <w:framePr w:h="2483" w:wrap="notBeside" w:x="1504"/>
              <w:rPr>
                <w:b/>
                <w:i w:val="0"/>
                <w:sz w:val="22"/>
              </w:rPr>
            </w:pPr>
            <w:r>
              <w:rPr>
                <w:b/>
                <w:i w:val="0"/>
                <w:sz w:val="22"/>
              </w:rPr>
              <w:t>Försvarsdepartementet</w:t>
            </w:r>
          </w:p>
        </w:tc>
      </w:tr>
      <w:tr w:rsidR="006D0036">
        <w:trPr>
          <w:trHeight w:val="284"/>
        </w:trPr>
        <w:tc>
          <w:tcPr>
            <w:tcW w:w="4911" w:type="dxa"/>
          </w:tcPr>
          <w:p w:rsidR="006D0036" w:rsidRDefault="006D0036">
            <w:pPr>
              <w:pStyle w:val="Avsndare"/>
              <w:framePr w:h="2483" w:wrap="notBeside" w:x="1504"/>
              <w:rPr>
                <w:bCs/>
                <w:iCs/>
              </w:rPr>
            </w:pPr>
          </w:p>
        </w:tc>
      </w:tr>
      <w:tr w:rsidR="006D0036">
        <w:trPr>
          <w:trHeight w:val="284"/>
        </w:trPr>
        <w:tc>
          <w:tcPr>
            <w:tcW w:w="4911" w:type="dxa"/>
          </w:tcPr>
          <w:p w:rsidR="006D0036" w:rsidRDefault="006D0036">
            <w:pPr>
              <w:pStyle w:val="Avsndare"/>
              <w:framePr w:h="2483" w:wrap="notBeside" w:x="1504"/>
              <w:rPr>
                <w:bCs/>
                <w:iCs/>
              </w:rPr>
            </w:pPr>
            <w:r>
              <w:rPr>
                <w:bCs/>
                <w:iCs/>
              </w:rPr>
              <w:t>Enheten för materiel, forskning och utveckling (MFU)</w:t>
            </w:r>
          </w:p>
        </w:tc>
      </w:tr>
      <w:tr w:rsidR="006D0036">
        <w:trPr>
          <w:trHeight w:val="284"/>
        </w:trPr>
        <w:tc>
          <w:tcPr>
            <w:tcW w:w="4911" w:type="dxa"/>
          </w:tcPr>
          <w:p w:rsidR="006D0036" w:rsidRDefault="006D0036">
            <w:pPr>
              <w:pStyle w:val="Avsndare"/>
              <w:framePr w:h="2483" w:wrap="notBeside" w:x="1504"/>
              <w:rPr>
                <w:bCs/>
                <w:iCs/>
              </w:rPr>
            </w:pPr>
          </w:p>
        </w:tc>
      </w:tr>
      <w:tr w:rsidR="006D0036">
        <w:trPr>
          <w:trHeight w:val="284"/>
        </w:trPr>
        <w:tc>
          <w:tcPr>
            <w:tcW w:w="4911" w:type="dxa"/>
          </w:tcPr>
          <w:p w:rsidR="006D0036" w:rsidRDefault="006D0036">
            <w:pPr>
              <w:pStyle w:val="Avsndare"/>
              <w:framePr w:h="2483" w:wrap="notBeside" w:x="1504"/>
              <w:rPr>
                <w:bCs/>
                <w:iCs/>
              </w:rPr>
            </w:pPr>
          </w:p>
        </w:tc>
      </w:tr>
      <w:tr w:rsidR="006D0036">
        <w:trPr>
          <w:trHeight w:val="284"/>
        </w:trPr>
        <w:tc>
          <w:tcPr>
            <w:tcW w:w="4911" w:type="dxa"/>
          </w:tcPr>
          <w:p w:rsidR="006D0036" w:rsidRDefault="006D0036">
            <w:pPr>
              <w:pStyle w:val="Avsndare"/>
              <w:framePr w:h="2483" w:wrap="notBeside" w:x="1504"/>
              <w:rPr>
                <w:bCs/>
                <w:iCs/>
              </w:rPr>
            </w:pPr>
          </w:p>
        </w:tc>
      </w:tr>
      <w:tr w:rsidR="006D0036">
        <w:trPr>
          <w:trHeight w:val="284"/>
        </w:trPr>
        <w:tc>
          <w:tcPr>
            <w:tcW w:w="4911" w:type="dxa"/>
          </w:tcPr>
          <w:p w:rsidR="006D0036" w:rsidRDefault="006D0036">
            <w:pPr>
              <w:pStyle w:val="Avsndare"/>
              <w:framePr w:h="2483" w:wrap="notBeside" w:x="1504"/>
              <w:rPr>
                <w:bCs/>
                <w:iCs/>
              </w:rPr>
            </w:pPr>
          </w:p>
        </w:tc>
      </w:tr>
      <w:tr w:rsidR="006D0036">
        <w:trPr>
          <w:trHeight w:val="284"/>
        </w:trPr>
        <w:tc>
          <w:tcPr>
            <w:tcW w:w="4911" w:type="dxa"/>
          </w:tcPr>
          <w:p w:rsidR="006D0036" w:rsidRDefault="006D0036">
            <w:pPr>
              <w:pStyle w:val="Avsndare"/>
              <w:framePr w:h="2483" w:wrap="notBeside" w:x="1504"/>
              <w:rPr>
                <w:bCs/>
                <w:iCs/>
              </w:rPr>
            </w:pPr>
          </w:p>
        </w:tc>
      </w:tr>
      <w:tr w:rsidR="006D0036">
        <w:trPr>
          <w:trHeight w:val="284"/>
        </w:trPr>
        <w:tc>
          <w:tcPr>
            <w:tcW w:w="4911" w:type="dxa"/>
          </w:tcPr>
          <w:p w:rsidR="006D0036" w:rsidRDefault="006D0036">
            <w:pPr>
              <w:pStyle w:val="Avsndare"/>
              <w:framePr w:h="2483" w:wrap="notBeside" w:x="1504"/>
              <w:rPr>
                <w:bCs/>
                <w:iCs/>
              </w:rPr>
            </w:pPr>
          </w:p>
        </w:tc>
      </w:tr>
    </w:tbl>
    <w:p w:rsidR="006D0036" w:rsidRPr="00D46426" w:rsidRDefault="006D0036">
      <w:pPr>
        <w:framePr w:w="4400" w:h="2523" w:wrap="notBeside" w:vAnchor="page" w:hAnchor="page" w:x="6453" w:y="2445"/>
        <w:ind w:left="142"/>
        <w:rPr>
          <w:b/>
        </w:rPr>
      </w:pPr>
    </w:p>
    <w:p w:rsidR="006D0036" w:rsidRDefault="006D0036">
      <w:pPr>
        <w:pStyle w:val="RKrubrik"/>
        <w:pBdr>
          <w:bottom w:val="single" w:sz="6" w:space="1" w:color="auto"/>
        </w:pBdr>
      </w:pPr>
      <w:bookmarkStart w:id="1" w:name="bRubrik"/>
      <w:bookmarkEnd w:id="1"/>
      <w:r>
        <w:t>Rådets möte i K 26-27 september</w:t>
      </w:r>
    </w:p>
    <w:p w:rsidR="006D0036" w:rsidRDefault="006D0036">
      <w:pPr>
        <w:pStyle w:val="RKnormal"/>
      </w:pPr>
    </w:p>
    <w:p w:rsidR="006D0036" w:rsidRDefault="006D0036">
      <w:pPr>
        <w:pStyle w:val="RKnormal"/>
      </w:pPr>
      <w:r>
        <w:t>Dagordningspunkt 5 b</w:t>
      </w:r>
    </w:p>
    <w:p w:rsidR="006D0036" w:rsidRDefault="006D0036">
      <w:pPr>
        <w:pStyle w:val="RKnormal"/>
      </w:pPr>
    </w:p>
    <w:p w:rsidR="006D0036" w:rsidRDefault="006D0036">
      <w:pPr>
        <w:pStyle w:val="RKnormal"/>
      </w:pPr>
      <w:r>
        <w:t xml:space="preserve">Rubrik: Industripolitik: </w:t>
      </w:r>
    </w:p>
    <w:p w:rsidR="006D0036" w:rsidRDefault="006D0036">
      <w:pPr>
        <w:pStyle w:val="RKnormal"/>
      </w:pPr>
    </w:p>
    <w:p w:rsidR="006D0036" w:rsidRDefault="006D0036">
      <w:pPr>
        <w:pStyle w:val="RKnormal"/>
      </w:pPr>
      <w:r>
        <w:t>Dokument: KOM (2013) 542 Meddelande från kommissionen ”</w:t>
      </w:r>
      <w:r w:rsidRPr="0091338C">
        <w:t xml:space="preserve"> </w:t>
      </w:r>
      <w:r>
        <w:t>Mot en mer konkurrenskraftig och effektiv försvars- och säkerhetssektor i EU”</w:t>
      </w:r>
    </w:p>
    <w:p w:rsidR="006D0036" w:rsidRDefault="006D0036">
      <w:pPr>
        <w:pStyle w:val="RKnormal"/>
      </w:pPr>
    </w:p>
    <w:p w:rsidR="006D0036" w:rsidRDefault="006D0036">
      <w:pPr>
        <w:pStyle w:val="RKnormal"/>
      </w:pPr>
      <w:r>
        <w:t>Tidigare dokument: Fakta-PM 2012/13 Mot en mer konkurrenskraftig och effektiv försvars- och säkerhetssektor i EU.</w:t>
      </w:r>
    </w:p>
    <w:p w:rsidR="006D0036" w:rsidRDefault="006D0036">
      <w:pPr>
        <w:pStyle w:val="RKnormal"/>
      </w:pPr>
    </w:p>
    <w:p w:rsidR="006D0036" w:rsidRDefault="006D0036">
      <w:pPr>
        <w:pStyle w:val="RKnormal"/>
      </w:pPr>
      <w:r>
        <w:t>Tidigare behandlad vid samråd med EU-nämnden: 19 april 2014 (försvarsminister Enström inför FAC 23 april</w:t>
      </w:r>
    </w:p>
    <w:p w:rsidR="006D0036" w:rsidRDefault="006D0036">
      <w:pPr>
        <w:pStyle w:val="RKrubrik"/>
      </w:pPr>
      <w:r>
        <w:t>Bakgrund</w:t>
      </w:r>
    </w:p>
    <w:p w:rsidR="006D0036" w:rsidRPr="00546AAB" w:rsidRDefault="006D0036" w:rsidP="00546AAB">
      <w:pPr>
        <w:rPr>
          <w:szCs w:val="24"/>
        </w:rPr>
      </w:pPr>
    </w:p>
    <w:p w:rsidR="006D0036" w:rsidRPr="00546AAB" w:rsidRDefault="006D0036" w:rsidP="00546AAB">
      <w:pPr>
        <w:pStyle w:val="BodyText"/>
        <w:rPr>
          <w:rFonts w:ascii="OrigGarmnd BT" w:hAnsi="OrigGarmnd BT"/>
          <w:i/>
          <w:sz w:val="24"/>
          <w:szCs w:val="24"/>
        </w:rPr>
      </w:pPr>
      <w:r w:rsidRPr="00546AAB">
        <w:rPr>
          <w:rFonts w:ascii="OrigGarmnd BT" w:hAnsi="OrigGarmnd BT"/>
          <w:sz w:val="24"/>
          <w:szCs w:val="24"/>
        </w:rPr>
        <w:t xml:space="preserve">Vid 2007 presenterade kommissionen ett paket med åtgärder inom försvarsindustriområdet som dels innehöll ett meddelande om en ”strategi för en konkurrenskraftig försvarsindustri” och dels två förslag till direktiv, försvars- och säkerhetsupphandlingsdirektivet (2009/81/EG)  och överföringsdirektivet (2009/43/EG). Se vidare faktapromemorior 2007/08:FPM124 respektive 2007/08:FPM70 och 71. </w:t>
      </w:r>
    </w:p>
    <w:p w:rsidR="006D0036" w:rsidRPr="00546AAB" w:rsidRDefault="006D0036" w:rsidP="00546AAB">
      <w:pPr>
        <w:pStyle w:val="BodyText"/>
        <w:rPr>
          <w:rFonts w:ascii="OrigGarmnd BT" w:hAnsi="OrigGarmnd BT"/>
          <w:sz w:val="24"/>
          <w:szCs w:val="24"/>
        </w:rPr>
      </w:pPr>
      <w:r w:rsidRPr="00546AAB">
        <w:rPr>
          <w:rFonts w:ascii="OrigGarmnd BT" w:hAnsi="OrigGarmnd BT"/>
          <w:sz w:val="24"/>
          <w:szCs w:val="24"/>
        </w:rPr>
        <w:t xml:space="preserve">Vid Europeiska rådet i december 2012 gav stats- och regeringscheferna den Höga representanten i uppdrag att, tillsammans med den europeiska utrikestjänsten (EEAS), kommissionen och Europeiska försvarsbyrån (EDA) utarbeta förslag på åtgärder i syfte att stärka den gemensamma säkerhets- och försvarspolitiken (GSFP). Den 24 juli 2013 presenterades kommissionens meddelande ”Mot en mer konkurrenskraftig och effektiv försvars- och säkerhetssektor”. Den är bland annat ett ingångsvärde inför  Europeiska rådet i december 2013 då stats- och regeringscheferna bl.a. ska diskutera försvarsfrågor. </w:t>
      </w:r>
    </w:p>
    <w:p w:rsidR="006D0036" w:rsidRPr="00546AAB" w:rsidRDefault="006D0036" w:rsidP="00546AAB">
      <w:pPr>
        <w:pStyle w:val="BodyText"/>
        <w:rPr>
          <w:rFonts w:ascii="OrigGarmnd BT" w:hAnsi="OrigGarmnd BT"/>
          <w:sz w:val="24"/>
          <w:szCs w:val="24"/>
        </w:rPr>
      </w:pPr>
    </w:p>
    <w:p w:rsidR="006D0036" w:rsidRDefault="006D0036">
      <w:pPr>
        <w:pStyle w:val="RKnormal"/>
      </w:pPr>
    </w:p>
    <w:p w:rsidR="006D0036" w:rsidRDefault="006D0036">
      <w:pPr>
        <w:pStyle w:val="RKrubrik"/>
      </w:pPr>
      <w:r>
        <w:t>Rättslig grund och beslutsförfarande</w:t>
      </w:r>
    </w:p>
    <w:p w:rsidR="006D0036" w:rsidRDefault="006D0036">
      <w:pPr>
        <w:pStyle w:val="RKnormal"/>
      </w:pPr>
    </w:p>
    <w:p w:rsidR="006D0036" w:rsidRPr="008C110C" w:rsidRDefault="006D0036" w:rsidP="008C110C">
      <w:pPr>
        <w:pStyle w:val="BodyText"/>
        <w:rPr>
          <w:rFonts w:ascii="OrigGarmnd BT" w:hAnsi="OrigGarmnd BT"/>
          <w:sz w:val="24"/>
          <w:szCs w:val="24"/>
        </w:rPr>
      </w:pPr>
      <w:r w:rsidRPr="008C110C">
        <w:rPr>
          <w:rFonts w:ascii="OrigGarmnd BT" w:hAnsi="OrigGarmnd BT"/>
          <w:sz w:val="24"/>
          <w:szCs w:val="24"/>
        </w:rPr>
        <w:t>Det finns ingen rättslig grund angiven i meddelandet.</w:t>
      </w:r>
    </w:p>
    <w:p w:rsidR="006D0036" w:rsidRPr="008C110C" w:rsidRDefault="006D0036" w:rsidP="008C110C">
      <w:pPr>
        <w:pStyle w:val="BodyText"/>
        <w:rPr>
          <w:rFonts w:ascii="OrigGarmnd BT" w:hAnsi="OrigGarmnd BT"/>
          <w:sz w:val="24"/>
          <w:szCs w:val="24"/>
        </w:rPr>
      </w:pPr>
      <w:r w:rsidRPr="008C110C">
        <w:rPr>
          <w:rFonts w:ascii="OrigGarmnd BT" w:hAnsi="OrigGarmnd BT"/>
          <w:sz w:val="24"/>
          <w:szCs w:val="24"/>
        </w:rPr>
        <w:t xml:space="preserve">Kommissionen har inte kommenterat subsidiaritets- och proportionalitetsprincipen då det rör sig om ett meddelande. Kommissionen konstaterar att beslut om försvarsförmågor ska tas av medlemsstaterna, men menar att EU kan bidra, genom de verktyg som finns för att genomföra strukturella förändringar. </w:t>
      </w:r>
    </w:p>
    <w:p w:rsidR="006D0036" w:rsidRPr="008C110C" w:rsidRDefault="006D0036" w:rsidP="008C110C">
      <w:pPr>
        <w:pStyle w:val="BodyText"/>
        <w:rPr>
          <w:rFonts w:ascii="OrigGarmnd BT" w:hAnsi="OrigGarmnd BT"/>
          <w:sz w:val="24"/>
          <w:szCs w:val="24"/>
        </w:rPr>
      </w:pPr>
      <w:r w:rsidRPr="008C110C">
        <w:rPr>
          <w:rFonts w:ascii="OrigGarmnd BT" w:hAnsi="OrigGarmnd BT"/>
          <w:sz w:val="24"/>
          <w:szCs w:val="24"/>
        </w:rPr>
        <w:t>Kommissionen  anför vidare att meddelandet konsoliderar regelverket som finns i och med de två direktven från 2007, och utvecklar den ytterligare, inom den kompetens som tillfaller kommissionen enligt Lissabonfördraget.</w:t>
      </w:r>
    </w:p>
    <w:p w:rsidR="006D0036" w:rsidRDefault="006D0036">
      <w:pPr>
        <w:pStyle w:val="RKrubrik"/>
        <w:rPr>
          <w:i/>
          <w:iCs/>
        </w:rPr>
      </w:pPr>
      <w:r>
        <w:rPr>
          <w:i/>
          <w:iCs/>
        </w:rPr>
        <w:t>Svensk ståndpunkt</w:t>
      </w:r>
    </w:p>
    <w:p w:rsidR="006D0036" w:rsidRPr="00295630" w:rsidRDefault="006D0036">
      <w:pPr>
        <w:pStyle w:val="RKnormal"/>
        <w:rPr>
          <w:szCs w:val="24"/>
        </w:rPr>
      </w:pPr>
    </w:p>
    <w:p w:rsidR="006D0036" w:rsidRPr="00295630" w:rsidRDefault="006D0036" w:rsidP="00434FDC">
      <w:pPr>
        <w:pStyle w:val="BodyText"/>
        <w:rPr>
          <w:rFonts w:ascii="OrigGarmnd BT" w:hAnsi="OrigGarmnd BT"/>
          <w:sz w:val="24"/>
          <w:szCs w:val="24"/>
        </w:rPr>
      </w:pPr>
    </w:p>
    <w:p w:rsidR="006D0036" w:rsidRPr="00295630" w:rsidRDefault="006D0036" w:rsidP="00434FDC">
      <w:pPr>
        <w:pStyle w:val="BodyText"/>
        <w:rPr>
          <w:rFonts w:ascii="OrigGarmnd BT" w:hAnsi="OrigGarmnd BT"/>
          <w:sz w:val="24"/>
          <w:szCs w:val="24"/>
        </w:rPr>
      </w:pPr>
      <w:r w:rsidRPr="00295630">
        <w:rPr>
          <w:rFonts w:ascii="OrigGarmnd BT" w:hAnsi="OrigGarmnd BT"/>
          <w:sz w:val="24"/>
          <w:szCs w:val="24"/>
        </w:rPr>
        <w:t>Regeringen välkomnar kommissionens meddelande som ett viktigt bidrag inför Europeiska rådet i december. Mötet i december är ett viktigt tillfälle att sätta GSFP och förmågeutveckling i ett vidare europeiskt perspektiv.</w:t>
      </w:r>
    </w:p>
    <w:p w:rsidR="006D0036" w:rsidRDefault="006D0036" w:rsidP="00434FDC">
      <w:pPr>
        <w:tabs>
          <w:tab w:val="left" w:pos="709"/>
          <w:tab w:val="left" w:pos="2835"/>
        </w:tabs>
        <w:spacing w:line="240" w:lineRule="atLeast"/>
      </w:pPr>
      <w:r w:rsidRPr="00295630">
        <w:rPr>
          <w:szCs w:val="24"/>
        </w:rPr>
        <w:t>En effektiv och konkurrenskraftig europeisk försvarsindustri (EDTIB) är en viktig del av GSFP</w:t>
      </w:r>
      <w:r w:rsidRPr="008211B3">
        <w:rPr>
          <w:szCs w:val="19"/>
        </w:rPr>
        <w:t xml:space="preserve">. </w:t>
      </w:r>
      <w:r>
        <w:rPr>
          <w:szCs w:val="19"/>
        </w:rPr>
        <w:t xml:space="preserve">Regeringen stödjer därför initiativ </w:t>
      </w:r>
      <w:r w:rsidRPr="008211B3">
        <w:rPr>
          <w:szCs w:val="19"/>
        </w:rPr>
        <w:t>som gynnar en</w:t>
      </w:r>
      <w:r>
        <w:rPr>
          <w:szCs w:val="19"/>
        </w:rPr>
        <w:t xml:space="preserve"> öppen och transparent marknad</w:t>
      </w:r>
      <w:r w:rsidRPr="00D30920">
        <w:t xml:space="preserve"> och likvärdiga konkurrensvillk</w:t>
      </w:r>
      <w:r>
        <w:t>or för den europeiska industrin.</w:t>
      </w:r>
      <w:r w:rsidRPr="00D30920">
        <w:t xml:space="preserve"> </w:t>
      </w:r>
      <w:r>
        <w:t xml:space="preserve">Regeringen välkomnar kommissionens förslag </w:t>
      </w:r>
      <w:r w:rsidRPr="00D30920">
        <w:t>att främja e</w:t>
      </w:r>
      <w:r>
        <w:t>tt</w:t>
      </w:r>
      <w:r w:rsidRPr="00D30920">
        <w:t xml:space="preserve"> enhetlig</w:t>
      </w:r>
      <w:r>
        <w:t xml:space="preserve"> genomförande</w:t>
      </w:r>
      <w:r w:rsidRPr="00D30920">
        <w:t xml:space="preserve"> av försvars- och säkerhetsu</w:t>
      </w:r>
      <w:r>
        <w:t>pphandlingsdirektivet, samt av ö</w:t>
      </w:r>
      <w:r w:rsidRPr="00D30920">
        <w:t>verföringsdirektivet</w:t>
      </w:r>
      <w:r>
        <w:t xml:space="preserve">. </w:t>
      </w:r>
    </w:p>
    <w:p w:rsidR="006D0036" w:rsidRPr="008211B3" w:rsidRDefault="006D0036" w:rsidP="00434FDC">
      <w:pPr>
        <w:tabs>
          <w:tab w:val="left" w:pos="709"/>
          <w:tab w:val="left" w:pos="2835"/>
        </w:tabs>
        <w:spacing w:line="240" w:lineRule="atLeast"/>
        <w:rPr>
          <w:szCs w:val="19"/>
        </w:rPr>
      </w:pPr>
      <w:r w:rsidRPr="00D30920">
        <w:t>Regeringens uppfattning är att den europeiska försvarsindustriella basen främjas på bästa sätt genom allmänna förutsättningar som bygger på marknadsmässiga principer</w:t>
      </w:r>
      <w:r>
        <w:t xml:space="preserve">, och på att ha så enkla och likartade förslag som möjligt för berörd industri. </w:t>
      </w:r>
      <w:r w:rsidRPr="008211B3">
        <w:rPr>
          <w:szCs w:val="19"/>
        </w:rPr>
        <w:t xml:space="preserve">Även om försvarsmaterielmarknaden till viss del har en specifik särart, är det </w:t>
      </w:r>
      <w:r>
        <w:rPr>
          <w:szCs w:val="19"/>
        </w:rPr>
        <w:t xml:space="preserve">därför </w:t>
      </w:r>
      <w:r w:rsidRPr="008211B3">
        <w:rPr>
          <w:szCs w:val="19"/>
        </w:rPr>
        <w:t>angeläget att de förslag som tas fram, så långt som möjligt är i överenstämmelse med den generella politiken inom respektive politikområde</w:t>
      </w:r>
      <w:r>
        <w:rPr>
          <w:szCs w:val="19"/>
        </w:rPr>
        <w:t xml:space="preserve">, och </w:t>
      </w:r>
      <w:r w:rsidRPr="008211B3">
        <w:rPr>
          <w:szCs w:val="19"/>
        </w:rPr>
        <w:t xml:space="preserve">syftar till att integrera försvarsindustrin i den allmänna europeiska ekonomin. </w:t>
      </w:r>
    </w:p>
    <w:p w:rsidR="006D0036" w:rsidRDefault="006D0036" w:rsidP="00434FDC">
      <w:pPr>
        <w:pStyle w:val="BodyText"/>
      </w:pPr>
      <w:r w:rsidRPr="00434FDC">
        <w:rPr>
          <w:rFonts w:ascii="OrigGarmnd BT" w:hAnsi="OrigGarmnd BT"/>
          <w:sz w:val="24"/>
          <w:szCs w:val="24"/>
        </w:rPr>
        <w:t>Sverige ser positivt på möjligheter till att nyttja civil-militära synnergier, t.ex. inom forskning och andra generella åtgärder, t.ex. avseende regelförenklingar, standardisering och certifiering. I detta arbete är det viktigt att undvika duplicering, till exempel i relationerna till Nato och den Europeiska rymdorganisationen ESA</w:t>
      </w:r>
      <w:r w:rsidRPr="00434FDC">
        <w:t>.</w:t>
      </w:r>
      <w:r>
        <w:t xml:space="preserve"> </w:t>
      </w:r>
    </w:p>
    <w:p w:rsidR="006D0036" w:rsidRDefault="006D0036" w:rsidP="00434FDC">
      <w:r w:rsidRPr="00434FDC">
        <w:t>Det är angeläget att den potential som finns för minskad energianvändning inom försvarssektorn tas tillvara, både ur ett klimatperspektiv och för att främja en resurseffektivitet och ökad försörjningstrygghet inom försvaret. Härvidlag är internationellt samarbete en viktig förutsättning, och Sverige för sådana diskussioner i flera olika fora, däribland EDA, Nato och inom ramen för det nordiska samarbetet. Ett närmare samarbete inom EU, är också en möjlighet som bör analyseras.</w:t>
      </w:r>
    </w:p>
    <w:p w:rsidR="006D0036" w:rsidRDefault="006D0036" w:rsidP="00434FDC"/>
    <w:p w:rsidR="006D0036" w:rsidRDefault="006D0036" w:rsidP="00434FDC">
      <w:r>
        <w:rPr>
          <w:szCs w:val="19"/>
        </w:rPr>
        <w:t xml:space="preserve">Det är </w:t>
      </w:r>
      <w:r w:rsidRPr="008211B3">
        <w:rPr>
          <w:szCs w:val="19"/>
        </w:rPr>
        <w:t xml:space="preserve">positivt att åtgärder vidtas för att öka det europeiska oberoendet inom försvarsområdet. Sådana åtgärder bör baseras på transparens, öppenhet och icke-protektionism. </w:t>
      </w:r>
      <w:r>
        <w:t xml:space="preserve">Regeringen hyser stor tveksamhet </w:t>
      </w:r>
      <w:r w:rsidRPr="00555922">
        <w:t>till förs</w:t>
      </w:r>
      <w:r>
        <w:t xml:space="preserve">lag som ingriper i marknadens principer </w:t>
      </w:r>
      <w:r w:rsidRPr="00555922">
        <w:t xml:space="preserve">eller riskerar att begränsa den fria handeln globalt. </w:t>
      </w:r>
      <w:r>
        <w:t xml:space="preserve">Det finns flera frågor som kan behöva klargöras i den fortsatta processen. Exempel på detta rör bl.a. </w:t>
      </w:r>
      <w:r w:rsidRPr="00AD3B23">
        <w:t xml:space="preserve">riktlinjer för försäljning av försvarsmateriel mellan regeringar </w:t>
      </w:r>
      <w:r>
        <w:t xml:space="preserve">på europeisk nivå </w:t>
      </w:r>
      <w:r w:rsidRPr="00E31233">
        <w:t>s.k.</w:t>
      </w:r>
      <w:r>
        <w:t xml:space="preserve"> ”government-to-government sales” samt</w:t>
      </w:r>
      <w:r w:rsidRPr="00AD3B23">
        <w:t xml:space="preserve"> kontr</w:t>
      </w:r>
      <w:r>
        <w:t xml:space="preserve">oll av strategiska tillgångar. </w:t>
      </w:r>
    </w:p>
    <w:p w:rsidR="006D0036" w:rsidRDefault="006D0036" w:rsidP="00434FDC">
      <w:pPr>
        <w:tabs>
          <w:tab w:val="left" w:pos="709"/>
          <w:tab w:val="left" w:pos="2835"/>
        </w:tabs>
        <w:spacing w:line="240" w:lineRule="atLeast"/>
        <w:rPr>
          <w:szCs w:val="19"/>
        </w:rPr>
      </w:pPr>
    </w:p>
    <w:p w:rsidR="006D0036" w:rsidRPr="008211B3" w:rsidRDefault="006D0036" w:rsidP="00434FDC">
      <w:pPr>
        <w:tabs>
          <w:tab w:val="left" w:pos="709"/>
          <w:tab w:val="left" w:pos="2835"/>
        </w:tabs>
        <w:spacing w:line="240" w:lineRule="atLeast"/>
        <w:rPr>
          <w:szCs w:val="19"/>
        </w:rPr>
      </w:pPr>
      <w:r>
        <w:rPr>
          <w:szCs w:val="19"/>
        </w:rPr>
        <w:t>F</w:t>
      </w:r>
      <w:r w:rsidRPr="008211B3">
        <w:rPr>
          <w:szCs w:val="19"/>
        </w:rPr>
        <w:t xml:space="preserve">örsvaret </w:t>
      </w:r>
      <w:r>
        <w:rPr>
          <w:szCs w:val="19"/>
        </w:rPr>
        <w:t xml:space="preserve">är </w:t>
      </w:r>
      <w:r w:rsidRPr="008211B3">
        <w:rPr>
          <w:szCs w:val="19"/>
        </w:rPr>
        <w:t>en nationell angelägenhet, och medlemsstaternas val av säkerhetspolitisk lösning återspeglas också i materielförsörjningen, t.ex. vad gäller synen på försörjningstrygghet.</w:t>
      </w:r>
      <w:r>
        <w:rPr>
          <w:szCs w:val="19"/>
        </w:rPr>
        <w:t xml:space="preserve"> Kompetensfrågorna behöver därför analyseras i det fortsatta arbetet</w:t>
      </w:r>
      <w:r w:rsidRPr="00434FDC">
        <w:rPr>
          <w:szCs w:val="19"/>
        </w:rPr>
        <w:t>, även vad gäller sådana frågor som EU-ägda resurser.</w:t>
      </w:r>
      <w:r>
        <w:rPr>
          <w:szCs w:val="19"/>
        </w:rPr>
        <w:t xml:space="preserve"> Regeringen vill framhålla att frågor som rör kontrollen av strategiska tillgångar, försvaret och försvarsbudgeten är medlemsstaternas ansvar.</w:t>
      </w:r>
    </w:p>
    <w:p w:rsidR="006D0036" w:rsidRDefault="006D0036">
      <w:pPr>
        <w:pStyle w:val="RKnormal"/>
      </w:pPr>
    </w:p>
    <w:p w:rsidR="006D0036" w:rsidRDefault="006D0036">
      <w:pPr>
        <w:pStyle w:val="RKrubrik"/>
      </w:pPr>
      <w:r>
        <w:t>Europaparlamentets inställning</w:t>
      </w:r>
    </w:p>
    <w:p w:rsidR="006D0036" w:rsidRDefault="006D0036">
      <w:pPr>
        <w:pStyle w:val="RKnormal"/>
      </w:pPr>
      <w:r>
        <w:t>Europaparlamentet behandlar för närvarande förslaget, och det finns inget färdigt betänkande.</w:t>
      </w:r>
    </w:p>
    <w:p w:rsidR="006D0036" w:rsidRDefault="006D0036">
      <w:pPr>
        <w:pStyle w:val="RKrubrik"/>
        <w:rPr>
          <w:i/>
          <w:iCs/>
        </w:rPr>
      </w:pPr>
      <w:r>
        <w:rPr>
          <w:i/>
          <w:iCs/>
        </w:rPr>
        <w:t>Förslaget</w:t>
      </w:r>
    </w:p>
    <w:p w:rsidR="006D0036" w:rsidRDefault="006D0036">
      <w:pPr>
        <w:pStyle w:val="RKnormal"/>
      </w:pPr>
    </w:p>
    <w:p w:rsidR="006D0036" w:rsidRDefault="006D0036" w:rsidP="00546AAB">
      <w:r w:rsidRPr="004C0F49">
        <w:t xml:space="preserve">Huvuddelen av </w:t>
      </w:r>
      <w:r>
        <w:t>k</w:t>
      </w:r>
      <w:r w:rsidRPr="004C0F49">
        <w:t xml:space="preserve">ommissionens </w:t>
      </w:r>
      <w:r>
        <w:t>meddelande</w:t>
      </w:r>
      <w:r w:rsidRPr="004C0F49">
        <w:t xml:space="preserve"> </w:t>
      </w:r>
      <w:r>
        <w:t xml:space="preserve">berör </w:t>
      </w:r>
      <w:r w:rsidRPr="004C0F49">
        <w:t xml:space="preserve">försvarsindustrifrågor och den inre marknaden, </w:t>
      </w:r>
      <w:r>
        <w:t>men även forskning och utveckling, förmågeutveckling, rymdfrågor och energi behandlas.</w:t>
      </w:r>
    </w:p>
    <w:p w:rsidR="006D0036" w:rsidRPr="00596B62" w:rsidRDefault="006D0036">
      <w:pPr>
        <w:pStyle w:val="RKnormal"/>
        <w:rPr>
          <w:szCs w:val="24"/>
        </w:rPr>
      </w:pPr>
    </w:p>
    <w:p w:rsidR="006D0036" w:rsidRPr="00596B62" w:rsidRDefault="006D0036" w:rsidP="00596B62">
      <w:pPr>
        <w:pStyle w:val="NormalIndent"/>
        <w:ind w:firstLine="0"/>
        <w:rPr>
          <w:rFonts w:ascii="OrigGarmnd BT" w:hAnsi="OrigGarmnd BT"/>
          <w:sz w:val="24"/>
          <w:szCs w:val="24"/>
        </w:rPr>
      </w:pPr>
      <w:r w:rsidRPr="00596B62">
        <w:rPr>
          <w:rFonts w:ascii="OrigGarmnd BT" w:hAnsi="OrigGarmnd BT"/>
          <w:sz w:val="24"/>
          <w:szCs w:val="24"/>
        </w:rPr>
        <w:t xml:space="preserve">Beträffande den </w:t>
      </w:r>
      <w:r w:rsidRPr="00596B62">
        <w:rPr>
          <w:rFonts w:ascii="OrigGarmnd BT" w:hAnsi="OrigGarmnd BT"/>
          <w:i/>
          <w:sz w:val="24"/>
          <w:szCs w:val="24"/>
        </w:rPr>
        <w:t>inre marknaden</w:t>
      </w:r>
      <w:r w:rsidRPr="00596B62">
        <w:rPr>
          <w:rFonts w:ascii="OrigGarmnd BT" w:hAnsi="OrigGarmnd BT"/>
          <w:sz w:val="24"/>
          <w:szCs w:val="24"/>
        </w:rPr>
        <w:t xml:space="preserve"> avser kommissionen att vidta särskilda åtgärder för att säkerställa att försvars- och säkerhetsupphandlingsdirektivet tillämpas på ett korrekt sätt. Det ska bland annat ske genom att övervaka hur medlemsstaterna genomför upphandlingar inom området, inklusive åberopande av artikel 346 i fördraget om Europeiska unionens funktionssätt (TFEU).</w:t>
      </w:r>
      <w:r w:rsidRPr="00596B62">
        <w:rPr>
          <w:rStyle w:val="FootnoteReference"/>
          <w:rFonts w:ascii="OrigGarmnd BT" w:hAnsi="OrigGarmnd BT"/>
          <w:sz w:val="24"/>
          <w:szCs w:val="24"/>
        </w:rPr>
        <w:footnoteReference w:id="1"/>
      </w:r>
      <w:r w:rsidRPr="00596B62">
        <w:rPr>
          <w:rFonts w:ascii="OrigGarmnd BT" w:hAnsi="OrigGarmnd BT"/>
          <w:sz w:val="24"/>
          <w:szCs w:val="24"/>
        </w:rPr>
        <w:t xml:space="preserve"> Detta arbete ska ske koordinerat med de åtgärder som Europeiska försvarsbyrån, EDA vidtar.</w:t>
      </w:r>
    </w:p>
    <w:p w:rsidR="006D0036" w:rsidRPr="00596B62" w:rsidRDefault="006D0036" w:rsidP="00596B62">
      <w:pPr>
        <w:pStyle w:val="NormalIndent"/>
        <w:ind w:firstLine="0"/>
        <w:rPr>
          <w:rFonts w:ascii="OrigGarmnd BT" w:hAnsi="OrigGarmnd BT"/>
          <w:sz w:val="24"/>
          <w:szCs w:val="24"/>
        </w:rPr>
      </w:pPr>
    </w:p>
    <w:p w:rsidR="006D0036" w:rsidRPr="00596B62" w:rsidRDefault="006D0036" w:rsidP="00596B62">
      <w:pPr>
        <w:pStyle w:val="NormalIndent"/>
        <w:ind w:firstLine="0"/>
        <w:rPr>
          <w:rFonts w:ascii="OrigGarmnd BT" w:hAnsi="OrigGarmnd BT"/>
          <w:sz w:val="24"/>
          <w:szCs w:val="24"/>
        </w:rPr>
      </w:pPr>
      <w:r w:rsidRPr="00596B62">
        <w:rPr>
          <w:rFonts w:ascii="OrigGarmnd BT" w:hAnsi="OrigGarmnd BT"/>
          <w:sz w:val="24"/>
          <w:szCs w:val="24"/>
        </w:rPr>
        <w:t xml:space="preserve">Kommissionen avser också att tydliggöra begränsningarna i vissa av de undantag som finns i försvars- och säkerhetsupphandlingsdirektivet, i synnerhet när det  gäller försäljning av försvarsmateriel mellan regeringar, s.k. </w:t>
      </w:r>
      <w:r w:rsidRPr="00596B62">
        <w:rPr>
          <w:rFonts w:ascii="OrigGarmnd BT" w:hAnsi="OrigGarmnd BT"/>
          <w:i/>
          <w:sz w:val="24"/>
          <w:szCs w:val="24"/>
        </w:rPr>
        <w:t xml:space="preserve">government-to-government sales, </w:t>
      </w:r>
      <w:r w:rsidRPr="00596B62">
        <w:rPr>
          <w:rFonts w:ascii="OrigGarmnd BT" w:hAnsi="OrigGarmnd BT"/>
          <w:sz w:val="24"/>
          <w:szCs w:val="24"/>
        </w:rPr>
        <w:t xml:space="preserve">och internationella överenskommelser. Man avser också att minska marknadsstörningar genom att verka för att offset avskaffas, samt säkerställa att åberopande av artikel 346 sker på ett korrekt sätt när statliga stödåtgärder vidtas. </w:t>
      </w:r>
    </w:p>
    <w:p w:rsidR="006D0036" w:rsidRPr="00596B62" w:rsidRDefault="006D0036" w:rsidP="00596B62">
      <w:pPr>
        <w:pStyle w:val="NormalIndent"/>
        <w:ind w:firstLine="0"/>
        <w:rPr>
          <w:rFonts w:ascii="OrigGarmnd BT" w:hAnsi="OrigGarmnd BT"/>
          <w:sz w:val="24"/>
          <w:szCs w:val="24"/>
        </w:rPr>
      </w:pPr>
    </w:p>
    <w:p w:rsidR="006D0036" w:rsidRPr="00596B62" w:rsidRDefault="006D0036" w:rsidP="00596B62">
      <w:pPr>
        <w:pStyle w:val="NormalIndent"/>
        <w:ind w:firstLine="0"/>
        <w:rPr>
          <w:rFonts w:ascii="OrigGarmnd BT" w:hAnsi="OrigGarmnd BT"/>
          <w:sz w:val="24"/>
          <w:szCs w:val="24"/>
        </w:rPr>
      </w:pPr>
      <w:r w:rsidRPr="00596B62">
        <w:rPr>
          <w:rFonts w:ascii="OrigGarmnd BT" w:hAnsi="OrigGarmnd BT"/>
          <w:sz w:val="24"/>
          <w:szCs w:val="24"/>
        </w:rPr>
        <w:t>Kommissionen föreslår också ett antal åtgärder för att främja unionens försörjningstrygghet, bl. a. att stödja den s k överföranderegimen (dvs de möjligheter som ges av överföringsdirektivet), och att initiera en konsultativ process med syfte att medlemsstaterna ska lämna ömsesidiga garantier om leveranssäkerhet. Man meddelar också att man avser att publicera en grönbokom strategiska industriella tillgångar, och undersöka möjligheterna för att etablera ett övervakningssystem på EU-nivå.</w:t>
      </w:r>
    </w:p>
    <w:p w:rsidR="006D0036" w:rsidRPr="00596B62" w:rsidRDefault="006D0036" w:rsidP="00596B62">
      <w:pPr>
        <w:pStyle w:val="NormalIndent"/>
        <w:ind w:firstLine="0"/>
        <w:rPr>
          <w:rFonts w:ascii="OrigGarmnd BT" w:hAnsi="OrigGarmnd BT"/>
          <w:sz w:val="24"/>
          <w:szCs w:val="24"/>
        </w:rPr>
      </w:pPr>
    </w:p>
    <w:p w:rsidR="006D0036" w:rsidRPr="00596B62" w:rsidRDefault="006D0036" w:rsidP="00596B62">
      <w:pPr>
        <w:pStyle w:val="NormalIndent"/>
        <w:ind w:firstLine="0"/>
        <w:rPr>
          <w:rFonts w:ascii="OrigGarmnd BT" w:hAnsi="OrigGarmnd BT"/>
          <w:sz w:val="24"/>
          <w:szCs w:val="24"/>
        </w:rPr>
      </w:pPr>
      <w:r w:rsidRPr="00596B62">
        <w:rPr>
          <w:rFonts w:ascii="OrigGarmnd BT" w:hAnsi="OrigGarmnd BT"/>
          <w:sz w:val="24"/>
          <w:szCs w:val="24"/>
        </w:rPr>
        <w:t xml:space="preserve">När det gäller </w:t>
      </w:r>
      <w:r w:rsidRPr="00596B62">
        <w:rPr>
          <w:rFonts w:ascii="OrigGarmnd BT" w:hAnsi="OrigGarmnd BT"/>
          <w:i/>
          <w:sz w:val="24"/>
          <w:szCs w:val="24"/>
        </w:rPr>
        <w:t xml:space="preserve">försvarsindustripolitiken </w:t>
      </w:r>
      <w:r w:rsidRPr="00596B62">
        <w:rPr>
          <w:rFonts w:ascii="OrigGarmnd BT" w:hAnsi="OrigGarmnd BT"/>
          <w:sz w:val="24"/>
          <w:szCs w:val="24"/>
        </w:rPr>
        <w:t xml:space="preserve">föreslår kommissionen att sk hybridstandarders, för produkter som kan ha både civila och militära användningsområden främjas. Man kommer också att, i samverkan med EDA och andra europeiska organisationer, undersöka möjligheterna att etablera en mekanism för att ta fram Europa-specifika militära standarders, samt att utvärdera vilka möjligheter som finns att genomföra uppgifter avseende certifiering av militär luftvärdighet. </w:t>
      </w:r>
    </w:p>
    <w:p w:rsidR="006D0036" w:rsidRPr="00596B62" w:rsidRDefault="006D0036" w:rsidP="00596B62">
      <w:pPr>
        <w:pStyle w:val="NormalIndent"/>
        <w:ind w:firstLine="0"/>
        <w:rPr>
          <w:rFonts w:ascii="OrigGarmnd BT" w:hAnsi="OrigGarmnd BT"/>
          <w:sz w:val="24"/>
          <w:szCs w:val="24"/>
        </w:rPr>
      </w:pPr>
    </w:p>
    <w:p w:rsidR="006D0036" w:rsidRPr="00596B62" w:rsidRDefault="006D0036" w:rsidP="00596B62">
      <w:pPr>
        <w:pStyle w:val="NormalIndent"/>
        <w:ind w:firstLine="0"/>
        <w:rPr>
          <w:rFonts w:ascii="OrigGarmnd BT" w:hAnsi="OrigGarmnd BT"/>
          <w:sz w:val="24"/>
          <w:szCs w:val="24"/>
        </w:rPr>
      </w:pPr>
      <w:r w:rsidRPr="00596B62">
        <w:rPr>
          <w:rFonts w:ascii="OrigGarmnd BT" w:hAnsi="OrigGarmnd BT"/>
          <w:sz w:val="24"/>
          <w:szCs w:val="24"/>
        </w:rPr>
        <w:t xml:space="preserve">Kommissionen kommer också att inom ramen för EU:s övergripande råvarustrategi, undersöka vilka råvaror som är väsentliga för försvarssektorn, och vid behov föreslå åtgärder. </w:t>
      </w:r>
    </w:p>
    <w:p w:rsidR="006D0036" w:rsidRPr="00596B62" w:rsidRDefault="006D0036" w:rsidP="00596B62">
      <w:pPr>
        <w:pStyle w:val="NormalIndent"/>
        <w:ind w:firstLine="0"/>
        <w:rPr>
          <w:rFonts w:ascii="OrigGarmnd BT" w:hAnsi="OrigGarmnd BT"/>
          <w:sz w:val="24"/>
          <w:szCs w:val="24"/>
        </w:rPr>
      </w:pPr>
    </w:p>
    <w:p w:rsidR="006D0036" w:rsidRPr="00596B62" w:rsidRDefault="006D0036" w:rsidP="00596B62">
      <w:pPr>
        <w:pStyle w:val="NormalIndent"/>
        <w:ind w:firstLine="0"/>
        <w:rPr>
          <w:rFonts w:ascii="OrigGarmnd BT" w:hAnsi="OrigGarmnd BT"/>
          <w:sz w:val="24"/>
          <w:szCs w:val="24"/>
        </w:rPr>
      </w:pPr>
      <w:r w:rsidRPr="00596B62">
        <w:rPr>
          <w:rFonts w:ascii="OrigGarmnd BT" w:hAnsi="OrigGarmnd BT"/>
          <w:sz w:val="24"/>
          <w:szCs w:val="24"/>
        </w:rPr>
        <w:t>Kommissionen lyfter vidare fram betydelsen av små- och medelstora företag och föreslår ett åtgärdspaket som bl.a. omfattar att analysera i vilken utsträckning befintliga stödåtgärder, såsom struktur- och investeringsfonder kan användas för civil-miliära projekt. Kommissionen avser också att på andra sätt stödja kluster, nätverkande och regionala partnerskap. Man pekar också på möjligheterna att använda struktur- och investeringsfonderna, samt andra program för att underlätta industrins omstruktureringsprocess.</w:t>
      </w:r>
    </w:p>
    <w:p w:rsidR="006D0036" w:rsidRPr="00596B62" w:rsidRDefault="006D0036" w:rsidP="00596B62">
      <w:pPr>
        <w:pStyle w:val="NormalIndent"/>
        <w:ind w:firstLine="0"/>
        <w:rPr>
          <w:rFonts w:ascii="OrigGarmnd BT" w:hAnsi="OrigGarmnd BT"/>
          <w:sz w:val="24"/>
          <w:szCs w:val="24"/>
        </w:rPr>
      </w:pPr>
    </w:p>
    <w:p w:rsidR="006D0036" w:rsidRPr="00596B62" w:rsidRDefault="006D0036" w:rsidP="00596B62">
      <w:pPr>
        <w:pStyle w:val="NormalIndent"/>
        <w:ind w:firstLine="0"/>
        <w:rPr>
          <w:rFonts w:ascii="OrigGarmnd BT" w:hAnsi="OrigGarmnd BT"/>
          <w:sz w:val="24"/>
          <w:szCs w:val="24"/>
          <w:lang w:eastAsia="en-US"/>
        </w:rPr>
      </w:pPr>
      <w:r w:rsidRPr="00596B62">
        <w:rPr>
          <w:rFonts w:ascii="OrigGarmnd BT" w:hAnsi="OrigGarmnd BT"/>
          <w:sz w:val="24"/>
          <w:szCs w:val="24"/>
        </w:rPr>
        <w:t xml:space="preserve">Inom </w:t>
      </w:r>
      <w:r w:rsidRPr="00596B62">
        <w:rPr>
          <w:rFonts w:ascii="OrigGarmnd BT" w:hAnsi="OrigGarmnd BT"/>
          <w:i/>
          <w:sz w:val="24"/>
          <w:szCs w:val="24"/>
        </w:rPr>
        <w:t xml:space="preserve">forsknings- och utvecklingsområdet </w:t>
      </w:r>
      <w:r w:rsidRPr="00596B62">
        <w:rPr>
          <w:rFonts w:ascii="OrigGarmnd BT" w:hAnsi="OrigGarmnd BT"/>
          <w:sz w:val="24"/>
          <w:szCs w:val="24"/>
          <w:lang w:eastAsia="en-US"/>
        </w:rPr>
        <w:t xml:space="preserve">påpekar kommissionen att även om aktiviteterna inom Horisont 2020 ska ha ett exklusivt fokus på civila applikationer, ska kommissionen analysera hur resultatet kan främja försvars- och säkerhetsindustrin. Kommissionen avser att lansera en ”för-kommersiell upphandling” av prototyper, där det första fallet skulle kunna vara till exempel CBRN-detektorer, mjukvarubaserad kommunikationsutrustning och fjärrstyrda flygplanssystem. Man kommer också att analysera möjligheterna att stödja GSFP-forskning utanför Horisont 2020, till exempel genom en Förberedande åtgärd.  </w:t>
      </w:r>
    </w:p>
    <w:p w:rsidR="006D0036" w:rsidRPr="00596B62" w:rsidRDefault="006D0036" w:rsidP="00596B62">
      <w:pPr>
        <w:pStyle w:val="NormalIndent"/>
        <w:ind w:firstLine="0"/>
        <w:rPr>
          <w:rFonts w:ascii="OrigGarmnd BT" w:hAnsi="OrigGarmnd BT"/>
          <w:sz w:val="24"/>
          <w:szCs w:val="24"/>
          <w:lang w:eastAsia="en-US"/>
        </w:rPr>
      </w:pPr>
    </w:p>
    <w:p w:rsidR="006D0036" w:rsidRPr="00596B62" w:rsidRDefault="006D0036" w:rsidP="00596B62">
      <w:pPr>
        <w:pStyle w:val="NormalIndent"/>
        <w:ind w:firstLine="0"/>
        <w:rPr>
          <w:rFonts w:ascii="OrigGarmnd BT" w:hAnsi="OrigGarmnd BT"/>
          <w:sz w:val="24"/>
          <w:szCs w:val="24"/>
          <w:highlight w:val="yellow"/>
          <w:lang w:eastAsia="en-US"/>
        </w:rPr>
      </w:pPr>
      <w:r w:rsidRPr="00596B62">
        <w:rPr>
          <w:rFonts w:ascii="OrigGarmnd BT" w:hAnsi="OrigGarmnd BT"/>
          <w:sz w:val="24"/>
          <w:szCs w:val="24"/>
          <w:lang w:eastAsia="en-US"/>
        </w:rPr>
        <w:t xml:space="preserve">Härutöver föreslår kommissionen åtgärder för att utveckla </w:t>
      </w:r>
      <w:r w:rsidRPr="00596B62">
        <w:rPr>
          <w:rFonts w:ascii="OrigGarmnd BT" w:hAnsi="OrigGarmnd BT"/>
          <w:i/>
          <w:sz w:val="24"/>
          <w:szCs w:val="24"/>
          <w:lang w:eastAsia="en-US"/>
        </w:rPr>
        <w:t>EU:s förmågor</w:t>
      </w:r>
      <w:r w:rsidRPr="00596B62">
        <w:rPr>
          <w:rFonts w:ascii="OrigGarmnd BT" w:hAnsi="OrigGarmnd BT"/>
          <w:sz w:val="24"/>
          <w:szCs w:val="24"/>
          <w:lang w:eastAsia="en-US"/>
        </w:rPr>
        <w:t xml:space="preserve">, för att säkerställa att Europa har tillgång till hela spektrumet av nödvändiga förmågor inom säkerhetsområdet, att dessa används på det mest kostnadseffektiva sättet samt att det finns nödvändig interoperabilitet mellan militära- och ickemilitära resurser inom de relevanta områdena. Det innefattar bland annat att etablera civil-militära samarbetsgrupper inomområdena detektion och hantering av olika former av terrorhot, samt att analysera EU:s behov av civil-militära-förmågor, och att baserat på en sådan analys föreslå vilka förmågebehov, om några, som eventuellt bäst skulle tillgodoses genom att resurserna anskaffas, ägs och drivs av EU. </w:t>
      </w:r>
    </w:p>
    <w:p w:rsidR="006D0036" w:rsidRPr="00596B62" w:rsidRDefault="006D0036" w:rsidP="00596B62">
      <w:pPr>
        <w:pStyle w:val="NormalIndent"/>
        <w:ind w:firstLine="0"/>
        <w:rPr>
          <w:rFonts w:ascii="OrigGarmnd BT" w:hAnsi="OrigGarmnd BT"/>
          <w:sz w:val="24"/>
          <w:szCs w:val="24"/>
          <w:highlight w:val="yellow"/>
          <w:lang w:eastAsia="en-US"/>
        </w:rPr>
      </w:pPr>
    </w:p>
    <w:p w:rsidR="006D0036" w:rsidRPr="00596B62" w:rsidRDefault="006D0036" w:rsidP="00596B62">
      <w:pPr>
        <w:pStyle w:val="NormalIndent"/>
        <w:ind w:firstLine="0"/>
        <w:rPr>
          <w:rFonts w:ascii="OrigGarmnd BT" w:hAnsi="OrigGarmnd BT"/>
          <w:sz w:val="24"/>
          <w:szCs w:val="24"/>
          <w:lang w:eastAsia="en-US"/>
        </w:rPr>
      </w:pPr>
      <w:r w:rsidRPr="00596B62">
        <w:rPr>
          <w:rFonts w:ascii="OrigGarmnd BT" w:hAnsi="OrigGarmnd BT"/>
          <w:i/>
          <w:sz w:val="24"/>
          <w:szCs w:val="24"/>
          <w:lang w:eastAsia="en-US"/>
        </w:rPr>
        <w:t>Rymden</w:t>
      </w:r>
      <w:r w:rsidRPr="00596B62">
        <w:rPr>
          <w:rFonts w:ascii="OrigGarmnd BT" w:hAnsi="OrigGarmnd BT"/>
          <w:sz w:val="24"/>
          <w:szCs w:val="24"/>
          <w:lang w:eastAsia="en-US"/>
        </w:rPr>
        <w:t xml:space="preserve"> lyfts också fram som ett viktigt område, och man föreslår åtgärder för att stödja utvecklingen av rymdövervakning (Space Surveillance and Tracking), militär satellitkommuikation samt av nya bildförmågor för att stödja GSFP- och GUSP-insatser. </w:t>
      </w:r>
    </w:p>
    <w:p w:rsidR="006D0036" w:rsidRPr="00596B62" w:rsidRDefault="006D0036" w:rsidP="00596B62">
      <w:pPr>
        <w:pStyle w:val="NormalIndent"/>
        <w:ind w:firstLine="0"/>
        <w:rPr>
          <w:rFonts w:ascii="OrigGarmnd BT" w:hAnsi="OrigGarmnd BT"/>
          <w:sz w:val="24"/>
          <w:szCs w:val="24"/>
          <w:lang w:eastAsia="en-US"/>
        </w:rPr>
      </w:pPr>
    </w:p>
    <w:p w:rsidR="006D0036" w:rsidRPr="00596B62" w:rsidRDefault="006D0036" w:rsidP="00596B62">
      <w:pPr>
        <w:pStyle w:val="NormalIndent"/>
        <w:ind w:firstLine="0"/>
        <w:rPr>
          <w:rFonts w:ascii="OrigGarmnd BT" w:hAnsi="OrigGarmnd BT"/>
          <w:sz w:val="24"/>
          <w:szCs w:val="24"/>
          <w:lang w:eastAsia="en-US"/>
        </w:rPr>
      </w:pPr>
      <w:r w:rsidRPr="00596B62">
        <w:rPr>
          <w:rFonts w:ascii="OrigGarmnd BT" w:hAnsi="OrigGarmnd BT"/>
          <w:sz w:val="24"/>
          <w:szCs w:val="24"/>
          <w:lang w:eastAsia="en-US"/>
        </w:rPr>
        <w:t xml:space="preserve">Inom </w:t>
      </w:r>
      <w:r w:rsidRPr="00596B62">
        <w:rPr>
          <w:rFonts w:ascii="OrigGarmnd BT" w:hAnsi="OrigGarmnd BT"/>
          <w:i/>
          <w:sz w:val="24"/>
          <w:szCs w:val="24"/>
          <w:lang w:eastAsia="en-US"/>
        </w:rPr>
        <w:t xml:space="preserve">energiområdet </w:t>
      </w:r>
      <w:r w:rsidRPr="00596B62">
        <w:rPr>
          <w:rFonts w:ascii="OrigGarmnd BT" w:hAnsi="OrigGarmnd BT"/>
          <w:sz w:val="24"/>
          <w:szCs w:val="24"/>
          <w:lang w:eastAsia="en-US"/>
        </w:rPr>
        <w:t>lyfter kommissionen fram den potential som finns för att minska Försvarsmaktens energianvändning samt för att öka självförsörjning av energi från icke-fossila energikällor. Kommissionen föreslår bland annat en konsultationsmekanism med medlemsstater med fokus på energieffektivisering, förnybar energi och alternativa bränslen samt på energiinfrastruktur inklusive smarta nät. Exempel på frågor som föreslås behandlas i konsultationsmekanismen är att undersöka i vilken utsträckning befintligt EU-regelverk är tillämpbart inom försvarssektorn, samt identif</w:t>
      </w:r>
      <w:r>
        <w:rPr>
          <w:rFonts w:ascii="OrigGarmnd BT" w:hAnsi="OrigGarmnd BT"/>
          <w:sz w:val="24"/>
          <w:szCs w:val="24"/>
          <w:lang w:eastAsia="en-US"/>
        </w:rPr>
        <w:t>i</w:t>
      </w:r>
      <w:r w:rsidRPr="00596B62">
        <w:rPr>
          <w:rFonts w:ascii="OrigGarmnd BT" w:hAnsi="OrigGarmnd BT"/>
          <w:sz w:val="24"/>
          <w:szCs w:val="24"/>
          <w:lang w:eastAsia="en-US"/>
        </w:rPr>
        <w:t>era möjliga åtgärder på en EU-nivå.</w:t>
      </w:r>
    </w:p>
    <w:p w:rsidR="006D0036" w:rsidRPr="00596B62" w:rsidRDefault="006D0036" w:rsidP="00596B62">
      <w:pPr>
        <w:pStyle w:val="NormalIndent"/>
        <w:ind w:firstLine="0"/>
        <w:rPr>
          <w:rFonts w:ascii="OrigGarmnd BT" w:hAnsi="OrigGarmnd BT"/>
          <w:sz w:val="24"/>
          <w:szCs w:val="24"/>
          <w:lang w:eastAsia="en-US"/>
        </w:rPr>
      </w:pPr>
    </w:p>
    <w:p w:rsidR="006D0036" w:rsidRPr="00596B62" w:rsidRDefault="006D0036" w:rsidP="00596B62">
      <w:pPr>
        <w:pStyle w:val="NormalIndent"/>
        <w:ind w:firstLine="0"/>
        <w:rPr>
          <w:rFonts w:ascii="OrigGarmnd BT" w:hAnsi="OrigGarmnd BT"/>
          <w:sz w:val="24"/>
          <w:szCs w:val="24"/>
          <w:lang w:eastAsia="en-US"/>
        </w:rPr>
      </w:pPr>
      <w:r w:rsidRPr="00596B62">
        <w:rPr>
          <w:rFonts w:ascii="OrigGarmnd BT" w:hAnsi="OrigGarmnd BT"/>
          <w:sz w:val="24"/>
          <w:szCs w:val="24"/>
          <w:lang w:eastAsia="en-US"/>
        </w:rPr>
        <w:t xml:space="preserve">Kommissionen behandlar också den </w:t>
      </w:r>
      <w:r w:rsidRPr="00596B62">
        <w:rPr>
          <w:rFonts w:ascii="OrigGarmnd BT" w:hAnsi="OrigGarmnd BT"/>
          <w:i/>
          <w:sz w:val="24"/>
          <w:szCs w:val="24"/>
          <w:lang w:eastAsia="en-US"/>
        </w:rPr>
        <w:t>externa dimensionen</w:t>
      </w:r>
      <w:r w:rsidRPr="00596B62">
        <w:rPr>
          <w:rFonts w:ascii="OrigGarmnd BT" w:hAnsi="OrigGarmnd BT"/>
          <w:sz w:val="24"/>
          <w:szCs w:val="24"/>
          <w:lang w:eastAsia="en-US"/>
        </w:rPr>
        <w:t>, och avser att etablera en dialog med berörda hur man kan stödja den europeiska försvarsindustrin på expor</w:t>
      </w:r>
      <w:r>
        <w:rPr>
          <w:rFonts w:ascii="OrigGarmnd BT" w:hAnsi="OrigGarmnd BT"/>
          <w:sz w:val="24"/>
          <w:szCs w:val="24"/>
          <w:lang w:eastAsia="en-US"/>
        </w:rPr>
        <w:t>tmarknaderna, t.ex. om EU:s ins</w:t>
      </w:r>
      <w:r w:rsidRPr="00596B62">
        <w:rPr>
          <w:rFonts w:ascii="OrigGarmnd BT" w:hAnsi="OrigGarmnd BT"/>
          <w:sz w:val="24"/>
          <w:szCs w:val="24"/>
          <w:lang w:eastAsia="en-US"/>
        </w:rPr>
        <w:t>t</w:t>
      </w:r>
      <w:r>
        <w:rPr>
          <w:rFonts w:ascii="OrigGarmnd BT" w:hAnsi="OrigGarmnd BT"/>
          <w:sz w:val="24"/>
          <w:szCs w:val="24"/>
          <w:lang w:eastAsia="en-US"/>
        </w:rPr>
        <w:t>it</w:t>
      </w:r>
      <w:r w:rsidRPr="00596B62">
        <w:rPr>
          <w:rFonts w:ascii="OrigGarmnd BT" w:hAnsi="OrigGarmnd BT"/>
          <w:sz w:val="24"/>
          <w:szCs w:val="24"/>
          <w:lang w:eastAsia="en-US"/>
        </w:rPr>
        <w:t>utioner kan främja europeiska företag i de situationer där det finns endast ett europeiskt företag som konkurrerar med andra leverantörer. Man kommer också att undersöka olika sätt att lindra eventuella negativa effekter av andra länders krav på sk offset, samt en analys av konsekvenserna av Regulation(EC) 428/2009 avseende exportkontroll av varor med dubbla användningsområden. Det senare skall följas upp med ett meddelande</w:t>
      </w:r>
      <w:r>
        <w:rPr>
          <w:rFonts w:ascii="OrigGarmnd BT" w:hAnsi="OrigGarmnd BT"/>
          <w:sz w:val="24"/>
          <w:szCs w:val="24"/>
          <w:lang w:eastAsia="en-US"/>
        </w:rPr>
        <w:t xml:space="preserve"> </w:t>
      </w:r>
      <w:r w:rsidRPr="00596B62">
        <w:rPr>
          <w:rFonts w:ascii="OrigGarmnd BT" w:hAnsi="OrigGarmnd BT"/>
          <w:sz w:val="24"/>
          <w:szCs w:val="24"/>
          <w:lang w:eastAsia="en-US"/>
        </w:rPr>
        <w:t xml:space="preserve">som beskriver en långsiktig vision för EU:s strategiska exportkontroll, samt förslag på nya initiativ. </w:t>
      </w:r>
    </w:p>
    <w:p w:rsidR="006D0036" w:rsidRPr="00596B62" w:rsidRDefault="006D0036" w:rsidP="00596B62">
      <w:pPr>
        <w:pStyle w:val="NormalIndent"/>
        <w:ind w:firstLine="0"/>
        <w:rPr>
          <w:rFonts w:ascii="OrigGarmnd BT" w:hAnsi="OrigGarmnd BT"/>
          <w:sz w:val="24"/>
          <w:szCs w:val="24"/>
          <w:lang w:eastAsia="en-US"/>
        </w:rPr>
      </w:pPr>
    </w:p>
    <w:p w:rsidR="006D0036" w:rsidRPr="00596B62" w:rsidRDefault="006D0036" w:rsidP="00596B62">
      <w:pPr>
        <w:pStyle w:val="NormalIndent"/>
        <w:ind w:firstLine="0"/>
        <w:rPr>
          <w:rFonts w:ascii="OrigGarmnd BT" w:hAnsi="OrigGarmnd BT"/>
          <w:sz w:val="24"/>
          <w:szCs w:val="24"/>
          <w:lang w:eastAsia="en-US"/>
        </w:rPr>
      </w:pPr>
      <w:r w:rsidRPr="00596B62">
        <w:rPr>
          <w:rFonts w:ascii="OrigGarmnd BT" w:hAnsi="OrigGarmnd BT"/>
          <w:sz w:val="24"/>
          <w:szCs w:val="24"/>
          <w:lang w:eastAsia="en-US"/>
        </w:rPr>
        <w:t xml:space="preserve">Meddelandet avslutas med ett antal rekommendationer till medlemsstaterna och till Europeiska Rådets diskussion i december 2013, bl.a </w:t>
      </w:r>
    </w:p>
    <w:p w:rsidR="006D0036" w:rsidRPr="00596B62" w:rsidRDefault="006D0036" w:rsidP="00596B62">
      <w:pPr>
        <w:pStyle w:val="NormalIndent"/>
        <w:numPr>
          <w:ilvl w:val="0"/>
          <w:numId w:val="1"/>
        </w:numPr>
        <w:rPr>
          <w:rFonts w:ascii="OrigGarmnd BT" w:hAnsi="OrigGarmnd BT"/>
          <w:sz w:val="24"/>
          <w:szCs w:val="24"/>
          <w:lang w:eastAsia="en-US"/>
        </w:rPr>
      </w:pPr>
      <w:r w:rsidRPr="00596B62">
        <w:rPr>
          <w:rFonts w:ascii="OrigGarmnd BT" w:hAnsi="OrigGarmnd BT"/>
          <w:sz w:val="24"/>
          <w:szCs w:val="24"/>
          <w:lang w:eastAsia="en-US"/>
        </w:rPr>
        <w:t xml:space="preserve">Europa bör utarbeta ett strategiskt angreppssätt som täcker alla aspekter av militär och icke-militär säkerhet. </w:t>
      </w:r>
    </w:p>
    <w:p w:rsidR="006D0036" w:rsidRPr="00596B62" w:rsidRDefault="006D0036" w:rsidP="00596B62">
      <w:pPr>
        <w:pStyle w:val="NormalIndent"/>
        <w:numPr>
          <w:ilvl w:val="0"/>
          <w:numId w:val="1"/>
        </w:numPr>
        <w:rPr>
          <w:rFonts w:ascii="OrigGarmnd BT" w:hAnsi="OrigGarmnd BT"/>
          <w:sz w:val="24"/>
          <w:szCs w:val="24"/>
          <w:lang w:eastAsia="en-US"/>
        </w:rPr>
      </w:pPr>
      <w:r w:rsidRPr="00596B62">
        <w:rPr>
          <w:rFonts w:ascii="OrigGarmnd BT" w:hAnsi="OrigGarmnd BT"/>
          <w:sz w:val="24"/>
          <w:szCs w:val="24"/>
          <w:lang w:eastAsia="en-US"/>
        </w:rPr>
        <w:t>Den gemensamma säkerhets- och försvarspolitiken (GSFP) bör byggas under med en gemensam europeisk politik för kapacitet och försvarsmateriel, i enlighet med art 42 i TEU</w:t>
      </w:r>
    </w:p>
    <w:p w:rsidR="006D0036" w:rsidRPr="00596B62" w:rsidRDefault="006D0036" w:rsidP="00596B62">
      <w:pPr>
        <w:pStyle w:val="NormalIndent"/>
        <w:numPr>
          <w:ilvl w:val="0"/>
          <w:numId w:val="1"/>
        </w:numPr>
        <w:rPr>
          <w:rFonts w:ascii="OrigGarmnd BT" w:hAnsi="OrigGarmnd BT"/>
          <w:sz w:val="24"/>
          <w:szCs w:val="24"/>
          <w:lang w:eastAsia="en-US"/>
        </w:rPr>
      </w:pPr>
      <w:r w:rsidRPr="00596B62">
        <w:rPr>
          <w:rFonts w:ascii="OrigGarmnd BT" w:hAnsi="OrigGarmnd BT"/>
          <w:sz w:val="24"/>
          <w:szCs w:val="24"/>
          <w:lang w:eastAsia="en-US"/>
        </w:rPr>
        <w:t>GSFP bör också koordineras med andra politikområden</w:t>
      </w:r>
    </w:p>
    <w:p w:rsidR="006D0036" w:rsidRPr="00596B62" w:rsidRDefault="006D0036" w:rsidP="00596B62">
      <w:pPr>
        <w:pStyle w:val="NormalIndent"/>
        <w:numPr>
          <w:ilvl w:val="0"/>
          <w:numId w:val="1"/>
        </w:numPr>
        <w:rPr>
          <w:rFonts w:ascii="OrigGarmnd BT" w:hAnsi="OrigGarmnd BT"/>
          <w:sz w:val="24"/>
          <w:szCs w:val="24"/>
          <w:lang w:eastAsia="en-US"/>
        </w:rPr>
      </w:pPr>
      <w:r w:rsidRPr="00596B62">
        <w:rPr>
          <w:rFonts w:ascii="OrigGarmnd BT" w:hAnsi="OrigGarmnd BT"/>
          <w:sz w:val="24"/>
          <w:szCs w:val="24"/>
          <w:lang w:eastAsia="en-US"/>
        </w:rPr>
        <w:t>För att GSFP ska vara trovärdigt, behövs en stark europeisk försvarsindustriell bas. För detta krävs en europeisk försvarsindustristrategi, som baseras på en gemensam syn av vilken autonomi Europa bör ha inom kritiska teknologiområden</w:t>
      </w:r>
    </w:p>
    <w:p w:rsidR="006D0036" w:rsidRPr="00596B62" w:rsidRDefault="006D0036" w:rsidP="00596B62">
      <w:pPr>
        <w:pStyle w:val="NormalIndent"/>
        <w:numPr>
          <w:ilvl w:val="0"/>
          <w:numId w:val="1"/>
        </w:numPr>
        <w:rPr>
          <w:rFonts w:ascii="OrigGarmnd BT" w:hAnsi="OrigGarmnd BT"/>
          <w:sz w:val="24"/>
          <w:szCs w:val="24"/>
          <w:lang w:eastAsia="en-US"/>
        </w:rPr>
      </w:pPr>
      <w:r w:rsidRPr="00596B62">
        <w:rPr>
          <w:rFonts w:ascii="OrigGarmnd BT" w:hAnsi="OrigGarmnd BT"/>
          <w:sz w:val="24"/>
          <w:szCs w:val="24"/>
          <w:lang w:eastAsia="en-US"/>
        </w:rPr>
        <w:t>För att behålla en konkurrenskraftig industri, är det nödvändigt att stärka den inre marknaden så att europeiska företag kan agera fritt i alla medlemsstater</w:t>
      </w:r>
    </w:p>
    <w:p w:rsidR="006D0036" w:rsidRPr="00596B62" w:rsidRDefault="006D0036" w:rsidP="00596B62">
      <w:pPr>
        <w:pStyle w:val="NormalIndent"/>
        <w:numPr>
          <w:ilvl w:val="0"/>
          <w:numId w:val="1"/>
        </w:numPr>
        <w:rPr>
          <w:rFonts w:ascii="OrigGarmnd BT" w:hAnsi="OrigGarmnd BT"/>
          <w:sz w:val="24"/>
          <w:szCs w:val="24"/>
          <w:lang w:eastAsia="en-US"/>
        </w:rPr>
      </w:pPr>
      <w:r w:rsidRPr="00596B62">
        <w:rPr>
          <w:rFonts w:ascii="OrigGarmnd BT" w:hAnsi="OrigGarmnd BT"/>
          <w:sz w:val="24"/>
          <w:szCs w:val="24"/>
          <w:lang w:eastAsia="en-US"/>
        </w:rPr>
        <w:t>I tider av budgetnedskärningar bör driftskostnader skäras ner, och efterfrågan på materiel harmoniseras.</w:t>
      </w:r>
    </w:p>
    <w:p w:rsidR="006D0036" w:rsidRPr="00596B62" w:rsidRDefault="006D0036" w:rsidP="00596B62">
      <w:pPr>
        <w:pStyle w:val="NormalIndent"/>
        <w:numPr>
          <w:ilvl w:val="0"/>
          <w:numId w:val="1"/>
        </w:numPr>
        <w:rPr>
          <w:rFonts w:ascii="OrigGarmnd BT" w:hAnsi="OrigGarmnd BT"/>
          <w:sz w:val="24"/>
          <w:szCs w:val="24"/>
          <w:lang w:eastAsia="en-US"/>
        </w:rPr>
      </w:pPr>
      <w:r w:rsidRPr="00596B62">
        <w:rPr>
          <w:rFonts w:ascii="OrigGarmnd BT" w:hAnsi="OrigGarmnd BT"/>
          <w:sz w:val="24"/>
          <w:szCs w:val="24"/>
          <w:lang w:eastAsia="en-US"/>
        </w:rPr>
        <w:t xml:space="preserve">Ett gemensamt EU-projekt bör definieras. </w:t>
      </w:r>
    </w:p>
    <w:p w:rsidR="006D0036" w:rsidRPr="00596B62" w:rsidRDefault="006D0036" w:rsidP="00596B62">
      <w:pPr>
        <w:pStyle w:val="NormalIndent"/>
        <w:ind w:firstLine="0"/>
        <w:rPr>
          <w:rFonts w:ascii="OrigGarmnd BT" w:hAnsi="OrigGarmnd BT"/>
          <w:sz w:val="24"/>
          <w:szCs w:val="24"/>
          <w:lang w:eastAsia="en-US"/>
        </w:rPr>
      </w:pPr>
    </w:p>
    <w:p w:rsidR="006D0036" w:rsidRDefault="006D0036">
      <w:pPr>
        <w:pStyle w:val="RKrubrik"/>
        <w:rPr>
          <w:i/>
          <w:iCs/>
        </w:rPr>
      </w:pPr>
      <w:r>
        <w:rPr>
          <w:i/>
          <w:iCs/>
        </w:rPr>
        <w:t>Gällande svenska regler och förslagets effekter på dessa</w:t>
      </w:r>
    </w:p>
    <w:p w:rsidR="006D0036" w:rsidRPr="006D3AEB" w:rsidRDefault="006D0036" w:rsidP="006D3AEB">
      <w:pPr>
        <w:pStyle w:val="BodyText"/>
        <w:rPr>
          <w:rFonts w:ascii="OrigGarmnd BT" w:hAnsi="OrigGarmnd BT"/>
          <w:sz w:val="24"/>
          <w:szCs w:val="24"/>
        </w:rPr>
      </w:pPr>
      <w:r w:rsidRPr="006D3AEB">
        <w:rPr>
          <w:rFonts w:ascii="OrigGarmnd BT" w:hAnsi="OrigGarmnd BT"/>
          <w:sz w:val="24"/>
          <w:szCs w:val="24"/>
        </w:rPr>
        <w:t xml:space="preserve">Sverige har genomfört försvars- och säkerhetsupphandlingsdirektivet (2009/81/EG) och överföringsdirektivet (2009/43/EG) i nationell lagstiftning. </w:t>
      </w:r>
    </w:p>
    <w:p w:rsidR="006D0036" w:rsidRPr="006D3AEB" w:rsidRDefault="006D0036" w:rsidP="006D3AEB">
      <w:pPr>
        <w:pStyle w:val="BodyText"/>
        <w:rPr>
          <w:rFonts w:ascii="OrigGarmnd BT" w:hAnsi="OrigGarmnd BT"/>
          <w:sz w:val="24"/>
          <w:szCs w:val="24"/>
        </w:rPr>
      </w:pPr>
      <w:r w:rsidRPr="006D3AEB">
        <w:rPr>
          <w:rFonts w:ascii="OrigGarmnd BT" w:hAnsi="OrigGarmnd BT"/>
          <w:sz w:val="24"/>
          <w:szCs w:val="24"/>
        </w:rPr>
        <w:t xml:space="preserve">Energieffektiviseringsdirektivet (2012/27/EU) ska vara genomfört i Sverige senast 5 juni 2014. Ett förslag till genomförande har utarbetats inom Regeringskansliet och är på remiss till den 16 september 2013. Direktivet riktar sig inte uttryckligen till försvarssektorn, men direktivet bedöms ha viss påverkan på försvarssektorn, framför allt  genom kraven på energieffektiviserande renovering av statligt ägda byggnader samt kraven på statliga myndigheter att köpa varor och tjänster med mycket hög energiprestanda. De sistnämnda kraven gäller dock Försvarsmakten i endast begränsad utsträckning. Försvarsmakten påverkas även av direktivets krav på stora företag (myndigheter kan vara företag) att vart fjärde år genomföra  energikartläggningar i syfte att identifiera och genomföra energieffektiviserande åtgärder.  </w:t>
      </w:r>
    </w:p>
    <w:p w:rsidR="006D0036" w:rsidRPr="006D3AEB" w:rsidRDefault="006D0036" w:rsidP="006D3AEB">
      <w:pPr>
        <w:pStyle w:val="BodyText"/>
        <w:rPr>
          <w:rFonts w:ascii="OrigGarmnd BT" w:hAnsi="OrigGarmnd BT"/>
          <w:sz w:val="24"/>
          <w:szCs w:val="24"/>
        </w:rPr>
      </w:pPr>
      <w:r w:rsidRPr="006D3AEB">
        <w:rPr>
          <w:rFonts w:ascii="OrigGarmnd BT" w:hAnsi="OrigGarmnd BT"/>
          <w:sz w:val="24"/>
          <w:szCs w:val="24"/>
        </w:rPr>
        <w:t xml:space="preserve">Kommissionens meddelande bedöms, med undantag för vad som nämnts om genomförande av energieffektiviseringsdirektivet, inte påverka nuvarande svensk reglering och därmed inte förändrad svensk lagstiftning. </w:t>
      </w:r>
    </w:p>
    <w:p w:rsidR="006D0036" w:rsidRPr="006D3AEB" w:rsidRDefault="006D0036">
      <w:pPr>
        <w:pStyle w:val="RKnormal"/>
        <w:rPr>
          <w:szCs w:val="24"/>
        </w:rPr>
      </w:pPr>
    </w:p>
    <w:p w:rsidR="006D0036" w:rsidRDefault="006D0036">
      <w:pPr>
        <w:pStyle w:val="RKrubrik"/>
      </w:pPr>
      <w:r>
        <w:t>Ekonomisk</w:t>
      </w:r>
      <w:r w:rsidRPr="006D3AEB">
        <w:rPr>
          <w:b w:val="0"/>
        </w:rPr>
        <w:t>a</w:t>
      </w:r>
      <w:r>
        <w:t xml:space="preserve"> konsekvenser</w:t>
      </w:r>
    </w:p>
    <w:p w:rsidR="006D0036" w:rsidRPr="002405B3" w:rsidRDefault="006D0036">
      <w:pPr>
        <w:pStyle w:val="RKnormal"/>
        <w:rPr>
          <w:szCs w:val="24"/>
        </w:rPr>
      </w:pPr>
    </w:p>
    <w:p w:rsidR="006D0036" w:rsidRPr="002405B3" w:rsidRDefault="006D0036" w:rsidP="002405B3">
      <w:pPr>
        <w:pStyle w:val="BodyText"/>
        <w:rPr>
          <w:rFonts w:ascii="OrigGarmnd BT" w:hAnsi="OrigGarmnd BT"/>
          <w:sz w:val="24"/>
          <w:szCs w:val="24"/>
        </w:rPr>
      </w:pPr>
      <w:r w:rsidRPr="002405B3">
        <w:rPr>
          <w:rFonts w:ascii="OrigGarmnd BT" w:hAnsi="OrigGarmnd BT"/>
          <w:sz w:val="24"/>
          <w:szCs w:val="24"/>
        </w:rPr>
        <w:t xml:space="preserve">Förslagen i meddelandet bedöms i detta skede inte få konsekvenser för vare sig för statsbudgeten eller EU:s budget. </w:t>
      </w:r>
    </w:p>
    <w:p w:rsidR="006D0036" w:rsidRDefault="006D0036">
      <w:pPr>
        <w:pStyle w:val="RKnormal"/>
      </w:pPr>
    </w:p>
    <w:p w:rsidR="006D0036" w:rsidRDefault="006D0036">
      <w:pPr>
        <w:pStyle w:val="RKrubrik"/>
      </w:pPr>
      <w:r>
        <w:t>Övrigt</w:t>
      </w:r>
    </w:p>
    <w:p w:rsidR="006D0036" w:rsidRDefault="006D0036">
      <w:pPr>
        <w:pStyle w:val="RKnormal"/>
      </w:pPr>
    </w:p>
    <w:p w:rsidR="006D0036" w:rsidRDefault="006D0036">
      <w:pPr>
        <w:pStyle w:val="RKnormal"/>
        <w:rPr>
          <w:i/>
          <w:iCs/>
        </w:rPr>
      </w:pPr>
    </w:p>
    <w:p w:rsidR="006D0036" w:rsidRDefault="006D0036">
      <w:pPr>
        <w:pStyle w:val="RKnormal"/>
        <w:ind w:left="-1134"/>
      </w:pPr>
    </w:p>
    <w:p w:rsidR="006D0036" w:rsidRDefault="006D0036">
      <w:pPr>
        <w:pStyle w:val="RKrubrik"/>
        <w:spacing w:before="0" w:after="0"/>
      </w:pPr>
    </w:p>
    <w:p w:rsidR="006D0036" w:rsidRDefault="006D0036">
      <w:pPr>
        <w:pStyle w:val="RKnormal"/>
      </w:pPr>
    </w:p>
    <w:sectPr w:rsidR="006D0036" w:rsidSect="00817E2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036" w:rsidRDefault="006D0036">
      <w:r>
        <w:separator/>
      </w:r>
    </w:p>
  </w:endnote>
  <w:endnote w:type="continuationSeparator" w:id="0">
    <w:p w:rsidR="006D0036" w:rsidRDefault="006D0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036" w:rsidRDefault="006D0036">
      <w:r>
        <w:separator/>
      </w:r>
    </w:p>
  </w:footnote>
  <w:footnote w:type="continuationSeparator" w:id="0">
    <w:p w:rsidR="006D0036" w:rsidRDefault="006D0036">
      <w:r>
        <w:continuationSeparator/>
      </w:r>
    </w:p>
  </w:footnote>
  <w:footnote w:id="1">
    <w:p w:rsidR="006D0036" w:rsidRDefault="006D0036" w:rsidP="00596B62">
      <w:pPr>
        <w:pStyle w:val="FootnoteText"/>
      </w:pPr>
      <w:r>
        <w:rPr>
          <w:rStyle w:val="FootnoteReference"/>
        </w:rPr>
        <w:footnoteRef/>
      </w:r>
      <w:r>
        <w:t xml:space="preserve"> Enligt artikel 346 får varje medlemsstat vidta åtgärder som den anser nödvändig för att skydda sina väsentliga säkerhetsintressen. Detta innefattar tillverkning av eller handel med vapen, ammunition och krigsmateriel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36" w:rsidRDefault="006D00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D0036">
      <w:trPr>
        <w:cantSplit/>
      </w:trPr>
      <w:tc>
        <w:tcPr>
          <w:tcW w:w="3119" w:type="dxa"/>
        </w:tcPr>
        <w:p w:rsidR="006D0036" w:rsidRDefault="006D0036">
          <w:pPr>
            <w:pStyle w:val="Header"/>
            <w:spacing w:line="200" w:lineRule="atLeast"/>
            <w:ind w:right="357"/>
            <w:rPr>
              <w:rFonts w:ascii="TradeGothic" w:hAnsi="TradeGothic"/>
              <w:b/>
              <w:bCs/>
              <w:sz w:val="16"/>
            </w:rPr>
          </w:pPr>
        </w:p>
      </w:tc>
      <w:tc>
        <w:tcPr>
          <w:tcW w:w="4111" w:type="dxa"/>
          <w:tcMar>
            <w:left w:w="567" w:type="dxa"/>
          </w:tcMar>
        </w:tcPr>
        <w:p w:rsidR="006D0036" w:rsidRDefault="006D0036">
          <w:pPr>
            <w:pStyle w:val="Header"/>
            <w:ind w:right="360"/>
          </w:pPr>
        </w:p>
      </w:tc>
      <w:tc>
        <w:tcPr>
          <w:tcW w:w="1525" w:type="dxa"/>
        </w:tcPr>
        <w:p w:rsidR="006D0036" w:rsidRDefault="006D0036">
          <w:pPr>
            <w:pStyle w:val="Header"/>
            <w:ind w:right="360"/>
          </w:pPr>
        </w:p>
      </w:tc>
    </w:tr>
  </w:tbl>
  <w:p w:rsidR="006D0036" w:rsidRDefault="006D003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36" w:rsidRDefault="006D00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6D0036">
      <w:trPr>
        <w:cantSplit/>
      </w:trPr>
      <w:tc>
        <w:tcPr>
          <w:tcW w:w="3119" w:type="dxa"/>
        </w:tcPr>
        <w:p w:rsidR="006D0036" w:rsidRDefault="006D0036">
          <w:pPr>
            <w:pStyle w:val="Header"/>
            <w:spacing w:line="200" w:lineRule="atLeast"/>
            <w:ind w:right="357"/>
            <w:rPr>
              <w:rFonts w:ascii="TradeGothic" w:hAnsi="TradeGothic"/>
              <w:b/>
              <w:bCs/>
              <w:sz w:val="16"/>
            </w:rPr>
          </w:pPr>
        </w:p>
      </w:tc>
      <w:tc>
        <w:tcPr>
          <w:tcW w:w="4111" w:type="dxa"/>
          <w:tcMar>
            <w:left w:w="567" w:type="dxa"/>
          </w:tcMar>
        </w:tcPr>
        <w:p w:rsidR="006D0036" w:rsidRDefault="006D0036">
          <w:pPr>
            <w:pStyle w:val="Header"/>
            <w:ind w:right="360"/>
          </w:pPr>
        </w:p>
      </w:tc>
      <w:tc>
        <w:tcPr>
          <w:tcW w:w="1525" w:type="dxa"/>
        </w:tcPr>
        <w:p w:rsidR="006D0036" w:rsidRDefault="006D0036">
          <w:pPr>
            <w:pStyle w:val="Header"/>
            <w:ind w:right="360"/>
          </w:pPr>
        </w:p>
      </w:tc>
    </w:tr>
  </w:tbl>
  <w:p w:rsidR="006D0036" w:rsidRDefault="006D003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36" w:rsidRDefault="006D0036">
    <w:pPr>
      <w:framePr w:w="2948" w:h="1321" w:hRule="exact" w:wrap="notBeside" w:vAnchor="page" w:hAnchor="page" w:x="1362" w:y="653"/>
    </w:pPr>
    <w:r w:rsidRPr="00C0488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D0036" w:rsidRDefault="006D0036">
    <w:pPr>
      <w:pStyle w:val="RKrubrik"/>
      <w:keepNext w:val="0"/>
      <w:tabs>
        <w:tab w:val="clear" w:pos="1134"/>
        <w:tab w:val="clear" w:pos="2835"/>
      </w:tabs>
      <w:spacing w:before="0" w:after="0" w:line="320" w:lineRule="atLeast"/>
      <w:rPr>
        <w:bCs/>
      </w:rPr>
    </w:pPr>
  </w:p>
  <w:p w:rsidR="006D0036" w:rsidRDefault="006D0036">
    <w:pPr>
      <w:rPr>
        <w:rFonts w:ascii="TradeGothic" w:hAnsi="TradeGothic"/>
        <w:b/>
        <w:bCs/>
        <w:spacing w:val="12"/>
        <w:sz w:val="22"/>
      </w:rPr>
    </w:pPr>
  </w:p>
  <w:p w:rsidR="006D0036" w:rsidRDefault="006D0036">
    <w:pPr>
      <w:pStyle w:val="RKrubrik"/>
      <w:keepNext w:val="0"/>
      <w:tabs>
        <w:tab w:val="clear" w:pos="1134"/>
        <w:tab w:val="clear" w:pos="2835"/>
      </w:tabs>
      <w:spacing w:before="0" w:after="0" w:line="320" w:lineRule="atLeast"/>
      <w:rPr>
        <w:bCs/>
      </w:rPr>
    </w:pPr>
  </w:p>
  <w:p w:rsidR="006D0036" w:rsidRDefault="006D003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6186A"/>
    <w:multiLevelType w:val="hybridMultilevel"/>
    <w:tmpl w:val="77346070"/>
    <w:lvl w:ilvl="0" w:tplc="CBC611A6">
      <w:start w:val="2013"/>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Försvarsdepartementet"/>
    <w:docVar w:name="Regering" w:val="N"/>
  </w:docVars>
  <w:rsids>
    <w:rsidRoot w:val="00D46426"/>
    <w:rsid w:val="00150384"/>
    <w:rsid w:val="00160901"/>
    <w:rsid w:val="001805B7"/>
    <w:rsid w:val="002405B3"/>
    <w:rsid w:val="00295630"/>
    <w:rsid w:val="002A1401"/>
    <w:rsid w:val="00367B1C"/>
    <w:rsid w:val="003E2856"/>
    <w:rsid w:val="00426EF9"/>
    <w:rsid w:val="00434FDC"/>
    <w:rsid w:val="004540C6"/>
    <w:rsid w:val="004A328D"/>
    <w:rsid w:val="004C0F49"/>
    <w:rsid w:val="00546AAB"/>
    <w:rsid w:val="00555922"/>
    <w:rsid w:val="0058762B"/>
    <w:rsid w:val="00596B62"/>
    <w:rsid w:val="005A6B11"/>
    <w:rsid w:val="00640F52"/>
    <w:rsid w:val="006D0036"/>
    <w:rsid w:val="006D3AEB"/>
    <w:rsid w:val="006E4E11"/>
    <w:rsid w:val="0071707B"/>
    <w:rsid w:val="007242A3"/>
    <w:rsid w:val="007A6855"/>
    <w:rsid w:val="00817E24"/>
    <w:rsid w:val="008211B3"/>
    <w:rsid w:val="008C110C"/>
    <w:rsid w:val="0091338C"/>
    <w:rsid w:val="0092027A"/>
    <w:rsid w:val="00955E31"/>
    <w:rsid w:val="00992E72"/>
    <w:rsid w:val="00AD3B23"/>
    <w:rsid w:val="00AF26D1"/>
    <w:rsid w:val="00C04884"/>
    <w:rsid w:val="00CB57CB"/>
    <w:rsid w:val="00D133D7"/>
    <w:rsid w:val="00D30920"/>
    <w:rsid w:val="00D46426"/>
    <w:rsid w:val="00E31233"/>
    <w:rsid w:val="00E80146"/>
    <w:rsid w:val="00E904D0"/>
    <w:rsid w:val="00EC13AD"/>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2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17E2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817E24"/>
    <w:pPr>
      <w:spacing w:before="360"/>
      <w:outlineLvl w:val="1"/>
    </w:pPr>
  </w:style>
  <w:style w:type="paragraph" w:styleId="Heading3">
    <w:name w:val="heading 3"/>
    <w:basedOn w:val="Heading2"/>
    <w:next w:val="RKnormal"/>
    <w:link w:val="Heading3Char"/>
    <w:uiPriority w:val="99"/>
    <w:qFormat/>
    <w:rsid w:val="00817E24"/>
    <w:pPr>
      <w:spacing w:after="120" w:line="240" w:lineRule="atLeast"/>
      <w:outlineLvl w:val="2"/>
    </w:pPr>
    <w:rPr>
      <w:b w:val="0"/>
    </w:rPr>
  </w:style>
  <w:style w:type="paragraph" w:styleId="Heading4">
    <w:name w:val="heading 4"/>
    <w:basedOn w:val="Heading3"/>
    <w:next w:val="RKnormal"/>
    <w:link w:val="Heading4Char"/>
    <w:uiPriority w:val="99"/>
    <w:qFormat/>
    <w:rsid w:val="00817E2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E6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D3E6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D3E6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D3E6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17E2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17E2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D3E68"/>
    <w:rPr>
      <w:rFonts w:ascii="OrigGarmnd BT" w:hAnsi="OrigGarmnd BT"/>
      <w:sz w:val="24"/>
      <w:szCs w:val="20"/>
      <w:lang w:eastAsia="en-US"/>
    </w:rPr>
  </w:style>
  <w:style w:type="paragraph" w:styleId="Header">
    <w:name w:val="header"/>
    <w:basedOn w:val="Normal"/>
    <w:link w:val="HeaderChar"/>
    <w:uiPriority w:val="99"/>
    <w:rsid w:val="00817E24"/>
    <w:pPr>
      <w:tabs>
        <w:tab w:val="center" w:pos="4153"/>
        <w:tab w:val="right" w:pos="8306"/>
      </w:tabs>
    </w:pPr>
  </w:style>
  <w:style w:type="character" w:customStyle="1" w:styleId="HeaderChar">
    <w:name w:val="Header Char"/>
    <w:basedOn w:val="DefaultParagraphFont"/>
    <w:link w:val="Header"/>
    <w:uiPriority w:val="99"/>
    <w:semiHidden/>
    <w:rsid w:val="009D3E68"/>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817E2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17E24"/>
    <w:rPr>
      <w:rFonts w:cs="Times New Roman"/>
    </w:rPr>
  </w:style>
  <w:style w:type="paragraph" w:styleId="BalloonText">
    <w:name w:val="Balloon Text"/>
    <w:basedOn w:val="Normal"/>
    <w:link w:val="BalloonTextChar"/>
    <w:uiPriority w:val="99"/>
    <w:rsid w:val="009133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1338C"/>
    <w:rPr>
      <w:rFonts w:ascii="Tahoma" w:hAnsi="Tahoma" w:cs="Tahoma"/>
      <w:sz w:val="16"/>
      <w:szCs w:val="16"/>
      <w:lang w:eastAsia="en-US"/>
    </w:rPr>
  </w:style>
  <w:style w:type="paragraph" w:styleId="NormalIndent">
    <w:name w:val="Normal Indent"/>
    <w:basedOn w:val="Normal"/>
    <w:uiPriority w:val="99"/>
    <w:rsid w:val="00546AAB"/>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odyText">
    <w:name w:val="Body Text"/>
    <w:basedOn w:val="Normal"/>
    <w:link w:val="BodyTextChar"/>
    <w:uiPriority w:val="99"/>
    <w:rsid w:val="00546AAB"/>
    <w:pPr>
      <w:overflowPunct/>
      <w:autoSpaceDE/>
      <w:autoSpaceDN/>
      <w:adjustRightInd/>
      <w:spacing w:before="122" w:after="120" w:line="245" w:lineRule="exact"/>
      <w:jc w:val="both"/>
      <w:textAlignment w:val="auto"/>
    </w:pPr>
    <w:rPr>
      <w:rFonts w:ascii="Times New Roman" w:hAnsi="Times New Roman"/>
      <w:sz w:val="19"/>
      <w:lang w:eastAsia="sv-SE"/>
    </w:rPr>
  </w:style>
  <w:style w:type="character" w:customStyle="1" w:styleId="BodyTextChar">
    <w:name w:val="Body Text Char"/>
    <w:basedOn w:val="DefaultParagraphFont"/>
    <w:link w:val="BodyText"/>
    <w:uiPriority w:val="99"/>
    <w:locked/>
    <w:rsid w:val="00546AAB"/>
    <w:rPr>
      <w:rFonts w:cs="Times New Roman"/>
      <w:sz w:val="19"/>
    </w:rPr>
  </w:style>
  <w:style w:type="character" w:styleId="CommentReference">
    <w:name w:val="annotation reference"/>
    <w:basedOn w:val="DefaultParagraphFont"/>
    <w:uiPriority w:val="99"/>
    <w:rsid w:val="008C110C"/>
    <w:rPr>
      <w:rFonts w:cs="Times New Roman"/>
      <w:sz w:val="16"/>
    </w:rPr>
  </w:style>
  <w:style w:type="paragraph" w:styleId="CommentText">
    <w:name w:val="annotation text"/>
    <w:basedOn w:val="Normal"/>
    <w:link w:val="CommentTextChar"/>
    <w:uiPriority w:val="99"/>
    <w:rsid w:val="008C110C"/>
    <w:pPr>
      <w:overflowPunct/>
      <w:autoSpaceDE/>
      <w:autoSpaceDN/>
      <w:adjustRightInd/>
      <w:spacing w:before="122" w:line="245" w:lineRule="exact"/>
      <w:textAlignment w:val="auto"/>
    </w:pPr>
    <w:rPr>
      <w:rFonts w:ascii="Times New Roman" w:hAnsi="Times New Roman"/>
      <w:sz w:val="20"/>
      <w:lang w:eastAsia="sv-SE"/>
    </w:rPr>
  </w:style>
  <w:style w:type="character" w:customStyle="1" w:styleId="CommentTextChar">
    <w:name w:val="Comment Text Char"/>
    <w:basedOn w:val="DefaultParagraphFont"/>
    <w:link w:val="CommentText"/>
    <w:uiPriority w:val="99"/>
    <w:locked/>
    <w:rsid w:val="008C110C"/>
    <w:rPr>
      <w:rFonts w:cs="Times New Roman"/>
    </w:rPr>
  </w:style>
  <w:style w:type="character" w:styleId="FootnoteReference">
    <w:name w:val="footnote reference"/>
    <w:basedOn w:val="DefaultParagraphFont"/>
    <w:uiPriority w:val="99"/>
    <w:rsid w:val="00596B62"/>
    <w:rPr>
      <w:rFonts w:cs="Times New Roman"/>
      <w:vertAlign w:val="superscript"/>
    </w:rPr>
  </w:style>
  <w:style w:type="paragraph" w:styleId="FootnoteText">
    <w:name w:val="footnote text"/>
    <w:basedOn w:val="Normal"/>
    <w:link w:val="FootnoteTextChar"/>
    <w:uiPriority w:val="99"/>
    <w:rsid w:val="00596B62"/>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596B62"/>
    <w:rPr>
      <w:rFonts w:cs="Times New Roman"/>
      <w:sz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1750</Words>
  <Characters>11713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dc:title>
  <dc:subject/>
  <dc:creator>Christina Wilén</dc:creator>
  <cp:keywords/>
  <dc:description/>
  <cp:lastModifiedBy>kn0320aa</cp:lastModifiedBy>
  <cp:revision>2</cp:revision>
  <cp:lastPrinted>2013-09-16T11:16:00Z</cp:lastPrinted>
  <dcterms:created xsi:type="dcterms:W3CDTF">2013-09-16T11:16:00Z</dcterms:created>
  <dcterms:modified xsi:type="dcterms:W3CDTF">2013-09-16T11:16:00Z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0x01010053E1D612BA3F4E21AA250ECD751942B300FFFE54F9AACC664EB22208433477F79A</vt:lpwstr>
  </property>
  <property fmtid="{D5CDD505-2E9C-101B-9397-08002B2CF9AE}" pid="6" name="_dlc_DocIdItemGuid">
    <vt:lpwstr>1252f763-4c42-4637-ad3b-83def345a3b7</vt:lpwstr>
  </property>
  <property fmtid="{D5CDD505-2E9C-101B-9397-08002B2CF9AE}" pid="7" name="TaxCatchAll">
    <vt:lpwstr/>
  </property>
  <property fmtid="{D5CDD505-2E9C-101B-9397-08002B2CF9AE}" pid="8" name="c9cd366cc722410295b9eacffbd73909">
    <vt:lpwstr/>
  </property>
  <property fmtid="{D5CDD505-2E9C-101B-9397-08002B2CF9AE}" pid="9" name="RKOrdnaClass">
    <vt:lpwstr/>
  </property>
  <property fmtid="{D5CDD505-2E9C-101B-9397-08002B2CF9AE}" pid="10" name="Diarienummer">
    <vt:lpwstr/>
  </property>
  <property fmtid="{D5CDD505-2E9C-101B-9397-08002B2CF9AE}" pid="11" name="Sekretess">
    <vt:lpwstr/>
  </property>
  <property fmtid="{D5CDD505-2E9C-101B-9397-08002B2CF9AE}" pid="12" name="k46d94c0acf84ab9a79866a9d8b1905f">
    <vt:lpwstr/>
  </property>
  <property fmtid="{D5CDD505-2E9C-101B-9397-08002B2CF9AE}" pid="13" name="Nyckelord">
    <vt:lpwstr/>
  </property>
  <property fmtid="{D5CDD505-2E9C-101B-9397-08002B2CF9AE}" pid="14" name="RKOrdnaCheckInComment">
    <vt:lpwstr/>
  </property>
  <property fmtid="{D5CDD505-2E9C-101B-9397-08002B2CF9AE}" pid="15" name="_dlc_DocId">
    <vt:lpwstr>4UDMMWSFUJUV-4-746</vt:lpwstr>
  </property>
  <property fmtid="{D5CDD505-2E9C-101B-9397-08002B2CF9AE}" pid="16" name="_dlc_DocIdUrl">
    <vt:lpwstr>http://rkdhs-gem/yta/KKR-N/_layouts/DocIdRedir.aspx?ID=4UDMMWSFUJUV-4-746, 4UDMMWSFUJUV-4-746</vt:lpwstr>
  </property>
</Properties>
</file>