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53F46">
        <w:tblPrEx>
          <w:tblCellMar>
            <w:top w:w="0" w:type="dxa"/>
            <w:bottom w:w="0" w:type="dxa"/>
          </w:tblCellMar>
        </w:tblPrEx>
        <w:trPr>
          <w:cantSplit/>
          <w:trHeight w:hRule="exact" w:val="1260"/>
        </w:trPr>
        <w:tc>
          <w:tcPr>
            <w:tcW w:w="6024" w:type="dxa"/>
            <w:gridSpan w:val="2"/>
            <w:vMerge w:val="restart"/>
          </w:tcPr>
          <w:p w:rsidR="00093FFE" w:rsidRPr="00C53F46" w:rsidRDefault="00093FFE">
            <w:pPr>
              <w:pStyle w:val="HuvudRubrik"/>
            </w:pPr>
            <w:bookmarkStart w:id="0" w:name="BetänkandeRubrik"/>
            <w:bookmarkEnd w:id="0"/>
            <w:r w:rsidRPr="00C53F46">
              <w:t>Lagutskottets betänkande</w:t>
            </w:r>
            <w:r w:rsidR="00C53F46" w:rsidRPr="00C53F4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07456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93FFE" w:rsidRPr="00C53F46" w:rsidRDefault="00093FFE">
                                  <w:pPr>
                                    <w:pStyle w:val="Logo"/>
                                  </w:pPr>
                                  <w:r w:rsidRPr="00C53F4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3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93FFE" w:rsidRPr="00C53F46" w:rsidRDefault="00093FFE">
                            <w:pPr>
                              <w:pStyle w:val="Logo"/>
                            </w:pPr>
                            <w:r w:rsidRPr="00C53F46">
                              <w:object w:dxaOrig="840" w:dyaOrig="1545">
                                <v:shape id="_x0000_i1025" type="#_x0000_t75" style="width:90.45pt;height:77.15pt" fillcolor="window">
                                  <v:imagedata r:id="rId6" o:title="" cropright="-75835f"/>
                                </v:shape>
                                <o:OLEObject Type="Embed" ProgID="Word.Picture.8" ShapeID="_x0000_i1025" DrawAspect="Content" ObjectID="_1827344735" r:id="rId8"/>
                              </w:object>
                            </w:r>
                          </w:p>
                        </w:txbxContent>
                      </v:textbox>
                      <w10:wrap anchorx="page" anchory="page"/>
                    </v:shape>
                  </w:pict>
                </mc:Fallback>
              </mc:AlternateContent>
            </w:r>
          </w:p>
          <w:p w:rsidR="00093FFE" w:rsidRPr="00C53F46" w:rsidRDefault="00093FFE">
            <w:pPr>
              <w:pStyle w:val="HuvudRubrikRad2"/>
            </w:pPr>
            <w:bookmarkStart w:id="17" w:name="BetänkandeNr"/>
            <w:bookmarkEnd w:id="17"/>
            <w:r w:rsidRPr="00C53F46">
              <w:t>1999/2000:LU23</w:t>
            </w:r>
          </w:p>
          <w:p w:rsidR="00093FFE" w:rsidRPr="00C53F46" w:rsidRDefault="00093FFE">
            <w:pPr>
              <w:pStyle w:val="BetnkandeRubrik"/>
            </w:pPr>
            <w:bookmarkStart w:id="18" w:name="Huvudrubrik"/>
            <w:bookmarkEnd w:id="18"/>
            <w:r w:rsidRPr="00C53F46">
              <w:t>Ändringar i varumärkeslagen</w:t>
            </w:r>
          </w:p>
        </w:tc>
        <w:tc>
          <w:tcPr>
            <w:tcW w:w="1559" w:type="dxa"/>
            <w:tcBorders>
              <w:bottom w:val="nil"/>
            </w:tcBorders>
          </w:tcPr>
          <w:p w:rsidR="00093FFE" w:rsidRPr="00C53F46" w:rsidRDefault="00093FFE">
            <w:pPr>
              <w:spacing w:before="0" w:line="230" w:lineRule="auto"/>
              <w:rPr>
                <w:sz w:val="24"/>
              </w:rPr>
            </w:pPr>
          </w:p>
        </w:tc>
      </w:tr>
      <w:tr w:rsidR="00000000" w:rsidRPr="00C53F46">
        <w:tblPrEx>
          <w:tblCellMar>
            <w:top w:w="0" w:type="dxa"/>
            <w:bottom w:w="0" w:type="dxa"/>
          </w:tblCellMar>
        </w:tblPrEx>
        <w:trPr>
          <w:cantSplit/>
          <w:trHeight w:hRule="exact" w:val="240"/>
        </w:trPr>
        <w:tc>
          <w:tcPr>
            <w:tcW w:w="6024" w:type="dxa"/>
            <w:gridSpan w:val="2"/>
            <w:vMerge/>
            <w:tcBorders>
              <w:top w:val="nil"/>
              <w:bottom w:val="nil"/>
            </w:tcBorders>
          </w:tcPr>
          <w:p w:rsidR="00093FFE" w:rsidRPr="00C53F46" w:rsidRDefault="00093FFE">
            <w:pPr>
              <w:spacing w:before="40" w:after="900" w:line="280" w:lineRule="exact"/>
              <w:jc w:val="left"/>
              <w:rPr>
                <w:sz w:val="28"/>
              </w:rPr>
            </w:pPr>
          </w:p>
        </w:tc>
        <w:tc>
          <w:tcPr>
            <w:tcW w:w="1559" w:type="dxa"/>
          </w:tcPr>
          <w:p w:rsidR="00093FFE" w:rsidRPr="00C53F46" w:rsidRDefault="00093FFE">
            <w:pPr>
              <w:pStyle w:val="rtal"/>
            </w:pPr>
            <w:r w:rsidRPr="00C53F46">
              <w:t>1999/2000</w:t>
            </w:r>
          </w:p>
        </w:tc>
      </w:tr>
      <w:tr w:rsidR="00000000" w:rsidRPr="00C53F46">
        <w:tblPrEx>
          <w:tblCellMar>
            <w:top w:w="0" w:type="dxa"/>
            <w:bottom w:w="0" w:type="dxa"/>
          </w:tblCellMar>
        </w:tblPrEx>
        <w:trPr>
          <w:cantSplit/>
          <w:trHeight w:val="560"/>
        </w:trPr>
        <w:tc>
          <w:tcPr>
            <w:tcW w:w="6024" w:type="dxa"/>
            <w:gridSpan w:val="2"/>
            <w:vMerge/>
            <w:tcBorders>
              <w:top w:val="nil"/>
              <w:bottom w:val="single" w:sz="6" w:space="0" w:color="auto"/>
            </w:tcBorders>
          </w:tcPr>
          <w:p w:rsidR="00093FFE" w:rsidRPr="00C53F46" w:rsidRDefault="00093FFE">
            <w:pPr>
              <w:spacing w:before="40" w:after="900" w:line="280" w:lineRule="exact"/>
              <w:jc w:val="left"/>
              <w:rPr>
                <w:sz w:val="28"/>
              </w:rPr>
            </w:pPr>
          </w:p>
        </w:tc>
        <w:tc>
          <w:tcPr>
            <w:tcW w:w="1559" w:type="dxa"/>
            <w:tcBorders>
              <w:bottom w:val="single" w:sz="6" w:space="0" w:color="auto"/>
            </w:tcBorders>
          </w:tcPr>
          <w:p w:rsidR="00093FFE" w:rsidRPr="00C53F46" w:rsidRDefault="00093FFE">
            <w:pPr>
              <w:pStyle w:val="rtal"/>
            </w:pPr>
            <w:r w:rsidRPr="00C53F46">
              <w:t>LU23</w:t>
            </w:r>
          </w:p>
        </w:tc>
      </w:tr>
      <w:tr w:rsidR="00000000" w:rsidRPr="00C53F46">
        <w:tblPrEx>
          <w:tblCellMar>
            <w:top w:w="0" w:type="dxa"/>
            <w:bottom w:w="0" w:type="dxa"/>
          </w:tblCellMar>
        </w:tblPrEx>
        <w:trPr>
          <w:cantSplit/>
          <w:trHeight w:hRule="exact" w:val="660"/>
        </w:trPr>
        <w:tc>
          <w:tcPr>
            <w:tcW w:w="3012" w:type="dxa"/>
          </w:tcPr>
          <w:p w:rsidR="00093FFE" w:rsidRPr="00C53F46" w:rsidRDefault="00093FFE">
            <w:pPr>
              <w:pStyle w:val="StatusSida1"/>
            </w:pPr>
          </w:p>
        </w:tc>
        <w:tc>
          <w:tcPr>
            <w:tcW w:w="3012" w:type="dxa"/>
          </w:tcPr>
          <w:p w:rsidR="00093FFE" w:rsidRPr="00C53F46" w:rsidRDefault="00093FFE">
            <w:pPr>
              <w:pStyle w:val="UtskriftsdatumSida1"/>
              <w:rPr>
                <w:b/>
                <w:sz w:val="28"/>
              </w:rPr>
            </w:pPr>
          </w:p>
        </w:tc>
        <w:tc>
          <w:tcPr>
            <w:tcW w:w="1559" w:type="dxa"/>
          </w:tcPr>
          <w:p w:rsidR="00093FFE" w:rsidRPr="00C53F46" w:rsidRDefault="00093FFE"/>
        </w:tc>
      </w:tr>
    </w:tbl>
    <w:p w:rsidR="00093FFE" w:rsidRPr="00C53F46" w:rsidRDefault="00093FFE">
      <w:pPr>
        <w:pStyle w:val="Rubrik1"/>
      </w:pPr>
      <w:bookmarkStart w:id="19" w:name="Textstart"/>
      <w:bookmarkStart w:id="20" w:name="_Toc479749989"/>
      <w:bookmarkEnd w:id="19"/>
      <w:r w:rsidRPr="00C53F46">
        <w:t>Sammanfattning</w:t>
      </w:r>
    </w:p>
    <w:p w:rsidR="00093FFE" w:rsidRPr="00C53F46" w:rsidRDefault="00093FFE">
      <w:r w:rsidRPr="00C53F46">
        <w:t>I betänkandet behandlar utskottet regeringens proposition 1999/2000:93 om ändringar i varumärkeslagen. De föreslagna ändringarna innebär en anpas</w:t>
      </w:r>
      <w:r w:rsidRPr="00C53F46">
        <w:t>s</w:t>
      </w:r>
      <w:r w:rsidRPr="00C53F46">
        <w:t>ning av varumärkeslagen till artikel 7 i rådets första direktiv 89/104/EEG om tillnärmning av medlemsstaternas varumärkeslagar såsom artikeln tolkats i EG-domstolens praxis.</w:t>
      </w:r>
    </w:p>
    <w:p w:rsidR="00093FFE" w:rsidRPr="00C53F46" w:rsidRDefault="00093FFE">
      <w:pPr>
        <w:pStyle w:val="Normaltindrag"/>
      </w:pPr>
      <w:r w:rsidRPr="00C53F46">
        <w:t>Lagändringarna föreslås träda i kraft den 1 juli 2000.</w:t>
      </w:r>
    </w:p>
    <w:p w:rsidR="00093FFE" w:rsidRPr="00C53F46" w:rsidRDefault="00093FFE">
      <w:pPr>
        <w:pStyle w:val="Normaltindrag"/>
      </w:pPr>
      <w:r w:rsidRPr="00C53F46">
        <w:t>Propositionen, som inte föranlett någon motion, tillstyrks av utskottet.</w:t>
      </w:r>
    </w:p>
    <w:p w:rsidR="00093FFE" w:rsidRPr="00C53F46" w:rsidRDefault="00093FFE">
      <w:pPr>
        <w:pStyle w:val="Rubrik1"/>
      </w:pPr>
      <w:r w:rsidRPr="00C53F46">
        <w:t>Propositionen</w:t>
      </w:r>
      <w:bookmarkEnd w:id="20"/>
    </w:p>
    <w:p w:rsidR="00093FFE" w:rsidRPr="00C53F46" w:rsidRDefault="00093FFE">
      <w:r w:rsidRPr="00C53F46">
        <w:t>I proposition 1999/2000:93 föreslår regeringen (Justitiedepartementet) – efter hörande av Lagrådet – att riksdagen antar det i propositionen framlagda förslaget till lag om ändring i varumärkeslagen (1960:644).</w:t>
      </w:r>
    </w:p>
    <w:p w:rsidR="00093FFE" w:rsidRPr="00C53F46" w:rsidRDefault="00093FFE">
      <w:pPr>
        <w:pStyle w:val="Normaltindrag"/>
      </w:pPr>
      <w:r w:rsidRPr="00C53F46">
        <w:t>Lagförslaget har intagits som bilaga till betänkandet.</w:t>
      </w:r>
    </w:p>
    <w:p w:rsidR="00093FFE" w:rsidRPr="00C53F46" w:rsidRDefault="00093FFE">
      <w:pPr>
        <w:pStyle w:val="Rubrik1"/>
      </w:pPr>
      <w:bookmarkStart w:id="21" w:name="_Toc479749991"/>
      <w:r w:rsidRPr="00C53F46">
        <w:t>Utskottet</w:t>
      </w:r>
      <w:bookmarkEnd w:id="21"/>
    </w:p>
    <w:p w:rsidR="00093FFE" w:rsidRPr="00C53F46" w:rsidRDefault="00093FFE">
      <w:pPr>
        <w:pStyle w:val="Rubrik2"/>
        <w:spacing w:before="123"/>
      </w:pPr>
      <w:r w:rsidRPr="00C53F46">
        <w:t>Bakgrund</w:t>
      </w:r>
    </w:p>
    <w:p w:rsidR="00093FFE" w:rsidRPr="00C53F46" w:rsidRDefault="00093FFE">
      <w:r w:rsidRPr="00C53F46">
        <w:t>Varumärkesrätten, som hör till den del av immaterialrätten som brukar b</w:t>
      </w:r>
      <w:r w:rsidRPr="00C53F46">
        <w:t>e</w:t>
      </w:r>
      <w:r w:rsidRPr="00C53F46">
        <w:t>tecknas industriellt rättsskydd, ger innehavaren av ett varumärke en ensa</w:t>
      </w:r>
      <w:r w:rsidRPr="00C53F46">
        <w:t>m</w:t>
      </w:r>
      <w:r w:rsidRPr="00C53F46">
        <w:t>rätt att använda varumärket som symbol för varor eller tjänster som tillha</w:t>
      </w:r>
      <w:r w:rsidRPr="00C53F46">
        <w:t>n</w:t>
      </w:r>
      <w:r w:rsidRPr="00C53F46">
        <w:t>dahålls i dennes näringsverksamhet. Ensamrätten innebär att någon annan inte i näringsverksamhet får använda ett varumärke som kan förväxlas med det skyddade för varor eller tjänster av samma eller liknande slag. Genom sitt varumärke kan varumärkesinnehavaren särskilja och framhäva sina varor i förhållande till övriga varor på marknaden. Även för konsumenterna</w:t>
      </w:r>
      <w:r w:rsidRPr="00C53F46">
        <w:t xml:space="preserve"> fyller varumärket en viktig funktion genom att underlätta identifieringen av varor.</w:t>
      </w:r>
    </w:p>
    <w:p w:rsidR="00093FFE" w:rsidRPr="00C53F46" w:rsidRDefault="00093FFE">
      <w:pPr>
        <w:pStyle w:val="Normaltindrag"/>
      </w:pPr>
      <w:r w:rsidRPr="00C53F46">
        <w:t>I likhet med vad som gäller för övriga rättigheter inom det industriella rättsskyddet är ensamrätten till ett varumärke i princip nationellt begränsad. Varje land bestämmer följaktigen, med de begränsningar som följer av inte</w:t>
      </w:r>
      <w:r w:rsidRPr="00C53F46">
        <w:t>r</w:t>
      </w:r>
      <w:r w:rsidRPr="00C53F46">
        <w:t>nati</w:t>
      </w:r>
      <w:r w:rsidRPr="00C53F46">
        <w:t>o</w:t>
      </w:r>
      <w:r w:rsidRPr="00C53F46">
        <w:t>nella åtaganden, bl.a. vad ensamrätten till ett varumärke innebär.</w:t>
      </w:r>
    </w:p>
    <w:p w:rsidR="00093FFE" w:rsidRPr="00C53F46" w:rsidRDefault="00093FFE">
      <w:pPr>
        <w:pStyle w:val="Normaltindrag"/>
      </w:pPr>
      <w:r w:rsidRPr="00C53F46">
        <w:t>Normalt gäller ensamrätten att använda ett varumärke för en viss vara e</w:t>
      </w:r>
      <w:r w:rsidRPr="00C53F46">
        <w:t>n</w:t>
      </w:r>
      <w:r w:rsidRPr="00C53F46">
        <w:t xml:space="preserve">dast när den varan första gången förs ut på marknaden. I och med att detta </w:t>
      </w:r>
      <w:r w:rsidRPr="00C53F46">
        <w:lastRenderedPageBreak/>
        <w:t>sker förbrukas – konsumeras – ensamrätten. Innehavaren av varumärket förlorar därmed rätten att ingripa mot att någon annan använder varumärket vid fortsatt omsättning av just den varan. En förutsättning för att ensamrätten skall anses vara konsumerad är att varan förts ut på marknaden av rätti</w:t>
      </w:r>
      <w:r w:rsidRPr="00C53F46">
        <w:t>g</w:t>
      </w:r>
      <w:r w:rsidRPr="00C53F46">
        <w:t>hetsinnehavaren eller med dennes samtycke.</w:t>
      </w:r>
    </w:p>
    <w:p w:rsidR="00093FFE" w:rsidRPr="00C53F46" w:rsidRDefault="00093FFE">
      <w:pPr>
        <w:pStyle w:val="Normaltindrag"/>
      </w:pPr>
      <w:r w:rsidRPr="00C53F46">
        <w:t>Det finns olika konsumtionsprinciper. Anses ensamrätten konsumerad e</w:t>
      </w:r>
      <w:r w:rsidRPr="00C53F46">
        <w:t>n</w:t>
      </w:r>
      <w:r w:rsidRPr="00C53F46">
        <w:t xml:space="preserve">dast i det land där den konsumtionsgrundande överlåtelsen ägt rum brukar detta betecknas </w:t>
      </w:r>
      <w:r w:rsidRPr="00C53F46">
        <w:rPr>
          <w:i/>
        </w:rPr>
        <w:t>nationell</w:t>
      </w:r>
      <w:r w:rsidRPr="00C53F46">
        <w:t xml:space="preserve"> konsumtion. Om ensamrätten anses förbrukad oavsett var i världen varan omsätts första gången brukar man tala om </w:t>
      </w:r>
      <w:r w:rsidRPr="00C53F46">
        <w:rPr>
          <w:i/>
        </w:rPr>
        <w:t>global</w:t>
      </w:r>
      <w:r w:rsidRPr="00C53F46">
        <w:t xml:space="preserve"> konsumtion. En annan princip är att ensamrätten anses konsumerad när varan förts ut på marknaden inom en viss region, exempelvis ett visst frihandel</w:t>
      </w:r>
      <w:r w:rsidRPr="00C53F46">
        <w:t>s</w:t>
      </w:r>
      <w:r w:rsidRPr="00C53F46">
        <w:t xml:space="preserve">område. En sådan ordning kallas </w:t>
      </w:r>
      <w:r w:rsidRPr="00C53F46">
        <w:rPr>
          <w:i/>
        </w:rPr>
        <w:t>regional</w:t>
      </w:r>
      <w:r w:rsidRPr="00C53F46">
        <w:t xml:space="preserve"> konsumtion.</w:t>
      </w:r>
    </w:p>
    <w:p w:rsidR="00093FFE" w:rsidRPr="00C53F46" w:rsidRDefault="00093FFE">
      <w:pPr>
        <w:pStyle w:val="Normaltindrag"/>
      </w:pPr>
      <w:r w:rsidRPr="00C53F46">
        <w:t>Principen om regional konsumtion innebär sålunda att en varumärkesinn</w:t>
      </w:r>
      <w:r w:rsidRPr="00C53F46">
        <w:t>e</w:t>
      </w:r>
      <w:r w:rsidRPr="00C53F46">
        <w:t>havare kan motsätta sig att varor som han eller hon själv fört ut på markn</w:t>
      </w:r>
      <w:r w:rsidRPr="00C53F46">
        <w:t>a</w:t>
      </w:r>
      <w:r w:rsidRPr="00C53F46">
        <w:t>den utanför en viss region förs in i den eller de delar av regionen där rätti</w:t>
      </w:r>
      <w:r w:rsidRPr="00C53F46">
        <w:t>g</w:t>
      </w:r>
      <w:r w:rsidRPr="00C53F46">
        <w:t>hetshavaren har ensamrätt att använda varumärket. En tillämpning av global konsumtion innebär däremot att en varumärkesinnehavare, så snart hon eller han fört ut en viss vara under sitt varumärke på marknaden, oavsett var i världen detta har skett, inte kan hindra andra från att använda sig av var</w:t>
      </w:r>
      <w:r w:rsidRPr="00C53F46">
        <w:t>u</w:t>
      </w:r>
      <w:r w:rsidRPr="00C53F46">
        <w:t>märket när varan säljs vidare. Om en varumärkesinnehavare s</w:t>
      </w:r>
      <w:r w:rsidRPr="00C53F46">
        <w:t>äljer sina varor dels i Sverige till ett visst pris, dels i ett annat land till ett lägre pris, innebär detta att var och en fritt kan köpa ett parti av varorna till det lägre priset, föra in partiet till Sverige och här utbjuda det till försäljning i konkurrens med varumärkesinnehavaren. Denna typ av import brukar betecknas parallelli</w:t>
      </w:r>
      <w:r w:rsidRPr="00C53F46">
        <w:t>m</w:t>
      </w:r>
      <w:r w:rsidRPr="00C53F46">
        <w:t xml:space="preserve">port. </w:t>
      </w:r>
    </w:p>
    <w:p w:rsidR="00093FFE" w:rsidRPr="00C53F46" w:rsidRDefault="00093FFE">
      <w:pPr>
        <w:pStyle w:val="Rubrik2"/>
      </w:pPr>
      <w:r w:rsidRPr="00C53F46">
        <w:t>Gällande rätt</w:t>
      </w:r>
    </w:p>
    <w:p w:rsidR="00093FFE" w:rsidRPr="00C53F46" w:rsidRDefault="00093FFE">
      <w:r w:rsidRPr="00C53F46">
        <w:t>I den svenska varumärkeslagen (1960:644) finns bestämmelser som ger innehavare av varumärken och andra varukännetecken ensamrätt att använda kännetecknet som symbol för varor eller tjänster som tillhandahålls i deras näringsverksamhet. Ensamrätten till ett varumärke kan förvärvas antingen genom att varumärket registreras (1 §) eller genom att det inarbetas (2 § första stycket). Genom inarbetning kan ensamrätt förvärvas även till andra särskilda varukännetecken än sådana som omfattas av lagens definition av</w:t>
      </w:r>
      <w:r w:rsidRPr="00C53F46">
        <w:t xml:space="preserve"> varumärke (2 § andra stycket). Inarbetning sker genom att ett varumärke, eller annat varukännetecken, används i sådan omfattning att det i Sverige inom en betydande del av den krets som det riktar sig till, omsättningskre</w:t>
      </w:r>
      <w:r w:rsidRPr="00C53F46">
        <w:t>t</w:t>
      </w:r>
      <w:r w:rsidRPr="00C53F46">
        <w:t>sen, blir känt som beteckning för de varor eller tjänster som det används för (2 § tredje stycket).</w:t>
      </w:r>
    </w:p>
    <w:p w:rsidR="00093FFE" w:rsidRPr="00C53F46" w:rsidRDefault="00093FFE">
      <w:pPr>
        <w:pStyle w:val="Normaltindrag"/>
      </w:pPr>
      <w:r w:rsidRPr="00C53F46">
        <w:t>En varumärkesregistrering gäller i tio år, men kan förnyas ett obegränsat antal gånger (22 §). Ensamrätt på grund av inarbetning upphör när varukä</w:t>
      </w:r>
      <w:r w:rsidRPr="00C53F46">
        <w:t>n</w:t>
      </w:r>
      <w:r w:rsidRPr="00C53F46">
        <w:t xml:space="preserve">netecknet inte längre är så känt som fordras för att det skall anses inarbetat. </w:t>
      </w:r>
    </w:p>
    <w:p w:rsidR="00093FFE" w:rsidRPr="00C53F46" w:rsidRDefault="00093FFE">
      <w:pPr>
        <w:pStyle w:val="Normaltindrag"/>
      </w:pPr>
      <w:r w:rsidRPr="00C53F46">
        <w:t>Ensamrätten innebär att någon annan inte i näringsverksamhet får använda ett kännetecken som kan förväxlas med det skyddade för varor eller tjänster av samma eller liknande slag (4 § första stycket och 6 § första stycket). Inn</w:t>
      </w:r>
      <w:r w:rsidRPr="00C53F46">
        <w:t>e</w:t>
      </w:r>
      <w:r w:rsidRPr="00C53F46">
        <w:t>havaren skall alltså inte behöva tåla att identiska eller liknande kännetecken används för identiska eller liknande varor som de han själv marknadsför.</w:t>
      </w:r>
    </w:p>
    <w:p w:rsidR="00093FFE" w:rsidRPr="00C53F46" w:rsidRDefault="00093FFE">
      <w:pPr>
        <w:pStyle w:val="Normaltindrag"/>
      </w:pPr>
      <w:r w:rsidRPr="00C53F46">
        <w:t>Varumärkeslagen innehåller inte någon uttrycklig regel om konsumtion. I det utredningsbetänkande från Varumärkes- och firmautredningen som låg till grund för varumärkeslagen konstaterades att ensamrätten till ett varukä</w:t>
      </w:r>
      <w:r w:rsidRPr="00C53F46">
        <w:t>n</w:t>
      </w:r>
      <w:r w:rsidRPr="00C53F46">
        <w:t>netecken i princip var konsumerad beträffande den aktuella varan om den under ett visst kännetecken tillhandahållits av innehavaren eller med dennes medgivande. Enligt utredningen kunde innehavaren inte göra ensamrätten gällande mot någon som sålde varan vidare under kännetecknet (SOU 1958:10 s. 238). Varumärkes- och firmautredningen utgick således från en princip om global konsumtion. Principen har bekräftats i rättspraxis, bl.a. genom två domar från Högsta domstolen (NJA 1967 s. 458 och NJA 1988 s. 543).</w:t>
      </w:r>
      <w:r w:rsidRPr="00C53F46">
        <w:t xml:space="preserve"> </w:t>
      </w:r>
    </w:p>
    <w:p w:rsidR="00093FFE" w:rsidRPr="00C53F46" w:rsidRDefault="00093FFE">
      <w:pPr>
        <w:pStyle w:val="Rubrik2"/>
      </w:pPr>
      <w:r w:rsidRPr="00C53F46">
        <w:t xml:space="preserve">EG:s varumärkesdirektiv </w:t>
      </w:r>
    </w:p>
    <w:p w:rsidR="00093FFE" w:rsidRPr="00C53F46" w:rsidRDefault="00093FFE">
      <w:r w:rsidRPr="00C53F46">
        <w:t>EG:s varumärkesdirektiv (89/104/EEG) syftar till att eliminera vissa skilln</w:t>
      </w:r>
      <w:r w:rsidRPr="00C53F46">
        <w:t>a</w:t>
      </w:r>
      <w:r w:rsidRPr="00C53F46">
        <w:t>der i de olika EG-ländernas nationella varumärkeslagar. Direktivet innebär inte att de olika EG-ländernas varumärkeslagar harmoniseras helt, utan ha</w:t>
      </w:r>
      <w:r w:rsidRPr="00C53F46">
        <w:t>r</w:t>
      </w:r>
      <w:r w:rsidRPr="00C53F46">
        <w:t>moniseringen har begränsats till sådana nationella bestämmelser som på ett mera direkt sätt kan motverka den fria rörligheten för varor eller tjänster. Framför allt reglerar direktivet frågor om vad som behövs för att kunna få och vidmakthålla en ensamrätt till ett varumärke och frågor om det rättsliga skyddet av ensamrätten till ett varumärke. Alla artiklarna</w:t>
      </w:r>
      <w:r w:rsidRPr="00C53F46">
        <w:t xml:space="preserve"> i direktivet är inte obligatoriska utan beträffande en del av dem överlåts det åt den enskilda staten att besluta om artikeln skall införas eller inte. I artikel 7 finns bestä</w:t>
      </w:r>
      <w:r w:rsidRPr="00C53F46">
        <w:t>m</w:t>
      </w:r>
      <w:r w:rsidRPr="00C53F46">
        <w:t>melser om konsumtion. Artikeln är o</w:t>
      </w:r>
      <w:r w:rsidRPr="00C53F46">
        <w:t>b</w:t>
      </w:r>
      <w:r w:rsidRPr="00C53F46">
        <w:t>ligatorisk.</w:t>
      </w:r>
    </w:p>
    <w:p w:rsidR="00093FFE" w:rsidRPr="00C53F46" w:rsidRDefault="00093FFE">
      <w:pPr>
        <w:pStyle w:val="Normaltindrag"/>
      </w:pPr>
      <w:r w:rsidRPr="00C53F46">
        <w:t>Enligt den svenska officiella översättningen lyder artikel 7 i sin ursprun</w:t>
      </w:r>
      <w:r w:rsidRPr="00C53F46">
        <w:t>g</w:t>
      </w:r>
      <w:r w:rsidRPr="00C53F46">
        <w:t>liga lydelse på följande sätt.</w:t>
      </w:r>
    </w:p>
    <w:p w:rsidR="00093FFE" w:rsidRPr="00C53F46" w:rsidRDefault="00093FFE">
      <w:pPr>
        <w:pStyle w:val="Normaltindrag"/>
      </w:pPr>
      <w:r w:rsidRPr="00C53F46">
        <w:t>”1. Ett varumärke ger inte innehavaren rätt att förbjuda användningen av varumärket för varor som av innehavaren eller med hans samtycke har förts ut på marknaden under varumärket inom gemenskapen.</w:t>
      </w:r>
    </w:p>
    <w:p w:rsidR="00093FFE" w:rsidRPr="00C53F46" w:rsidRDefault="00093FFE">
      <w:pPr>
        <w:pStyle w:val="Normaltindrag"/>
      </w:pPr>
      <w:r w:rsidRPr="00C53F46">
        <w:t>2. Punkt 1 skall inte gälla när innehavaren har skälig grund att motsätta sig fortsatt marknadsföring av varorna, särskilt när varornas beskaffenhet har förändrats eller försämrats efter att de har förts ut på marknaden.”</w:t>
      </w:r>
    </w:p>
    <w:p w:rsidR="00093FFE" w:rsidRPr="00C53F46" w:rsidRDefault="00093FFE">
      <w:pPr>
        <w:pStyle w:val="Normaltindrag"/>
      </w:pPr>
      <w:r w:rsidRPr="00C53F46">
        <w:t>Lydelsen av artikel 7.1 har ändrats genom artikel 65.2 i EES-avtalet, jä</w:t>
      </w:r>
      <w:r w:rsidRPr="00C53F46">
        <w:t>m</w:t>
      </w:r>
      <w:r w:rsidRPr="00C53F46">
        <w:t>förd med bilaga XVII fjärde punkten till avtalet, genom att orden ”inom gemenskapen” ersatts av ”i en avtalsslutande part”. Artikelns geografiska tillämpningsområde omfattar nu således hela EES.</w:t>
      </w:r>
    </w:p>
    <w:p w:rsidR="00093FFE" w:rsidRPr="00C53F46" w:rsidRDefault="00093FFE">
      <w:pPr>
        <w:pStyle w:val="Normaltindrag"/>
      </w:pPr>
      <w:r w:rsidRPr="00C53F46">
        <w:t>Som en följd av tillträdet till avtalet den 2 maj 1992 om Europeiska ek</w:t>
      </w:r>
      <w:r w:rsidRPr="00C53F46">
        <w:t>o</w:t>
      </w:r>
      <w:r w:rsidRPr="00C53F46">
        <w:t>nomiska samarbetsområdet (EES-avtalet) har Sverige åtagit sig att genomf</w:t>
      </w:r>
      <w:r w:rsidRPr="00C53F46">
        <w:t>ö</w:t>
      </w:r>
      <w:r w:rsidRPr="00C53F46">
        <w:t>ra direktivet. Detta har föran</w:t>
      </w:r>
      <w:r w:rsidRPr="00C53F46">
        <w:softHyphen/>
        <w:t>lett ändringar i varumärkeslagen, vilka trädde i kraft den 1 januari 1993. I samband med genomförandet av varumärkesd</w:t>
      </w:r>
      <w:r w:rsidRPr="00C53F46">
        <w:t>i</w:t>
      </w:r>
      <w:r w:rsidRPr="00C53F46">
        <w:t>rektivet hösten 1992 ställde sig utskottet avvisande till en särskild konsu</w:t>
      </w:r>
      <w:r w:rsidRPr="00C53F46">
        <w:t>m</w:t>
      </w:r>
      <w:r w:rsidRPr="00C53F46">
        <w:t>tionsregel som skulle innebära att principen om global konsumtion övergavs. Det då aktuella lagförslaget om regional konsumtion låg, enligt utskottets mening, inte i linje med Sveriges strävanden mot att åstadkomm</w:t>
      </w:r>
      <w:r w:rsidRPr="00C53F46">
        <w:t>a en friare handel. Utskottet menade att det var ett viktigt konsumentintresse att den konkurrens som parallellimporten från länder utanför EES (global konsu</w:t>
      </w:r>
      <w:r w:rsidRPr="00C53F46">
        <w:t>m</w:t>
      </w:r>
      <w:r w:rsidRPr="00C53F46">
        <w:t>tion) medförde kunde fortgå. Vidare pekade utskottet på att det inom EG rådde delade meningar om vad direktivet på den nu diskuterade punkten innebar och att rättsläget därför fick anses oklart. Denna oklarhet kunde enligt utskottet undanröjas endast genom ett avgörande från EG-domstolen. Utskottet gjorde mot denna bakgrund bedömningen att det inte fan</w:t>
      </w:r>
      <w:r w:rsidRPr="00C53F46">
        <w:t>ns til</w:t>
      </w:r>
      <w:r w:rsidRPr="00C53F46">
        <w:t>l</w:t>
      </w:r>
      <w:r w:rsidRPr="00C53F46">
        <w:t>räckliga skäl att överge principen om global konsumtion. Samtidigt uttalade utskottet att frågan fick övervägas på nytt i den mån EG-domstolen skulle avge ett tolkningsbesked som utvisar att global konsumtion är oförenlig med direktivet.</w:t>
      </w:r>
    </w:p>
    <w:p w:rsidR="00093FFE" w:rsidRPr="00C53F46" w:rsidRDefault="00093FFE">
      <w:pPr>
        <w:pStyle w:val="Normaltindrag"/>
      </w:pPr>
      <w:r w:rsidRPr="00C53F46">
        <w:t>Sammanfattningsvis förordade utskottet att det materiella rättsläget på v</w:t>
      </w:r>
      <w:r w:rsidRPr="00C53F46">
        <w:t>a</w:t>
      </w:r>
      <w:r w:rsidRPr="00C53F46">
        <w:t>rumärkesrättens område bibehölls såvitt gäller principen om global konsu</w:t>
      </w:r>
      <w:r w:rsidRPr="00C53F46">
        <w:t>m</w:t>
      </w:r>
      <w:r w:rsidRPr="00C53F46">
        <w:t>tion. Utskottet avstyrkte därmed den då aktuella propositionens förslag om införande av en regel om regional konsumtion i varumärkeslagen. Riksdagen följde utskottet (prop. 1992/93:48, bet LU17, rskr. 125).</w:t>
      </w:r>
    </w:p>
    <w:p w:rsidR="00093FFE" w:rsidRPr="00C53F46" w:rsidRDefault="00093FFE">
      <w:pPr>
        <w:pStyle w:val="Normaltindrag"/>
      </w:pPr>
      <w:r w:rsidRPr="00C53F46">
        <w:t>Under senare delen av 1990-talet har EG-domstolen meddelat flera domar som rör tolkningen av artikel 7 i direktivet. Dessa domar har medfört att frågan om varumärkeslagens anpass</w:t>
      </w:r>
      <w:r w:rsidRPr="00C53F46">
        <w:softHyphen/>
        <w:t>ning till direktivet nu har aktualiserats på nytt.</w:t>
      </w:r>
    </w:p>
    <w:p w:rsidR="00093FFE" w:rsidRPr="00C53F46" w:rsidRDefault="00093FFE">
      <w:pPr>
        <w:pStyle w:val="Rubrik2"/>
      </w:pPr>
      <w:r w:rsidRPr="00C53F46">
        <w:t>Propositionen</w:t>
      </w:r>
    </w:p>
    <w:p w:rsidR="00093FFE" w:rsidRPr="00C53F46" w:rsidRDefault="00093FFE">
      <w:r w:rsidRPr="00C53F46">
        <w:t>I den nu aktuella propositionen föreslås att det införs en bestämmelse om regional konsumtion i varumärkeslagen. Den föreslagna konsumtionsb</w:t>
      </w:r>
      <w:r w:rsidRPr="00C53F46">
        <w:t>e</w:t>
      </w:r>
      <w:r w:rsidRPr="00C53F46">
        <w:t>stämmelsen innebär att en varumärkesinnehavares ensam</w:t>
      </w:r>
      <w:r w:rsidRPr="00C53F46">
        <w:softHyphen/>
        <w:t>rätt att använda ett varukännetecken för en viss vara förbrukas endast om varan av innehavaren eller med dennes samtycke förts ut på marknaden inom Europeiska ekon</w:t>
      </w:r>
      <w:r w:rsidRPr="00C53F46">
        <w:t>o</w:t>
      </w:r>
      <w:r w:rsidRPr="00C53F46">
        <w:t>miska samarbetsområdet. I propositionen föreslås vidare att den regel i v</w:t>
      </w:r>
      <w:r w:rsidRPr="00C53F46">
        <w:t>a</w:t>
      </w:r>
      <w:r w:rsidRPr="00C53F46">
        <w:t>rumärkeslagen som inn</w:t>
      </w:r>
      <w:r w:rsidRPr="00C53F46">
        <w:t>e</w:t>
      </w:r>
      <w:r w:rsidRPr="00C53F46">
        <w:t xml:space="preserve">håller undantag från konsumtionsprincipen utvidgas. </w:t>
      </w:r>
    </w:p>
    <w:p w:rsidR="00093FFE" w:rsidRPr="00C53F46" w:rsidRDefault="00093FFE">
      <w:pPr>
        <w:pStyle w:val="Normaltindrag"/>
      </w:pPr>
      <w:r w:rsidRPr="00C53F46">
        <w:t xml:space="preserve">De föreslagna ändringarna innebär en anpassning av varumärkeslagen till artikel 7 i varumärkesdirektivet såsom artikeln tolkats i EG-domstolens </w:t>
      </w:r>
      <w:r w:rsidRPr="00C53F46">
        <w:t>praxis.</w:t>
      </w:r>
    </w:p>
    <w:p w:rsidR="00093FFE" w:rsidRPr="00C53F46" w:rsidRDefault="00093FFE">
      <w:pPr>
        <w:pStyle w:val="Normaltindrag"/>
      </w:pPr>
      <w:r w:rsidRPr="00C53F46">
        <w:t>Lagändringarna föreslås träda i kraft den 1 juli 2000.</w:t>
      </w:r>
    </w:p>
    <w:p w:rsidR="00093FFE" w:rsidRPr="00C53F46" w:rsidRDefault="00093FFE">
      <w:pPr>
        <w:pStyle w:val="Normaltindrag"/>
      </w:pPr>
      <w:r w:rsidRPr="00C53F46">
        <w:t>Till grund för förslagen ligger Varumärkeskommitténs delbetänkande (SOU 1999:19) Artikel 7 i EG:s varumärkesdirektiv – Ändringar i varumä</w:t>
      </w:r>
      <w:r w:rsidRPr="00C53F46">
        <w:t>r</w:t>
      </w:r>
      <w:r w:rsidRPr="00C53F46">
        <w:t>keslagen. Betänkandet har remis</w:t>
      </w:r>
      <w:r w:rsidRPr="00C53F46">
        <w:t>s</w:t>
      </w:r>
      <w:r w:rsidRPr="00C53F46">
        <w:t>behandlats.</w:t>
      </w:r>
    </w:p>
    <w:p w:rsidR="00093FFE" w:rsidRPr="00C53F46" w:rsidRDefault="00093FFE">
      <w:pPr>
        <w:pStyle w:val="Rubrik2"/>
      </w:pPr>
      <w:r w:rsidRPr="00C53F46">
        <w:t>Utskottets ställningstaganden</w:t>
      </w:r>
    </w:p>
    <w:p w:rsidR="00093FFE" w:rsidRPr="00C53F46" w:rsidRDefault="00093FFE">
      <w:r w:rsidRPr="00C53F46">
        <w:t>Av propositionen framgår att EG-domstolen åren 1998 och 1999 avgett sådana tolkningsbesked rörande varumärkesdirektivet som lagutskottet b</w:t>
      </w:r>
      <w:r w:rsidRPr="00C53F46">
        <w:t>e</w:t>
      </w:r>
      <w:r w:rsidRPr="00C53F46">
        <w:t>rörde i samband med att direktivet genomfördes i varumärkeslagen hösten 1992. Det får mot den bakgrunden nu anses stå klart att artikel 7.1. i var</w:t>
      </w:r>
      <w:r w:rsidRPr="00C53F46">
        <w:t>u</w:t>
      </w:r>
      <w:r w:rsidRPr="00C53F46">
        <w:t>märkesdirektivet medför att medlemsstaterna är skyldiga att generellt tillä</w:t>
      </w:r>
      <w:r w:rsidRPr="00C53F46">
        <w:t>m</w:t>
      </w:r>
      <w:r w:rsidRPr="00C53F46">
        <w:t>pa regional, dvs. EES-vid, konsumtion i fråga om varumärkesrättigheter, och utskottet motsätter sig inte det framlagda lagförslaget i denna del. Inte heller i övrigt har utskottet några erinringar mot la</w:t>
      </w:r>
      <w:r w:rsidRPr="00C53F46">
        <w:t>g</w:t>
      </w:r>
      <w:r w:rsidRPr="00C53F46">
        <w:t>förslaget.</w:t>
      </w:r>
    </w:p>
    <w:p w:rsidR="00093FFE" w:rsidRPr="00C53F46" w:rsidRDefault="00093FFE">
      <w:pPr>
        <w:pStyle w:val="Normaltindrag"/>
      </w:pPr>
      <w:r w:rsidRPr="00C53F46">
        <w:t>Lagändringarna medför att en varumärkesinnehavare kan hindra paralle</w:t>
      </w:r>
      <w:r w:rsidRPr="00C53F46">
        <w:t>l</w:t>
      </w:r>
      <w:r w:rsidRPr="00C53F46">
        <w:t>l-import av varor som han eller hon har fört ut på marknaden utanför EES. Utskottet noterar därför med tillfredsställelse att regeringen, såväl i förev</w:t>
      </w:r>
      <w:r w:rsidRPr="00C53F46">
        <w:t>a</w:t>
      </w:r>
      <w:r w:rsidRPr="00C53F46">
        <w:t>rande proposition (avsnitt 6) som i skrivelse 1999/2000:60 Årsboken om EU – Berättelse om verksamheten i Europeiska unionen under 1999 (avsnitt 22.4), som sin inställning uttalat att parallellimport bör tillåtas, bl.a. eftersom den medför positiv priskonkurrens som gynnar konsumenterna samt att reg</w:t>
      </w:r>
      <w:r w:rsidRPr="00C53F46">
        <w:t>e</w:t>
      </w:r>
      <w:r w:rsidRPr="00C53F46">
        <w:t>ringen verkar aktivt inom EU för att få till stånd en ändri</w:t>
      </w:r>
      <w:r w:rsidRPr="00C53F46">
        <w:t xml:space="preserve">ng som möjliggör sådan import av varor även från länder utanför EES. </w:t>
      </w:r>
    </w:p>
    <w:p w:rsidR="00093FFE" w:rsidRPr="00C53F46" w:rsidRDefault="00093FFE">
      <w:pPr>
        <w:pStyle w:val="Normaltindrag"/>
      </w:pPr>
      <w:r w:rsidRPr="00C53F46">
        <w:t>Utskottet ställer sig enhälligt bakom regerin</w:t>
      </w:r>
      <w:r w:rsidRPr="00C53F46">
        <w:t>g</w:t>
      </w:r>
      <w:r w:rsidRPr="00C53F46">
        <w:t xml:space="preserve">ens hållning i denna fråga. </w:t>
      </w:r>
    </w:p>
    <w:p w:rsidR="00093FFE" w:rsidRPr="00C53F46" w:rsidRDefault="00093FFE">
      <w:pPr>
        <w:pStyle w:val="Rubrik2"/>
      </w:pPr>
      <w:bookmarkStart w:id="22" w:name="_Toc479749992"/>
      <w:r w:rsidRPr="00C53F46">
        <w:t>Hemställan</w:t>
      </w:r>
      <w:bookmarkEnd w:id="22"/>
    </w:p>
    <w:p w:rsidR="00093FFE" w:rsidRPr="00C53F46" w:rsidRDefault="00093FFE">
      <w:r w:rsidRPr="00C53F46">
        <w:t>Utskottet hemställer</w:t>
      </w:r>
    </w:p>
    <w:p w:rsidR="00093FFE" w:rsidRPr="00C53F46" w:rsidRDefault="00093FFE">
      <w:pPr>
        <w:pStyle w:val="hembetr"/>
      </w:pPr>
      <w:r w:rsidRPr="00C53F46">
        <w:t xml:space="preserve">beträffande </w:t>
      </w:r>
      <w:r w:rsidRPr="00C53F46">
        <w:rPr>
          <w:i/>
        </w:rPr>
        <w:t>EG:s varumärkesdirektiv</w:t>
      </w:r>
    </w:p>
    <w:p w:rsidR="00093FFE" w:rsidRPr="00C53F46" w:rsidRDefault="00093FFE">
      <w:pPr>
        <w:pStyle w:val="hemtext"/>
      </w:pPr>
      <w:r w:rsidRPr="00C53F46">
        <w:t>att riksdagen antar regeringens förslag till lag om ändring i varumä</w:t>
      </w:r>
      <w:r w:rsidRPr="00C53F46">
        <w:t>r</w:t>
      </w:r>
      <w:r w:rsidRPr="00C53F46">
        <w:t xml:space="preserve">keslagen (1960:644).      </w:t>
      </w:r>
      <w:bookmarkStart w:id="23" w:name="RESPARTI001"/>
      <w:bookmarkEnd w:id="23"/>
    </w:p>
    <w:p w:rsidR="00093FFE" w:rsidRPr="00C53F46" w:rsidRDefault="00093FFE">
      <w:pPr>
        <w:pStyle w:val="hemtext"/>
      </w:pPr>
      <w:bookmarkStart w:id="24" w:name="Nästa_Hpunkt"/>
      <w:bookmarkEnd w:id="24"/>
    </w:p>
    <w:p w:rsidR="00093FFE" w:rsidRPr="00C53F46" w:rsidRDefault="00093FFE">
      <w:pPr>
        <w:pStyle w:val="Stockholm"/>
        <w:spacing w:before="123"/>
      </w:pPr>
      <w:r w:rsidRPr="00C53F46">
        <w:t>Stockholm den 9 maj 2000</w:t>
      </w:r>
    </w:p>
    <w:p w:rsidR="00093FFE" w:rsidRPr="00C53F46" w:rsidRDefault="00093FFE">
      <w:pPr>
        <w:pStyle w:val="Vgnar"/>
      </w:pPr>
      <w:r w:rsidRPr="00C53F46">
        <w:t>På lagutskottets vägnar</w:t>
      </w:r>
    </w:p>
    <w:p w:rsidR="00093FFE" w:rsidRPr="00C53F46" w:rsidRDefault="00093FFE">
      <w:pPr>
        <w:pStyle w:val="Ordfnamn"/>
      </w:pPr>
      <w:bookmarkStart w:id="25" w:name="Ordförande"/>
      <w:bookmarkEnd w:id="25"/>
      <w:r w:rsidRPr="00C53F46">
        <w:t xml:space="preserve">Tanja Linderborg </w:t>
      </w:r>
    </w:p>
    <w:p w:rsidR="00093FFE" w:rsidRPr="00C53F46" w:rsidRDefault="00093FFE"/>
    <w:p w:rsidR="00093FFE" w:rsidRPr="00C53F46" w:rsidRDefault="00093FFE">
      <w:pPr>
        <w:pStyle w:val="Deltagare"/>
        <w:spacing w:before="123"/>
      </w:pPr>
      <w:bookmarkStart w:id="26" w:name="Deltagare"/>
      <w:bookmarkEnd w:id="26"/>
      <w:r w:rsidRPr="00C53F46">
        <w:t>I beslutet har deltagit: Tanja Linderborg (v), Rolf Åbjörnsson (kd), Marianne Carlström (s), Stig Rindborg (m), Rune Berglund (s), Karin Olsson (s), Nikos Papadopoulos (s), Elizabeth Nyström (m), Christina Nenes (s), Tasso Stafil</w:t>
      </w:r>
      <w:r w:rsidRPr="00C53F46">
        <w:t>i</w:t>
      </w:r>
      <w:r w:rsidRPr="00C53F46">
        <w:t>dis (v), Kjell Eldensjö (kd), Berit Adolfsson (m), Anders Berglöv (s), Viv</w:t>
      </w:r>
      <w:r w:rsidRPr="00C53F46">
        <w:t>i</w:t>
      </w:r>
      <w:r w:rsidRPr="00C53F46">
        <w:t>ann Gerdin (c), Ana Maria Narti (fp), Christina Pettersson (s) och Anne-Katrine Dunker (m).</w:t>
      </w:r>
    </w:p>
    <w:p w:rsidR="00093FFE" w:rsidRPr="00C53F46" w:rsidRDefault="00093FFE">
      <w:pPr>
        <w:pStyle w:val="Normaltindrag"/>
        <w:sectPr w:rsidR="00000000" w:rsidRPr="00C53F46">
          <w:headerReference w:type="default" r:id="rId9"/>
          <w:footerReference w:type="default" r:id="rId10"/>
          <w:pgSz w:w="11906" w:h="16838" w:code="9"/>
          <w:pgMar w:top="567" w:right="4876" w:bottom="4508" w:left="1134" w:header="227" w:footer="227" w:gutter="0"/>
          <w:cols w:space="720"/>
        </w:sectPr>
      </w:pPr>
    </w:p>
    <w:p w:rsidR="00093FFE" w:rsidRPr="00C53F46" w:rsidRDefault="00093FFE">
      <w:pPr>
        <w:pStyle w:val="Rubrik1"/>
        <w:spacing w:before="123"/>
      </w:pPr>
      <w:r w:rsidRPr="00C53F46">
        <w:t>Propositionens lagförslag</w:t>
      </w:r>
    </w:p>
    <w:p w:rsidR="00093FFE" w:rsidRPr="00C53F46" w:rsidRDefault="00093FFE">
      <w:pPr>
        <w:pStyle w:val="Rubrik2"/>
        <w:spacing w:before="123"/>
      </w:pPr>
      <w:r w:rsidRPr="00C53F46">
        <w:t>Förslag till lag om ändring i varumärkeslagen (1960:644)</w:t>
      </w:r>
    </w:p>
    <w:p w:rsidR="00093FFE" w:rsidRPr="00C53F46" w:rsidRDefault="00093FFE">
      <w:pPr>
        <w:pStyle w:val="Rubrik2"/>
        <w:spacing w:before="123"/>
      </w:pPr>
      <w:r w:rsidRPr="00C53F46">
        <w:br w:type="page"/>
      </w:r>
    </w:p>
    <w:p w:rsidR="00093FFE" w:rsidRPr="00C53F46" w:rsidRDefault="00093FFE">
      <w:pPr>
        <w:pStyle w:val="Tryckort"/>
        <w:framePr w:wrap="around"/>
      </w:pPr>
      <w:r w:rsidRPr="00C53F46">
        <w:t>Elanders Gotab, Stockholm  2000</w:t>
      </w:r>
    </w:p>
    <w:p w:rsidR="00093FFE" w:rsidRPr="00C53F46" w:rsidRDefault="00093FFE">
      <w:pPr>
        <w:pStyle w:val="Normaltindrag"/>
      </w:pPr>
    </w:p>
    <w:sectPr w:rsidR="00093FFE" w:rsidRPr="00C53F46">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FFE" w:rsidRPr="00C53F46" w:rsidRDefault="00093FFE">
      <w:pPr>
        <w:spacing w:before="0" w:line="240" w:lineRule="auto"/>
      </w:pPr>
      <w:r w:rsidRPr="00C53F46">
        <w:separator/>
      </w:r>
    </w:p>
  </w:endnote>
  <w:endnote w:type="continuationSeparator" w:id="0">
    <w:p w:rsidR="00093FFE" w:rsidRPr="00C53F46" w:rsidRDefault="00093FFE">
      <w:pPr>
        <w:spacing w:before="0" w:line="240" w:lineRule="auto"/>
      </w:pPr>
      <w:r w:rsidRPr="00C53F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E" w:rsidRPr="00C53F46" w:rsidRDefault="00093FFE">
    <w:pPr>
      <w:pStyle w:val="SidfotH"/>
      <w:framePr w:wrap="around"/>
    </w:pPr>
    <w:r w:rsidRPr="00C53F46">
      <w:fldChar w:fldCharType="begin" w:fldLock="1"/>
    </w:r>
    <w:r w:rsidRPr="00C53F46">
      <w:instrText xml:space="preserve"> P</w:instrText>
    </w:r>
    <w:r w:rsidRPr="00C53F46">
      <w:instrText>A</w:instrText>
    </w:r>
    <w:r w:rsidRPr="00C53F46">
      <w:instrText xml:space="preserve">GE </w:instrText>
    </w:r>
    <w:r w:rsidRPr="00C53F46">
      <w:fldChar w:fldCharType="separate"/>
    </w:r>
    <w:r w:rsidRPr="00C53F46">
      <w:t>1</w:t>
    </w:r>
    <w:r w:rsidRPr="00C53F46">
      <w:fldChar w:fldCharType="end"/>
    </w:r>
  </w:p>
  <w:p w:rsidR="00093FFE" w:rsidRPr="00C53F46" w:rsidRDefault="00093F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E" w:rsidRPr="00C53F46" w:rsidRDefault="00093FFE">
    <w:pPr>
      <w:pStyle w:val="SidfotH"/>
      <w:framePr w:wrap="around"/>
    </w:pPr>
    <w:r w:rsidRPr="00C53F46">
      <w:fldChar w:fldCharType="begin" w:fldLock="1"/>
    </w:r>
    <w:r w:rsidRPr="00C53F46">
      <w:instrText xml:space="preserve"> P</w:instrText>
    </w:r>
    <w:r w:rsidRPr="00C53F46">
      <w:instrText>A</w:instrText>
    </w:r>
    <w:r w:rsidRPr="00C53F46">
      <w:instrText xml:space="preserve">GE </w:instrText>
    </w:r>
    <w:r w:rsidRPr="00C53F46">
      <w:fldChar w:fldCharType="separate"/>
    </w:r>
    <w:r w:rsidRPr="00C53F46">
      <w:t>6</w:t>
    </w:r>
    <w:r w:rsidRPr="00C53F46">
      <w:fldChar w:fldCharType="end"/>
    </w:r>
  </w:p>
  <w:p w:rsidR="00093FFE" w:rsidRPr="00C53F46" w:rsidRDefault="00093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FFE" w:rsidRPr="00C53F46" w:rsidRDefault="00093FFE">
      <w:pPr>
        <w:pStyle w:val="Sidfot"/>
      </w:pPr>
    </w:p>
  </w:footnote>
  <w:footnote w:type="continuationSeparator" w:id="0">
    <w:p w:rsidR="00093FFE" w:rsidRPr="00C53F46" w:rsidRDefault="00093FFE">
      <w:pPr>
        <w:spacing w:before="0" w:line="240" w:lineRule="auto"/>
      </w:pPr>
      <w:r w:rsidRPr="00C53F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E" w:rsidRPr="00C53F46" w:rsidRDefault="00093FFE">
    <w:pPr>
      <w:pStyle w:val="SidhuvudKant"/>
      <w:framePr w:w="1758" w:h="2744" w:hRule="exact" w:wrap="around" w:vAnchor="page" w:hAnchor="page" w:x="7372" w:y="568" w:anchorLock="0"/>
    </w:pPr>
    <w:r w:rsidRPr="00C53F46">
      <w:t>1999/2000:LU23</w:t>
    </w:r>
  </w:p>
  <w:p w:rsidR="00093FFE" w:rsidRPr="00C53F46" w:rsidRDefault="00093FFE">
    <w:pPr>
      <w:pStyle w:val="SidhuvudKantBilaga"/>
      <w:framePr w:w="1758" w:h="2744" w:hRule="exact" w:wrap="around" w:vAnchor="page" w:hAnchor="page" w:x="7372" w:y="568" w:anchorLock="0"/>
    </w:pPr>
  </w:p>
  <w:p w:rsidR="00093FFE" w:rsidRPr="00C53F46" w:rsidRDefault="00093FFE">
    <w:pPr>
      <w:pStyle w:val="SidhuvudKant"/>
      <w:framePr w:w="1758" w:h="2744" w:hRule="exact" w:wrap="around" w:vAnchor="page" w:hAnchor="page" w:x="7372" w:y="568" w:anchorLock="0"/>
    </w:pPr>
  </w:p>
  <w:p w:rsidR="00093FFE" w:rsidRPr="00C53F46" w:rsidRDefault="00093F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E" w:rsidRPr="00C53F46" w:rsidRDefault="00093FFE">
    <w:pPr>
      <w:pStyle w:val="SidhuvudKant"/>
      <w:framePr w:w="1758" w:h="2744" w:hRule="exact" w:wrap="around" w:vAnchor="page" w:hAnchor="page" w:x="7372" w:y="568" w:anchorLock="0"/>
    </w:pPr>
    <w:r w:rsidRPr="00C53F46">
      <w:t>1999/2000:LU23</w:t>
    </w:r>
  </w:p>
  <w:p w:rsidR="00093FFE" w:rsidRPr="00C53F46" w:rsidRDefault="00093FFE">
    <w:pPr>
      <w:pStyle w:val="SidhuvudKantBilaga"/>
      <w:framePr w:w="1758" w:h="2744" w:hRule="exact" w:wrap="around" w:vAnchor="page" w:hAnchor="page" w:x="7372" w:y="568" w:anchorLock="0"/>
    </w:pPr>
    <w:r w:rsidRPr="00C53F46">
      <w:t>Bilaga</w:t>
    </w:r>
  </w:p>
  <w:p w:rsidR="00093FFE" w:rsidRPr="00C53F46" w:rsidRDefault="00093FFE">
    <w:pPr>
      <w:pStyle w:val="SidhuvudKant"/>
      <w:framePr w:w="1758" w:h="2744" w:hRule="exact" w:wrap="around" w:vAnchor="page" w:hAnchor="page" w:x="7372" w:y="568" w:anchorLock="0"/>
    </w:pPr>
  </w:p>
  <w:p w:rsidR="00093FFE" w:rsidRPr="00C53F46" w:rsidRDefault="00093F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C103BC"/>
    <w:rsid w:val="00093FFE"/>
    <w:rsid w:val="00C103BC"/>
    <w:rsid w:val="00C53F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703A3-8F17-4556-94E2-C322F85E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rubrik">
    <w:name w:val="Prop. rubrik"/>
    <w:basedOn w:val="Normal"/>
    <w:next w:val="Normal"/>
    <w:pPr>
      <w:tabs>
        <w:tab w:val="left" w:pos="2835"/>
      </w:tabs>
      <w:spacing w:before="80" w:after="240" w:line="240" w:lineRule="auto"/>
      <w:jc w:val="left"/>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1747</Words>
  <Characters>10711</Characters>
  <Application>Microsoft Office Word</Application>
  <DocSecurity>4</DocSecurity>
  <Lines>205</Lines>
  <Paragraphs>61</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Lagutskottets betänkande</vt:lpstr>
      <vt:lpstr>Sammanfattning</vt:lpstr>
      <vt:lpstr>Propositionen</vt:lpstr>
      <vt:lpstr>Utskottet</vt:lpstr>
      <vt:lpstr>    Bakgrund</vt:lpstr>
      <vt:lpstr>    Gällande rätt</vt:lpstr>
      <vt:lpstr>    EG:s varumärkesdirektiv </vt:lpstr>
      <vt:lpstr>    Propositionen</vt:lpstr>
      <vt:lpstr>    Utskottets ställningstaganden</vt:lpstr>
      <vt:lpstr>    Hemställan</vt:lpstr>
      <vt:lpstr>Propositionens lagförslag</vt:lpstr>
      <vt:lpstr>    Förslag till lag om ändring i varumärkeslagen (1960:644)</vt:lpstr>
      <vt:lpstr>    </vt:lpstr>
    </vt:vector>
  </TitlesOfParts>
  <Company>Riksdagen</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2000-05-11T11:30:00Z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