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7B9" w:rsidRPr="004307B9" w:rsidRDefault="004307B9">
      <w:pPr>
        <w:pStyle w:val="Frslagsrubrik"/>
      </w:pPr>
      <w:r w:rsidRPr="004307B9">
        <w:t>Förslag till riksdagsbeslut</w:t>
      </w:r>
    </w:p>
    <w:p w:rsidR="004307B9" w:rsidRPr="004307B9" w:rsidRDefault="004307B9">
      <w:pPr>
        <w:pStyle w:val="Hemstlatt"/>
        <w:ind w:left="0"/>
      </w:pPr>
      <w:r w:rsidRPr="004307B9">
        <w:t>Riksdagen tillkännager för regeringen som sin mening vad som anförs i motionen om att Sverige ska verka för att sparandedirektivet och dess informationsutbyte tillämpas fullt ut inom EU och gentemot andra stater som EU träffar skatteavtal med.</w:t>
      </w:r>
    </w:p>
    <w:p w:rsidR="004307B9" w:rsidRPr="004307B9" w:rsidRDefault="004307B9">
      <w:pPr>
        <w:pStyle w:val="Rubrik1"/>
      </w:pPr>
      <w:r w:rsidRPr="004307B9">
        <w:t>Motivering</w:t>
      </w:r>
    </w:p>
    <w:p w:rsidR="004307B9" w:rsidRPr="004307B9" w:rsidRDefault="004307B9">
      <w:r w:rsidRPr="004307B9">
        <w:t>Den 1 juli 2005 trädde EU:s så kallade sparandedirektiv i kraft i Sverige. Syftet med det nya direktivet var att personer som är bosatta inom EU-</w:t>
      </w:r>
      <w:r w:rsidRPr="004307B9">
        <w:rPr>
          <w:spacing w:val="-2"/>
        </w:rPr>
        <w:t>området inte ska kunna undgå beskattning av ränteinkomster genom att place</w:t>
      </w:r>
      <w:r w:rsidRPr="004307B9">
        <w:t xml:space="preserve">ra </w:t>
      </w:r>
      <w:r w:rsidRPr="004307B9">
        <w:rPr>
          <w:spacing w:val="-2"/>
        </w:rPr>
        <w:t>sparandet i ett annat EU-land. Därför måste nu alla banker inom EU rapporte</w:t>
      </w:r>
      <w:r w:rsidRPr="004307B9">
        <w:t>ra utlänningars ränteinkomster till skattemyndigheten i de fall personerna är bosatta i något av medlemsländerna.</w:t>
      </w:r>
    </w:p>
    <w:p w:rsidR="004307B9" w:rsidRPr="004307B9" w:rsidRDefault="004307B9">
      <w:pPr>
        <w:pStyle w:val="Normaltindrag"/>
      </w:pPr>
      <w:r w:rsidRPr="004307B9">
        <w:t>Direktivet omfattar ränteinkomster från sparande på bankkonton och obl</w:t>
      </w:r>
      <w:r w:rsidRPr="004307B9">
        <w:t>i</w:t>
      </w:r>
      <w:r w:rsidRPr="004307B9">
        <w:t>gationer men även inkomster från fondsparande om fonden till betydande del består av räntebärande placeringar. Aktiesparande och försäkringssparande omfattas dock inte. Det innebär att ränteinkomster från sparande i bank och räntefonder ska beskattas i det land där en person är bosatt och skattskyldig – den som bor i Sverige men har ett sparkonto i ett annat land ska beskattas för eventuella ränteinkomster i Sverige. De nya reglerna tillämpades första gån</w:t>
      </w:r>
      <w:r w:rsidRPr="004307B9">
        <w:t>g</w:t>
      </w:r>
      <w:r w:rsidRPr="004307B9">
        <w:t>en vid 2007 års taxering.</w:t>
      </w:r>
    </w:p>
    <w:p w:rsidR="004307B9" w:rsidRPr="004307B9" w:rsidRDefault="004307B9">
      <w:pPr>
        <w:pStyle w:val="Normaltindrag"/>
      </w:pPr>
      <w:r w:rsidRPr="004307B9">
        <w:t>Tre EU-länder har tidigar</w:t>
      </w:r>
      <w:r w:rsidRPr="004307B9">
        <w:t>e inte omfattats av informationsutbytet; dessa har istället gjort endast källskatteavdrag för ränteutgifterna vilka sedan redovisas anonymt till hemviststaten. Dessa tre stater är Belgien, Österrike och Luxe</w:t>
      </w:r>
      <w:r w:rsidRPr="004307B9">
        <w:t>m</w:t>
      </w:r>
      <w:r w:rsidRPr="004307B9">
        <w:t>burg.</w:t>
      </w:r>
    </w:p>
    <w:p w:rsidR="004307B9" w:rsidRPr="004307B9" w:rsidRDefault="004307B9">
      <w:pPr>
        <w:pStyle w:val="Normaltindrag"/>
      </w:pPr>
      <w:r w:rsidRPr="004307B9">
        <w:lastRenderedPageBreak/>
        <w:t>Motsvarande avtal med undantag har gällt mellan EU å ena sidan och var och en av staterna Schweiz, Liechtenstein, Monaco och Andorra å andra s</w:t>
      </w:r>
      <w:r w:rsidRPr="004307B9">
        <w:t>i</w:t>
      </w:r>
      <w:r w:rsidRPr="004307B9">
        <w:t>dan.</w:t>
      </w:r>
    </w:p>
    <w:p w:rsidR="004307B9" w:rsidRPr="004307B9" w:rsidRDefault="004307B9">
      <w:pPr>
        <w:pStyle w:val="Normaltindrag"/>
      </w:pPr>
      <w:r w:rsidRPr="004307B9">
        <w:t>OECD har under 2009 klassificerat Belgien och Luxemburg som stater som helt och fullt följer OECD:s modell för skatteavtal och därför ger info</w:t>
      </w:r>
      <w:r w:rsidRPr="004307B9">
        <w:t>r</w:t>
      </w:r>
      <w:r w:rsidRPr="004307B9">
        <w:t>mation.  De tillhör därmed samma ”vita” OECD-lista som Sverige. Österrike och Schweiz har gjort utfästelser att de är beredda till fullständigt inform</w:t>
      </w:r>
      <w:r w:rsidRPr="004307B9">
        <w:t>a</w:t>
      </w:r>
      <w:r w:rsidRPr="004307B9">
        <w:t>tionsutbyte men fanns den 2 september 2009 fortfarande på OECD:s svarta lista. För att avancera till den grå listan krävs att de påbörjar implementerin</w:t>
      </w:r>
      <w:r w:rsidRPr="004307B9">
        <w:t>g</w:t>
      </w:r>
      <w:r w:rsidRPr="004307B9">
        <w:t>en av OECD:s modellavtal. Liechtenstein, Monaco och Andorra står på den grå listan.</w:t>
      </w:r>
    </w:p>
    <w:p w:rsidR="004307B9" w:rsidRPr="004307B9" w:rsidRDefault="004307B9">
      <w:pPr>
        <w:pStyle w:val="Normaltindrag"/>
      </w:pPr>
      <w:r w:rsidRPr="004307B9">
        <w:t>Utfästelser är bra men konkret informationsutbyte är bättre. Sverige måste fortsätta att pressa på inom OECD och via EU. Sta</w:t>
      </w:r>
      <w:r w:rsidRPr="004307B9">
        <w:t>ter som genom andra avtal vill ha del av EU:s olika fördelar ska inte heller ha undantag. Sverige måste inom EU kräva omedelbar tillämpning av sparandedirektivet för både EU:s medlemmar och samarbetspartner.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07B9">
        <w:trPr>
          <w:cantSplit/>
        </w:trPr>
        <w:tc>
          <w:tcPr>
            <w:tcW w:w="3046" w:type="dxa"/>
          </w:tcPr>
          <w:p w:rsidR="004307B9" w:rsidRPr="004307B9" w:rsidRDefault="004307B9">
            <w:pPr>
              <w:pStyle w:val="UnderskriftDatum"/>
              <w:spacing w:before="240"/>
            </w:pPr>
            <w:r w:rsidRPr="004307B9">
              <w:t>Stockholm den 29 september 2009</w:t>
            </w:r>
          </w:p>
        </w:tc>
        <w:tc>
          <w:tcPr>
            <w:tcW w:w="3047" w:type="dxa"/>
          </w:tcPr>
          <w:p w:rsidR="004307B9" w:rsidRPr="004307B9" w:rsidRDefault="004307B9">
            <w:pPr>
              <w:pStyle w:val="Underskrifter"/>
              <w:spacing w:before="240"/>
            </w:pPr>
          </w:p>
        </w:tc>
      </w:tr>
      <w:tr w:rsidR="00000000" w:rsidRPr="004307B9">
        <w:trPr>
          <w:cantSplit/>
        </w:trPr>
        <w:tc>
          <w:tcPr>
            <w:tcW w:w="3046" w:type="dxa"/>
          </w:tcPr>
          <w:p w:rsidR="004307B9" w:rsidRPr="004307B9" w:rsidRDefault="004307B9">
            <w:pPr>
              <w:pStyle w:val="Underskrifter"/>
            </w:pPr>
            <w:r w:rsidRPr="004307B9">
              <w:t>Monica Green (s)</w:t>
            </w:r>
          </w:p>
        </w:tc>
        <w:tc>
          <w:tcPr>
            <w:tcW w:w="3046" w:type="dxa"/>
          </w:tcPr>
          <w:p w:rsidR="004307B9" w:rsidRPr="004307B9" w:rsidRDefault="004307B9">
            <w:pPr>
              <w:pStyle w:val="Underskrifter"/>
            </w:pPr>
          </w:p>
        </w:tc>
      </w:tr>
    </w:tbl>
    <w:p w:rsidR="004307B9" w:rsidRPr="004307B9" w:rsidRDefault="004307B9">
      <w:pPr>
        <w:pStyle w:val="Normaltindrag"/>
      </w:pPr>
    </w:p>
    <w:sectPr w:rsidR="00000000" w:rsidRPr="004307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7B9" w:rsidRPr="004307B9" w:rsidRDefault="004307B9">
      <w:r w:rsidRPr="004307B9">
        <w:separator/>
      </w:r>
    </w:p>
  </w:endnote>
  <w:endnote w:type="continuationSeparator" w:id="0">
    <w:p w:rsidR="004307B9" w:rsidRPr="004307B9" w:rsidRDefault="004307B9">
      <w:r w:rsidRPr="004307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B9" w:rsidRPr="004307B9" w:rsidRDefault="004307B9">
    <w:pPr>
      <w:pStyle w:val="Sidfot"/>
    </w:pPr>
    <w:r w:rsidRPr="004307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01350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7B9" w:rsidRDefault="004307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07B9" w:rsidRDefault="004307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B9" w:rsidRPr="004307B9" w:rsidRDefault="004307B9">
    <w:pPr>
      <w:pStyle w:val="Sidfot"/>
    </w:pPr>
    <w:r w:rsidRPr="004307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528885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7B9" w:rsidRDefault="004307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07B9" w:rsidRDefault="004307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B9" w:rsidRPr="004307B9" w:rsidRDefault="004307B9">
    <w:pPr>
      <w:pStyle w:val="Sidfot"/>
    </w:pPr>
    <w:r w:rsidRPr="004307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52763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7B9" w:rsidRDefault="004307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07B9" w:rsidRDefault="004307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7B9" w:rsidRPr="004307B9" w:rsidRDefault="004307B9">
      <w:r w:rsidRPr="004307B9">
        <w:separator/>
      </w:r>
    </w:p>
  </w:footnote>
  <w:footnote w:type="continuationSeparator" w:id="0">
    <w:p w:rsidR="004307B9" w:rsidRPr="004307B9" w:rsidRDefault="004307B9">
      <w:r w:rsidRPr="004307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B9" w:rsidRPr="004307B9" w:rsidRDefault="004307B9">
    <w:pPr>
      <w:pStyle w:val="Sidhuvud"/>
    </w:pPr>
    <w:r w:rsidRPr="004307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76140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7B9" w:rsidRDefault="004307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07B9" w:rsidRDefault="004307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B9" w:rsidRPr="004307B9" w:rsidRDefault="004307B9">
    <w:pPr>
      <w:pStyle w:val="Sidhuvud"/>
    </w:pPr>
    <w:r w:rsidRPr="004307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40859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7B9" w:rsidRDefault="004307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07B9" w:rsidRDefault="004307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B9" w:rsidRPr="004307B9" w:rsidRDefault="004307B9">
    <w:pPr>
      <w:pStyle w:val="FSHNormal"/>
      <w:tabs>
        <w:tab w:val="right" w:pos="5840"/>
      </w:tabs>
    </w:pPr>
    <w:r w:rsidRPr="004307B9">
      <w:br/>
    </w:r>
    <w:r w:rsidRPr="004307B9">
      <w:fldChar w:fldCharType="begin" w:fldLock="1"/>
    </w:r>
    <w:r w:rsidRPr="004307B9">
      <w:instrText xml:space="preserve"> DOCPROPERTY</w:instrText>
    </w:r>
    <w:r w:rsidRPr="004307B9">
      <w:rPr>
        <w:sz w:val="18"/>
      </w:rPr>
      <w:instrText xml:space="preserve"> "YearUser" *\charformat </w:instrText>
    </w:r>
    <w:r w:rsidRPr="004307B9">
      <w:fldChar w:fldCharType="separate"/>
    </w:r>
    <w:r w:rsidRPr="004307B9">
      <w:t>2009/10</w:t>
    </w:r>
    <w:r w:rsidRPr="004307B9">
      <w:fldChar w:fldCharType="end"/>
    </w:r>
    <w:r w:rsidRPr="004307B9">
      <w:t xml:space="preserve"> </w:t>
    </w:r>
    <w:r w:rsidRPr="004307B9">
      <w:tab/>
      <w:t xml:space="preserve">mnr: </w:t>
    </w:r>
    <w:r w:rsidRPr="004307B9">
      <w:fldChar w:fldCharType="begin" w:fldLock="1"/>
    </w:r>
    <w:r w:rsidRPr="004307B9">
      <w:instrText xml:space="preserve"> DOCPROPERTY</w:instrText>
    </w:r>
    <w:r w:rsidRPr="004307B9">
      <w:rPr>
        <w:sz w:val="18"/>
      </w:rPr>
      <w:instrText xml:space="preserve"> "Motionsnummer" *\charformat </w:instrText>
    </w:r>
    <w:r w:rsidRPr="004307B9">
      <w:fldChar w:fldCharType="separate"/>
    </w:r>
    <w:r w:rsidRPr="004307B9">
      <w:t>Sk556</w:t>
    </w:r>
    <w:r w:rsidRPr="004307B9">
      <w:fldChar w:fldCharType="end"/>
    </w:r>
    <w:r w:rsidRPr="004307B9">
      <w:br/>
    </w:r>
    <w:r w:rsidRPr="004307B9">
      <w:fldChar w:fldCharType="begin" w:fldLock="1"/>
    </w:r>
    <w:r w:rsidRPr="004307B9">
      <w:instrText xml:space="preserve"> DOCPROPERTY</w:instrText>
    </w:r>
    <w:r w:rsidRPr="004307B9">
      <w:rPr>
        <w:sz w:val="18"/>
      </w:rPr>
      <w:instrText xml:space="preserve"> "Samling" *\charformat </w:instrText>
    </w:r>
    <w:r w:rsidRPr="004307B9">
      <w:fldChar w:fldCharType="end"/>
    </w:r>
    <w:r w:rsidRPr="004307B9">
      <w:tab/>
      <w:t xml:space="preserve">pnr: </w:t>
    </w:r>
    <w:r w:rsidRPr="004307B9">
      <w:fldChar w:fldCharType="begin" w:fldLock="1"/>
    </w:r>
    <w:r w:rsidRPr="004307B9">
      <w:instrText xml:space="preserve"> DOCPROPERTY</w:instrText>
    </w:r>
    <w:r w:rsidRPr="004307B9">
      <w:rPr>
        <w:sz w:val="18"/>
      </w:rPr>
      <w:instrText xml:space="preserve"> "Partinummer" *\charformat </w:instrText>
    </w:r>
    <w:r w:rsidRPr="004307B9">
      <w:fldChar w:fldCharType="separate"/>
    </w:r>
    <w:r w:rsidRPr="004307B9">
      <w:t>s30013</w:t>
    </w:r>
    <w:r w:rsidRPr="004307B9">
      <w:fldChar w:fldCharType="end"/>
    </w:r>
  </w:p>
  <w:p w:rsidR="004307B9" w:rsidRPr="004307B9" w:rsidRDefault="004307B9">
    <w:pPr>
      <w:pStyle w:val="FSHRub1"/>
    </w:pPr>
    <w:r w:rsidRPr="004307B9">
      <w:t>Motion till riksdagen</w:t>
    </w:r>
    <w:r w:rsidRPr="004307B9">
      <w:br/>
    </w:r>
    <w:r w:rsidRPr="004307B9">
      <w:fldChar w:fldCharType="begin" w:fldLock="1"/>
    </w:r>
    <w:r w:rsidRPr="004307B9">
      <w:instrText xml:space="preserve"> DOCPROPERTY "YearUser" *\charformat </w:instrText>
    </w:r>
    <w:r w:rsidRPr="004307B9">
      <w:fldChar w:fldCharType="separate"/>
    </w:r>
    <w:r w:rsidRPr="004307B9">
      <w:t>2009/10</w:t>
    </w:r>
    <w:r w:rsidRPr="004307B9">
      <w:fldChar w:fldCharType="end"/>
    </w:r>
    <w:r w:rsidRPr="004307B9">
      <w:t>:</w:t>
    </w:r>
    <w:r w:rsidRPr="004307B9">
      <w:fldChar w:fldCharType="begin" w:fldLock="1"/>
    </w:r>
    <w:r w:rsidRPr="004307B9">
      <w:instrText xml:space="preserve"> DOCPROPERTY "Motionsnummer" *\charformat </w:instrText>
    </w:r>
    <w:r w:rsidRPr="004307B9">
      <w:fldChar w:fldCharType="separate"/>
    </w:r>
    <w:r w:rsidRPr="004307B9">
      <w:t>Sk556</w:t>
    </w:r>
    <w:r w:rsidRPr="004307B9">
      <w:fldChar w:fldCharType="end"/>
    </w:r>
  </w:p>
  <w:p w:rsidR="004307B9" w:rsidRPr="004307B9" w:rsidRDefault="004307B9">
    <w:pPr>
      <w:pStyle w:val="FSHNormalS5"/>
    </w:pPr>
    <w:r w:rsidRPr="004307B9">
      <w:fldChar w:fldCharType="begin" w:fldLock="1"/>
    </w:r>
    <w:r w:rsidRPr="004307B9">
      <w:instrText xml:space="preserve"> DOCPROPERTY "MotionarText" *\charformat </w:instrText>
    </w:r>
    <w:r w:rsidRPr="004307B9">
      <w:fldChar w:fldCharType="separate"/>
    </w:r>
    <w:r w:rsidRPr="004307B9">
      <w:t>av Monica Green (s)</w:t>
    </w:r>
    <w:r w:rsidRPr="004307B9">
      <w:fldChar w:fldCharType="end"/>
    </w:r>
    <w:r w:rsidRPr="004307B9">
      <w:br/>
    </w:r>
    <w:r w:rsidRPr="004307B9">
      <w:fldChar w:fldCharType="begin" w:fldLock="1"/>
    </w:r>
    <w:r w:rsidRPr="004307B9">
      <w:instrText xml:space="preserve"> DOCPROPERTY "SvarFrasKort" *\charformat </w:instrText>
    </w:r>
    <w:r w:rsidRPr="004307B9">
      <w:fldChar w:fldCharType="end"/>
    </w:r>
  </w:p>
  <w:p w:rsidR="004307B9" w:rsidRPr="004307B9" w:rsidRDefault="004307B9">
    <w:pPr>
      <w:pStyle w:val="FSHTitel"/>
    </w:pPr>
    <w:r w:rsidRPr="004307B9">
      <w:fldChar w:fldCharType="begin" w:fldLock="1"/>
    </w:r>
    <w:r w:rsidRPr="004307B9">
      <w:instrText xml:space="preserve"> DOCPROPERTY</w:instrText>
    </w:r>
    <w:r w:rsidRPr="004307B9">
      <w:rPr>
        <w:sz w:val="18"/>
      </w:rPr>
      <w:instrText xml:space="preserve"> "RubrikSvar" *\charformat </w:instrText>
    </w:r>
    <w:r w:rsidRPr="004307B9">
      <w:fldChar w:fldCharType="separate"/>
    </w:r>
    <w:r w:rsidRPr="004307B9">
      <w:t>EU:s sparandedirektiv och informationsutbytet</w:t>
    </w:r>
    <w:r w:rsidRPr="004307B9">
      <w:fldChar w:fldCharType="end"/>
    </w:r>
  </w:p>
  <w:p w:rsidR="004307B9" w:rsidRPr="004307B9" w:rsidRDefault="004307B9">
    <w:pPr>
      <w:pStyle w:val="Normal00"/>
    </w:pPr>
  </w:p>
  <w:p w:rsidR="004307B9" w:rsidRPr="004307B9" w:rsidRDefault="004307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2350983">
    <w:abstractNumId w:val="8"/>
  </w:num>
  <w:num w:numId="2" w16cid:durableId="906494921">
    <w:abstractNumId w:val="9"/>
  </w:num>
  <w:num w:numId="3" w16cid:durableId="1477530386">
    <w:abstractNumId w:val="8"/>
  </w:num>
  <w:num w:numId="4" w16cid:durableId="305858012">
    <w:abstractNumId w:val="9"/>
  </w:num>
  <w:num w:numId="5" w16cid:durableId="69431388">
    <w:abstractNumId w:val="13"/>
  </w:num>
  <w:num w:numId="6" w16cid:durableId="1283616208">
    <w:abstractNumId w:val="10"/>
  </w:num>
  <w:num w:numId="7" w16cid:durableId="442382655">
    <w:abstractNumId w:val="11"/>
  </w:num>
  <w:num w:numId="8" w16cid:durableId="1765761561">
    <w:abstractNumId w:val="12"/>
  </w:num>
  <w:num w:numId="9" w16cid:durableId="753554545">
    <w:abstractNumId w:val="8"/>
  </w:num>
  <w:num w:numId="10" w16cid:durableId="830603384">
    <w:abstractNumId w:val="3"/>
  </w:num>
  <w:num w:numId="11" w16cid:durableId="1025325590">
    <w:abstractNumId w:val="2"/>
  </w:num>
  <w:num w:numId="12" w16cid:durableId="242841721">
    <w:abstractNumId w:val="1"/>
  </w:num>
  <w:num w:numId="13" w16cid:durableId="319238689">
    <w:abstractNumId w:val="0"/>
  </w:num>
  <w:num w:numId="14" w16cid:durableId="1333141210">
    <w:abstractNumId w:val="9"/>
  </w:num>
  <w:num w:numId="15" w16cid:durableId="1088775254">
    <w:abstractNumId w:val="7"/>
  </w:num>
  <w:num w:numId="16" w16cid:durableId="264657105">
    <w:abstractNumId w:val="6"/>
  </w:num>
  <w:num w:numId="17" w16cid:durableId="615020670">
    <w:abstractNumId w:val="5"/>
  </w:num>
  <w:num w:numId="18" w16cid:durableId="1497379398">
    <w:abstractNumId w:val="4"/>
  </w:num>
  <w:num w:numId="19" w16cid:durableId="1626616993">
    <w:abstractNumId w:val="11"/>
  </w:num>
  <w:num w:numId="20" w16cid:durableId="1434279423">
    <w:abstractNumId w:val="10"/>
  </w:num>
  <w:num w:numId="21" w16cid:durableId="1112359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5"/>
    <w:docVar w:name="PersonGUIDs" w:val="{1BC77BF2-1434-48AB-A11D-A22928463538}"/>
  </w:docVars>
  <w:rsids>
    <w:rsidRoot w:val="009A38C8"/>
    <w:rsid w:val="004307B9"/>
    <w:rsid w:val="009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3BC3B799-8059-483D-8016-90419BC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2175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s30013</vt:lpstr>
    </vt:vector>
  </TitlesOfParts>
  <Company>Riksdagen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s30013</dc:title>
  <dc:subject>s30013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2010-01-24T13:52:00Z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mot2000_515_2009-12-15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EU:s sparandedirektiv och informationsutbytet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sparandedirektiv och informationsutbytet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20092010000000000115000300130069</vt:lpwstr>
  </property>
  <property fmtid="{D5CDD505-2E9C-101B-9397-08002B2CF9AE}" pid="47" name="datum">
    <vt:lpwstr>090929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20092010000000000115000300130069</vt:lpwstr>
  </property>
  <property fmtid="{D5CDD505-2E9C-101B-9397-08002B2CF9AE}" pid="50" name="nummer">
    <vt:lpwstr>556</vt:lpwstr>
  </property>
  <property fmtid="{D5CDD505-2E9C-101B-9397-08002B2CF9AE}" pid="51" name="utskottsbeteckning">
    <vt:lpwstr>Sk</vt:lpwstr>
  </property>
  <property fmtid="{D5CDD505-2E9C-101B-9397-08002B2CF9AE}" pid="52" name="GlobalUID">
    <vt:lpwstr>{1035344C-5AFB-409E-9398-A701932505F7}</vt:lpwstr>
  </property>
  <property fmtid="{D5CDD505-2E9C-101B-9397-08002B2CF9AE}" pid="53" name="Överföringar">
    <vt:i4>0</vt:i4>
  </property>
  <property fmtid="{D5CDD505-2E9C-101B-9397-08002B2CF9AE}" pid="54" name="Checksum">
    <vt:lpwstr>*1017103520846*</vt:lpwstr>
  </property>
  <property fmtid="{D5CDD505-2E9C-101B-9397-08002B2CF9AE}" pid="55" name="skuggnummer">
    <vt:lpwstr>3821</vt:lpwstr>
  </property>
  <property fmtid="{D5CDD505-2E9C-101B-9397-08002B2CF9AE}" pid="56" name="urixVersion">
    <vt:lpwstr>4.1.0.6</vt:lpwstr>
  </property>
  <property fmtid="{D5CDD505-2E9C-101B-9397-08002B2CF9AE}" pid="57" name="urixOrigin">
    <vt:lpwstr>100124 14:52:31.218</vt:lpwstr>
  </property>
  <property fmtid="{D5CDD505-2E9C-101B-9397-08002B2CF9AE}" pid="58" name="urixGuid">
    <vt:lpwstr>{C44C60AC-1CF9-41F8-9B15-1CE1600A0496}</vt:lpwstr>
  </property>
</Properties>
</file>