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9740" w:type="dxa"/>
        <w:tblInd w:w="-497" w:type="dxa"/>
        <w:tblLayout w:type="fixed"/>
        <w:tblCellMar>
          <w:left w:w="70" w:type="dxa"/>
          <w:right w:w="70" w:type="dxa"/>
        </w:tblCellMar>
        <w:tblLook w:val="0000" w:firstRow="0" w:lastRow="0" w:firstColumn="0" w:lastColumn="0" w:noHBand="0" w:noVBand="0"/>
      </w:tblPr>
      <w:tblGrid>
        <w:gridCol w:w="567"/>
        <w:gridCol w:w="1418"/>
        <w:gridCol w:w="497"/>
        <w:gridCol w:w="2107"/>
        <w:gridCol w:w="303"/>
        <w:gridCol w:w="283"/>
        <w:gridCol w:w="425"/>
        <w:gridCol w:w="284"/>
        <w:gridCol w:w="283"/>
        <w:gridCol w:w="285"/>
        <w:gridCol w:w="356"/>
        <w:gridCol w:w="356"/>
        <w:gridCol w:w="356"/>
        <w:gridCol w:w="295"/>
        <w:gridCol w:w="61"/>
        <w:gridCol w:w="356"/>
        <w:gridCol w:w="216"/>
        <w:gridCol w:w="140"/>
        <w:gridCol w:w="356"/>
        <w:gridCol w:w="357"/>
        <w:gridCol w:w="439"/>
      </w:tblGrid>
      <w:tr w:rsidR="0096348C" w:rsidTr="001C44BD">
        <w:trPr>
          <w:gridAfter w:val="4"/>
          <w:wAfter w:w="1292" w:type="dxa"/>
          <w:cantSplit/>
          <w:trHeight w:val="742"/>
        </w:trPr>
        <w:tc>
          <w:tcPr>
            <w:tcW w:w="1985" w:type="dxa"/>
            <w:gridSpan w:val="2"/>
          </w:tcPr>
          <w:p w:rsidR="0096348C" w:rsidRDefault="0096348C" w:rsidP="0096348C">
            <w:pPr>
              <w:rPr>
                <w:b/>
              </w:rPr>
            </w:pPr>
            <w:r>
              <w:rPr>
                <w:b/>
              </w:rPr>
              <w:t xml:space="preserve">PROTOKOLL </w:t>
            </w:r>
          </w:p>
        </w:tc>
        <w:tc>
          <w:tcPr>
            <w:tcW w:w="6463" w:type="dxa"/>
            <w:gridSpan w:val="15"/>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1C7B5C">
              <w:rPr>
                <w:b/>
              </w:rPr>
              <w:t>31</w:t>
            </w:r>
          </w:p>
          <w:p w:rsidR="0096348C" w:rsidRDefault="0096348C" w:rsidP="0096348C">
            <w:pPr>
              <w:rPr>
                <w:b/>
              </w:rPr>
            </w:pPr>
          </w:p>
        </w:tc>
      </w:tr>
      <w:tr w:rsidR="0096348C" w:rsidTr="001C44BD">
        <w:trPr>
          <w:gridAfter w:val="4"/>
          <w:wAfter w:w="1292" w:type="dxa"/>
        </w:trPr>
        <w:tc>
          <w:tcPr>
            <w:tcW w:w="1985" w:type="dxa"/>
            <w:gridSpan w:val="2"/>
          </w:tcPr>
          <w:p w:rsidR="0096348C" w:rsidRDefault="0096348C" w:rsidP="0096348C">
            <w:r>
              <w:t>DATUM</w:t>
            </w:r>
          </w:p>
        </w:tc>
        <w:tc>
          <w:tcPr>
            <w:tcW w:w="6463" w:type="dxa"/>
            <w:gridSpan w:val="15"/>
          </w:tcPr>
          <w:p w:rsidR="0096348C" w:rsidRDefault="00157237" w:rsidP="001C7B5C">
            <w:r>
              <w:t>2</w:t>
            </w:r>
            <w:r w:rsidR="00407054">
              <w:t>019</w:t>
            </w:r>
            <w:r w:rsidR="00857D25">
              <w:t>-</w:t>
            </w:r>
            <w:r w:rsidR="00824476">
              <w:t>0</w:t>
            </w:r>
            <w:r w:rsidR="000825AC">
              <w:t>5-</w:t>
            </w:r>
            <w:r w:rsidR="001C7B5C">
              <w:t>16</w:t>
            </w:r>
          </w:p>
        </w:tc>
      </w:tr>
      <w:tr w:rsidR="0096348C" w:rsidTr="001C44BD">
        <w:trPr>
          <w:gridAfter w:val="4"/>
          <w:wAfter w:w="1292" w:type="dxa"/>
        </w:trPr>
        <w:tc>
          <w:tcPr>
            <w:tcW w:w="1985" w:type="dxa"/>
            <w:gridSpan w:val="2"/>
          </w:tcPr>
          <w:p w:rsidR="0096348C" w:rsidRDefault="0096348C" w:rsidP="0096348C">
            <w:r>
              <w:t>TID</w:t>
            </w:r>
          </w:p>
        </w:tc>
        <w:tc>
          <w:tcPr>
            <w:tcW w:w="6463" w:type="dxa"/>
            <w:gridSpan w:val="15"/>
          </w:tcPr>
          <w:p w:rsidR="0096348C" w:rsidRDefault="00857D25" w:rsidP="001C7B5C">
            <w:r>
              <w:t>1</w:t>
            </w:r>
            <w:r w:rsidR="001C7B5C">
              <w:t>0</w:t>
            </w:r>
            <w:r>
              <w:t>.00</w:t>
            </w:r>
            <w:r w:rsidR="001D471D">
              <w:t>–</w:t>
            </w:r>
            <w:r w:rsidR="00ED2F19">
              <w:t>10.56</w:t>
            </w:r>
          </w:p>
        </w:tc>
      </w:tr>
      <w:tr w:rsidR="0096348C" w:rsidTr="001C44BD">
        <w:trPr>
          <w:gridAfter w:val="4"/>
          <w:wAfter w:w="1292" w:type="dxa"/>
        </w:trPr>
        <w:tc>
          <w:tcPr>
            <w:tcW w:w="1985" w:type="dxa"/>
            <w:gridSpan w:val="2"/>
          </w:tcPr>
          <w:p w:rsidR="0096348C" w:rsidRDefault="0096348C" w:rsidP="0096348C">
            <w:r>
              <w:t>NÄRVARANDE</w:t>
            </w:r>
          </w:p>
        </w:tc>
        <w:tc>
          <w:tcPr>
            <w:tcW w:w="6463" w:type="dxa"/>
            <w:gridSpan w:val="15"/>
          </w:tcPr>
          <w:p w:rsidR="002815F8" w:rsidRDefault="0096348C" w:rsidP="00D4374F">
            <w:r>
              <w:t>Se bilaga 1</w:t>
            </w:r>
          </w:p>
          <w:p w:rsidR="004C7E1C" w:rsidRDefault="004C7E1C" w:rsidP="00D4374F"/>
          <w:p w:rsidR="004E165E" w:rsidRDefault="004E165E" w:rsidP="00D4374F"/>
        </w:tc>
      </w:tr>
      <w:tr w:rsidR="000F3CC4" w:rsidTr="00BA36BA">
        <w:tblPrEx>
          <w:tblLook w:val="00A0" w:firstRow="1" w:lastRow="0" w:firstColumn="1" w:lastColumn="0" w:noHBand="0" w:noVBand="0"/>
        </w:tblPrEx>
        <w:trPr>
          <w:gridBefore w:val="2"/>
          <w:wBefore w:w="1985" w:type="dxa"/>
        </w:trPr>
        <w:tc>
          <w:tcPr>
            <w:tcW w:w="497" w:type="dxa"/>
          </w:tcPr>
          <w:p w:rsidR="000F3CC4" w:rsidRDefault="000F3CC4" w:rsidP="00D45CC4">
            <w:pPr>
              <w:tabs>
                <w:tab w:val="left" w:pos="1701"/>
              </w:tabs>
              <w:rPr>
                <w:b/>
                <w:snapToGrid w:val="0"/>
              </w:rPr>
            </w:pPr>
            <w:r>
              <w:rPr>
                <w:b/>
                <w:snapToGrid w:val="0"/>
              </w:rPr>
              <w:t>§ 1</w:t>
            </w:r>
          </w:p>
        </w:tc>
        <w:tc>
          <w:tcPr>
            <w:tcW w:w="7258" w:type="dxa"/>
            <w:gridSpan w:val="18"/>
          </w:tcPr>
          <w:p w:rsidR="000F3CC4" w:rsidRDefault="000F3CC4" w:rsidP="00ED2F19">
            <w:pPr>
              <w:tabs>
                <w:tab w:val="left" w:pos="1701"/>
              </w:tabs>
              <w:spacing w:after="120"/>
            </w:pPr>
            <w:r>
              <w:rPr>
                <w:b/>
              </w:rPr>
              <w:t>Val av andre vice ordförande</w:t>
            </w:r>
          </w:p>
          <w:p w:rsidR="009C386A" w:rsidRDefault="009C386A" w:rsidP="009C386A">
            <w:pPr>
              <w:rPr>
                <w:sz w:val="22"/>
              </w:rPr>
            </w:pPr>
            <w:r>
              <w:t>Mats Green (M) och Magnus Persson (SD) nominerades till andre vice ordförande.</w:t>
            </w:r>
          </w:p>
          <w:p w:rsidR="009129A3" w:rsidRDefault="009129A3" w:rsidP="00723D66">
            <w:pPr>
              <w:tabs>
                <w:tab w:val="left" w:pos="1701"/>
              </w:tabs>
            </w:pPr>
          </w:p>
          <w:p w:rsidR="009C386A" w:rsidRDefault="009C386A" w:rsidP="00723D66">
            <w:pPr>
              <w:tabs>
                <w:tab w:val="left" w:pos="1701"/>
              </w:tabs>
            </w:pPr>
            <w:r>
              <w:t>Utskottet valde Mats Green (M) till andre vice ordförande.</w:t>
            </w:r>
          </w:p>
          <w:p w:rsidR="009C386A" w:rsidRDefault="009C386A" w:rsidP="00723D66">
            <w:pPr>
              <w:tabs>
                <w:tab w:val="left" w:pos="1701"/>
              </w:tabs>
            </w:pPr>
          </w:p>
          <w:p w:rsidR="009129A3" w:rsidRDefault="009129A3" w:rsidP="00723D66">
            <w:pPr>
              <w:tabs>
                <w:tab w:val="left" w:pos="1701"/>
              </w:tabs>
            </w:pPr>
            <w:r>
              <w:t>Denna paragraf förklarades omedelbart justerad.</w:t>
            </w:r>
          </w:p>
          <w:p w:rsidR="009129A3" w:rsidRPr="009129A3" w:rsidRDefault="009129A3" w:rsidP="00723D66">
            <w:pPr>
              <w:tabs>
                <w:tab w:val="left" w:pos="1701"/>
              </w:tabs>
            </w:pPr>
          </w:p>
        </w:tc>
      </w:tr>
      <w:tr w:rsidR="0096348C" w:rsidTr="00BA36BA">
        <w:tblPrEx>
          <w:tblLook w:val="00A0" w:firstRow="1" w:lastRow="0" w:firstColumn="1" w:lastColumn="0" w:noHBand="0" w:noVBand="0"/>
        </w:tblPrEx>
        <w:trPr>
          <w:gridBefore w:val="2"/>
          <w:wBefore w:w="1985" w:type="dxa"/>
        </w:trPr>
        <w:tc>
          <w:tcPr>
            <w:tcW w:w="497" w:type="dxa"/>
          </w:tcPr>
          <w:p w:rsidR="0096348C" w:rsidRDefault="009C2239" w:rsidP="00D45CC4">
            <w:pPr>
              <w:tabs>
                <w:tab w:val="left" w:pos="1701"/>
              </w:tabs>
              <w:rPr>
                <w:b/>
                <w:snapToGrid w:val="0"/>
              </w:rPr>
            </w:pPr>
            <w:r>
              <w:rPr>
                <w:b/>
                <w:snapToGrid w:val="0"/>
              </w:rPr>
              <w:t xml:space="preserve">§ </w:t>
            </w:r>
            <w:r w:rsidR="000F3CC4">
              <w:rPr>
                <w:b/>
                <w:snapToGrid w:val="0"/>
              </w:rPr>
              <w:t>2</w:t>
            </w:r>
          </w:p>
        </w:tc>
        <w:tc>
          <w:tcPr>
            <w:tcW w:w="7258" w:type="dxa"/>
            <w:gridSpan w:val="18"/>
          </w:tcPr>
          <w:p w:rsidR="0014396D" w:rsidRDefault="00C04577" w:rsidP="00ED2F19">
            <w:pPr>
              <w:tabs>
                <w:tab w:val="left" w:pos="1701"/>
              </w:tabs>
              <w:spacing w:after="120"/>
              <w:rPr>
                <w:snapToGrid w:val="0"/>
              </w:rPr>
            </w:pPr>
            <w:r>
              <w:rPr>
                <w:b/>
              </w:rPr>
              <w:t>Justering av protokoll</w:t>
            </w:r>
          </w:p>
          <w:p w:rsidR="00E00DB7" w:rsidRDefault="00C04577" w:rsidP="0014396D">
            <w:pPr>
              <w:tabs>
                <w:tab w:val="left" w:pos="1701"/>
              </w:tabs>
              <w:rPr>
                <w:snapToGrid w:val="0"/>
              </w:rPr>
            </w:pPr>
            <w:r>
              <w:rPr>
                <w:snapToGrid w:val="0"/>
              </w:rPr>
              <w:t>Utskott</w:t>
            </w:r>
            <w:r w:rsidR="00332427">
              <w:rPr>
                <w:snapToGrid w:val="0"/>
              </w:rPr>
              <w:t>et justerade protokoll 2018/19:</w:t>
            </w:r>
            <w:r w:rsidR="001C7B5C">
              <w:rPr>
                <w:snapToGrid w:val="0"/>
              </w:rPr>
              <w:t>30</w:t>
            </w:r>
            <w:r>
              <w:rPr>
                <w:snapToGrid w:val="0"/>
              </w:rPr>
              <w:t>.</w:t>
            </w:r>
          </w:p>
          <w:p w:rsidR="00F74413" w:rsidRDefault="00F74413" w:rsidP="00706006">
            <w:pPr>
              <w:tabs>
                <w:tab w:val="left" w:pos="1701"/>
              </w:tabs>
              <w:rPr>
                <w:snapToGrid w:val="0"/>
              </w:rPr>
            </w:pPr>
          </w:p>
        </w:tc>
      </w:tr>
      <w:tr w:rsidR="000164AB" w:rsidTr="00BA36BA">
        <w:tblPrEx>
          <w:tblLook w:val="00A0" w:firstRow="1" w:lastRow="0" w:firstColumn="1" w:lastColumn="0" w:noHBand="0" w:noVBand="0"/>
        </w:tblPrEx>
        <w:trPr>
          <w:gridBefore w:val="2"/>
          <w:wBefore w:w="1985" w:type="dxa"/>
        </w:trPr>
        <w:tc>
          <w:tcPr>
            <w:tcW w:w="497" w:type="dxa"/>
          </w:tcPr>
          <w:p w:rsidR="000164AB" w:rsidRDefault="000164AB" w:rsidP="000F3CC4">
            <w:pPr>
              <w:tabs>
                <w:tab w:val="left" w:pos="1701"/>
              </w:tabs>
              <w:rPr>
                <w:b/>
                <w:snapToGrid w:val="0"/>
              </w:rPr>
            </w:pPr>
            <w:r>
              <w:rPr>
                <w:b/>
                <w:snapToGrid w:val="0"/>
              </w:rPr>
              <w:t xml:space="preserve">§ </w:t>
            </w:r>
            <w:r w:rsidR="000F3CC4">
              <w:rPr>
                <w:b/>
                <w:snapToGrid w:val="0"/>
              </w:rPr>
              <w:t>3</w:t>
            </w:r>
          </w:p>
        </w:tc>
        <w:tc>
          <w:tcPr>
            <w:tcW w:w="7258" w:type="dxa"/>
            <w:gridSpan w:val="18"/>
          </w:tcPr>
          <w:p w:rsidR="00411754" w:rsidRPr="00411754" w:rsidRDefault="000A4FFF" w:rsidP="00411754">
            <w:pPr>
              <w:widowControl/>
              <w:autoSpaceDE w:val="0"/>
              <w:autoSpaceDN w:val="0"/>
              <w:adjustRightInd w:val="0"/>
              <w:spacing w:after="120"/>
              <w:textAlignment w:val="center"/>
              <w:rPr>
                <w:szCs w:val="22"/>
              </w:rPr>
            </w:pPr>
            <w:r>
              <w:rPr>
                <w:rFonts w:eastAsiaTheme="minorHAnsi"/>
                <w:b/>
                <w:bCs/>
                <w:szCs w:val="24"/>
                <w:lang w:eastAsia="en-US"/>
              </w:rPr>
              <w:t>Vårändringsbudget för 2019</w:t>
            </w:r>
            <w:r w:rsidR="001C7B5C">
              <w:rPr>
                <w:rFonts w:eastAsiaTheme="minorHAnsi"/>
                <w:b/>
                <w:bCs/>
                <w:szCs w:val="24"/>
                <w:lang w:eastAsia="en-US"/>
              </w:rPr>
              <w:t xml:space="preserve"> (AU2y)</w:t>
            </w:r>
          </w:p>
          <w:p w:rsidR="00324549" w:rsidRDefault="000A4FFF" w:rsidP="000A4FFF">
            <w:pPr>
              <w:widowControl/>
              <w:textAlignment w:val="center"/>
              <w:rPr>
                <w:bCs/>
                <w:color w:val="000000"/>
                <w:szCs w:val="24"/>
              </w:rPr>
            </w:pPr>
            <w:r>
              <w:rPr>
                <w:bCs/>
                <w:color w:val="000000"/>
                <w:szCs w:val="24"/>
              </w:rPr>
              <w:t xml:space="preserve">Utskottet </w:t>
            </w:r>
            <w:r w:rsidR="001C7B5C">
              <w:rPr>
                <w:bCs/>
                <w:color w:val="000000"/>
                <w:szCs w:val="24"/>
              </w:rPr>
              <w:t xml:space="preserve">fortsatte behandlingen av </w:t>
            </w:r>
            <w:r>
              <w:rPr>
                <w:bCs/>
                <w:color w:val="000000"/>
                <w:szCs w:val="24"/>
              </w:rPr>
              <w:t>proposition 2018/19:99 och motioner.</w:t>
            </w:r>
          </w:p>
          <w:p w:rsidR="000A4FFF" w:rsidRPr="00442BB4" w:rsidRDefault="000A4FFF" w:rsidP="000A4FFF">
            <w:pPr>
              <w:widowControl/>
              <w:textAlignment w:val="center"/>
              <w:rPr>
                <w:bCs/>
                <w:color w:val="000000"/>
                <w:szCs w:val="24"/>
              </w:rPr>
            </w:pPr>
          </w:p>
          <w:p w:rsidR="001C7B5C" w:rsidRDefault="001C7B5C" w:rsidP="000A4FFF">
            <w:pPr>
              <w:widowControl/>
              <w:textAlignment w:val="center"/>
              <w:rPr>
                <w:bCs/>
                <w:color w:val="000000"/>
                <w:szCs w:val="24"/>
              </w:rPr>
            </w:pPr>
            <w:r w:rsidRPr="001C7B5C">
              <w:rPr>
                <w:bCs/>
                <w:color w:val="000000"/>
                <w:szCs w:val="24"/>
              </w:rPr>
              <w:t>U</w:t>
            </w:r>
            <w:r w:rsidR="00442BB4">
              <w:rPr>
                <w:bCs/>
                <w:color w:val="000000"/>
                <w:szCs w:val="24"/>
              </w:rPr>
              <w:t>tskottet justerade yttrande 2018</w:t>
            </w:r>
            <w:r w:rsidRPr="001C7B5C">
              <w:rPr>
                <w:bCs/>
                <w:color w:val="000000"/>
                <w:szCs w:val="24"/>
              </w:rPr>
              <w:t>/19:AU2y</w:t>
            </w:r>
            <w:r>
              <w:rPr>
                <w:bCs/>
                <w:color w:val="000000"/>
                <w:szCs w:val="24"/>
              </w:rPr>
              <w:t xml:space="preserve">. </w:t>
            </w:r>
          </w:p>
          <w:p w:rsidR="001C7B5C" w:rsidRDefault="001C7B5C" w:rsidP="000A4FFF">
            <w:pPr>
              <w:widowControl/>
              <w:textAlignment w:val="center"/>
              <w:rPr>
                <w:bCs/>
                <w:color w:val="000000"/>
                <w:szCs w:val="24"/>
              </w:rPr>
            </w:pPr>
          </w:p>
          <w:p w:rsidR="001C7B5C" w:rsidRDefault="00ED2F19" w:rsidP="000A4FFF">
            <w:pPr>
              <w:widowControl/>
              <w:textAlignment w:val="center"/>
              <w:rPr>
                <w:bCs/>
                <w:color w:val="000000"/>
                <w:szCs w:val="24"/>
              </w:rPr>
            </w:pPr>
            <w:r>
              <w:rPr>
                <w:bCs/>
                <w:color w:val="000000"/>
                <w:szCs w:val="24"/>
              </w:rPr>
              <w:t>M-, SD-, V-</w:t>
            </w:r>
            <w:r w:rsidR="00E3060A">
              <w:rPr>
                <w:bCs/>
                <w:color w:val="000000"/>
                <w:szCs w:val="24"/>
              </w:rPr>
              <w:t xml:space="preserve"> </w:t>
            </w:r>
            <w:r w:rsidR="001C7B5C">
              <w:rPr>
                <w:bCs/>
                <w:color w:val="000000"/>
                <w:szCs w:val="24"/>
              </w:rPr>
              <w:t xml:space="preserve">och KD-ledamöterna anmälde </w:t>
            </w:r>
            <w:r>
              <w:rPr>
                <w:bCs/>
                <w:color w:val="000000"/>
                <w:szCs w:val="24"/>
              </w:rPr>
              <w:t>avvikande meningar</w:t>
            </w:r>
            <w:r w:rsidR="001C7B5C">
              <w:rPr>
                <w:bCs/>
                <w:color w:val="000000"/>
                <w:szCs w:val="24"/>
              </w:rPr>
              <w:t>.</w:t>
            </w:r>
          </w:p>
          <w:p w:rsidR="000A4FFF" w:rsidRPr="007C537A" w:rsidRDefault="000A4FFF" w:rsidP="00442BB4">
            <w:pPr>
              <w:widowControl/>
              <w:textAlignment w:val="center"/>
              <w:rPr>
                <w:bCs/>
                <w:color w:val="000000"/>
                <w:szCs w:val="24"/>
              </w:rPr>
            </w:pPr>
          </w:p>
        </w:tc>
      </w:tr>
      <w:tr w:rsidR="006F6E15" w:rsidTr="00BA36BA">
        <w:tblPrEx>
          <w:tblLook w:val="00A0" w:firstRow="1" w:lastRow="0" w:firstColumn="1" w:lastColumn="0" w:noHBand="0" w:noVBand="0"/>
        </w:tblPrEx>
        <w:trPr>
          <w:gridBefore w:val="2"/>
          <w:wBefore w:w="1985" w:type="dxa"/>
        </w:trPr>
        <w:tc>
          <w:tcPr>
            <w:tcW w:w="497" w:type="dxa"/>
          </w:tcPr>
          <w:p w:rsidR="006F6E15" w:rsidRDefault="006F6E15" w:rsidP="002802BB">
            <w:pPr>
              <w:tabs>
                <w:tab w:val="left" w:pos="1701"/>
              </w:tabs>
              <w:rPr>
                <w:b/>
                <w:snapToGrid w:val="0"/>
              </w:rPr>
            </w:pPr>
            <w:r>
              <w:rPr>
                <w:b/>
                <w:snapToGrid w:val="0"/>
              </w:rPr>
              <w:t xml:space="preserve">§ </w:t>
            </w:r>
            <w:r w:rsidR="000F3CC4">
              <w:rPr>
                <w:b/>
                <w:snapToGrid w:val="0"/>
              </w:rPr>
              <w:t>4</w:t>
            </w:r>
          </w:p>
        </w:tc>
        <w:tc>
          <w:tcPr>
            <w:tcW w:w="7258" w:type="dxa"/>
            <w:gridSpan w:val="18"/>
          </w:tcPr>
          <w:p w:rsidR="001C7B5C" w:rsidRDefault="001C7B5C" w:rsidP="001C7B5C">
            <w:pPr>
              <w:widowControl/>
              <w:autoSpaceDE w:val="0"/>
              <w:autoSpaceDN w:val="0"/>
              <w:adjustRightInd w:val="0"/>
              <w:spacing w:after="120"/>
              <w:textAlignment w:val="center"/>
              <w:rPr>
                <w:b/>
              </w:rPr>
            </w:pPr>
            <w:r>
              <w:rPr>
                <w:b/>
              </w:rPr>
              <w:t>Årsredovisning för staten 2018</w:t>
            </w:r>
          </w:p>
          <w:p w:rsidR="001C7B5C" w:rsidRDefault="000A4FFF" w:rsidP="001C7B5C">
            <w:pPr>
              <w:widowControl/>
              <w:textAlignment w:val="center"/>
              <w:rPr>
                <w:bCs/>
                <w:color w:val="000000"/>
                <w:szCs w:val="24"/>
              </w:rPr>
            </w:pPr>
            <w:r>
              <w:rPr>
                <w:bCs/>
                <w:color w:val="000000"/>
                <w:szCs w:val="24"/>
              </w:rPr>
              <w:t xml:space="preserve">Utskottet </w:t>
            </w:r>
            <w:r w:rsidR="001C7B5C">
              <w:rPr>
                <w:bCs/>
                <w:color w:val="000000"/>
                <w:szCs w:val="24"/>
              </w:rPr>
              <w:t xml:space="preserve">fortsatte behandlingen av skrivelse </w:t>
            </w:r>
            <w:r w:rsidR="00ED2F19">
              <w:rPr>
                <w:bCs/>
                <w:color w:val="000000"/>
                <w:szCs w:val="24"/>
              </w:rPr>
              <w:t>2018/19:101.</w:t>
            </w:r>
          </w:p>
          <w:p w:rsidR="000A4FFF" w:rsidRDefault="000A4FFF" w:rsidP="000A4FFF">
            <w:pPr>
              <w:widowControl/>
              <w:textAlignment w:val="center"/>
              <w:rPr>
                <w:bCs/>
                <w:color w:val="000000"/>
                <w:szCs w:val="24"/>
              </w:rPr>
            </w:pPr>
          </w:p>
          <w:p w:rsidR="000A4FFF" w:rsidRDefault="000A4FFF" w:rsidP="000A4FFF">
            <w:pPr>
              <w:widowControl/>
              <w:textAlignment w:val="center"/>
              <w:rPr>
                <w:bCs/>
                <w:color w:val="000000"/>
                <w:szCs w:val="24"/>
              </w:rPr>
            </w:pPr>
            <w:r>
              <w:rPr>
                <w:bCs/>
                <w:color w:val="000000"/>
                <w:szCs w:val="24"/>
              </w:rPr>
              <w:t>Utskottet beslutade att inte yttra sig.</w:t>
            </w:r>
          </w:p>
          <w:p w:rsidR="000A4FFF" w:rsidRPr="001C44BD" w:rsidRDefault="000A4FFF" w:rsidP="000A4FFF">
            <w:pPr>
              <w:widowControl/>
              <w:textAlignment w:val="center"/>
              <w:rPr>
                <w:bCs/>
                <w:color w:val="000000"/>
                <w:sz w:val="20"/>
                <w:szCs w:val="24"/>
              </w:rPr>
            </w:pPr>
          </w:p>
          <w:p w:rsidR="000A4FFF" w:rsidRDefault="000A4FFF" w:rsidP="000A4FFF">
            <w:pPr>
              <w:widowControl/>
              <w:textAlignment w:val="center"/>
              <w:rPr>
                <w:bCs/>
                <w:color w:val="000000"/>
                <w:szCs w:val="24"/>
              </w:rPr>
            </w:pPr>
            <w:r>
              <w:rPr>
                <w:bCs/>
                <w:color w:val="000000"/>
                <w:szCs w:val="24"/>
              </w:rPr>
              <w:t>Denna paragraf förklarades omedelbart justerad.</w:t>
            </w:r>
          </w:p>
          <w:p w:rsidR="00BC2118" w:rsidRPr="007C537A" w:rsidRDefault="00BC2118" w:rsidP="00824476">
            <w:pPr>
              <w:widowControl/>
              <w:textAlignment w:val="center"/>
              <w:rPr>
                <w:bCs/>
                <w:color w:val="000000"/>
                <w:szCs w:val="24"/>
              </w:rPr>
            </w:pPr>
          </w:p>
        </w:tc>
      </w:tr>
      <w:tr w:rsidR="000A4FFF" w:rsidTr="00BA36BA">
        <w:tblPrEx>
          <w:tblLook w:val="00A0" w:firstRow="1" w:lastRow="0" w:firstColumn="1" w:lastColumn="0" w:noHBand="0" w:noVBand="0"/>
        </w:tblPrEx>
        <w:trPr>
          <w:gridBefore w:val="2"/>
          <w:wBefore w:w="1985" w:type="dxa"/>
        </w:trPr>
        <w:tc>
          <w:tcPr>
            <w:tcW w:w="497" w:type="dxa"/>
          </w:tcPr>
          <w:p w:rsidR="000A4FFF" w:rsidRDefault="000A4FFF" w:rsidP="002802BB">
            <w:pPr>
              <w:tabs>
                <w:tab w:val="left" w:pos="1701"/>
              </w:tabs>
              <w:rPr>
                <w:b/>
                <w:snapToGrid w:val="0"/>
              </w:rPr>
            </w:pPr>
            <w:r>
              <w:rPr>
                <w:b/>
                <w:snapToGrid w:val="0"/>
              </w:rPr>
              <w:t xml:space="preserve">§ </w:t>
            </w:r>
            <w:r w:rsidR="000F3CC4">
              <w:rPr>
                <w:b/>
                <w:snapToGrid w:val="0"/>
              </w:rPr>
              <w:t>5</w:t>
            </w:r>
          </w:p>
        </w:tc>
        <w:tc>
          <w:tcPr>
            <w:tcW w:w="7258" w:type="dxa"/>
            <w:gridSpan w:val="18"/>
          </w:tcPr>
          <w:p w:rsidR="001C7B5C" w:rsidRPr="001C7B5C" w:rsidRDefault="001C7B5C" w:rsidP="001C7B5C">
            <w:pPr>
              <w:widowControl/>
              <w:autoSpaceDE w:val="0"/>
              <w:autoSpaceDN w:val="0"/>
              <w:adjustRightInd w:val="0"/>
              <w:spacing w:after="120"/>
              <w:textAlignment w:val="center"/>
              <w:rPr>
                <w:b/>
                <w:iCs/>
                <w:color w:val="0563C1" w:themeColor="hyperlink"/>
                <w:u w:val="single"/>
              </w:rPr>
            </w:pPr>
            <w:r w:rsidRPr="001C7B5C">
              <w:rPr>
                <w:b/>
                <w:szCs w:val="22"/>
              </w:rPr>
              <w:t>Anställningsskyddet förlängs tills arbetstagaren fyllt 69 år</w:t>
            </w:r>
            <w:r w:rsidRPr="001C7B5C">
              <w:rPr>
                <w:b/>
                <w:szCs w:val="24"/>
              </w:rPr>
              <w:t xml:space="preserve"> (AU12)</w:t>
            </w:r>
          </w:p>
          <w:p w:rsidR="000A4FFF" w:rsidRDefault="000A4FFF" w:rsidP="000A4FFF">
            <w:pPr>
              <w:widowControl/>
              <w:textAlignment w:val="center"/>
              <w:rPr>
                <w:bCs/>
                <w:color w:val="000000"/>
                <w:szCs w:val="24"/>
              </w:rPr>
            </w:pPr>
            <w:r>
              <w:rPr>
                <w:bCs/>
                <w:color w:val="000000"/>
                <w:szCs w:val="24"/>
              </w:rPr>
              <w:t xml:space="preserve">Utskottet behandlade </w:t>
            </w:r>
            <w:r w:rsidR="001C7B5C">
              <w:rPr>
                <w:bCs/>
                <w:color w:val="000000"/>
                <w:szCs w:val="24"/>
              </w:rPr>
              <w:t>proposition 2018/19:91</w:t>
            </w:r>
            <w:r w:rsidR="00AB2948">
              <w:rPr>
                <w:bCs/>
                <w:color w:val="000000"/>
                <w:szCs w:val="24"/>
              </w:rPr>
              <w:t xml:space="preserve"> </w:t>
            </w:r>
            <w:r w:rsidR="001C7B5C">
              <w:rPr>
                <w:bCs/>
                <w:color w:val="000000"/>
                <w:szCs w:val="24"/>
              </w:rPr>
              <w:t>och motion.</w:t>
            </w:r>
          </w:p>
          <w:p w:rsidR="000A4FFF" w:rsidRDefault="000A4FFF" w:rsidP="000A4FFF">
            <w:pPr>
              <w:widowControl/>
              <w:textAlignment w:val="center"/>
              <w:rPr>
                <w:bCs/>
                <w:color w:val="000000"/>
                <w:szCs w:val="24"/>
              </w:rPr>
            </w:pPr>
          </w:p>
          <w:p w:rsidR="000A4FFF" w:rsidRDefault="000A4FFF" w:rsidP="00ED2F19">
            <w:pPr>
              <w:widowControl/>
              <w:textAlignment w:val="center"/>
              <w:rPr>
                <w:bCs/>
                <w:color w:val="000000"/>
                <w:szCs w:val="24"/>
              </w:rPr>
            </w:pPr>
            <w:r>
              <w:rPr>
                <w:bCs/>
                <w:color w:val="000000"/>
                <w:szCs w:val="24"/>
              </w:rPr>
              <w:t>Ärendet bordlades.</w:t>
            </w:r>
          </w:p>
          <w:p w:rsidR="00ED2F19" w:rsidRPr="00411754" w:rsidRDefault="00ED2F19" w:rsidP="00ED2F19">
            <w:pPr>
              <w:widowControl/>
              <w:textAlignment w:val="center"/>
              <w:rPr>
                <w:b/>
              </w:rPr>
            </w:pPr>
          </w:p>
        </w:tc>
      </w:tr>
      <w:tr w:rsidR="001C7B5C" w:rsidTr="00BA36BA">
        <w:tblPrEx>
          <w:tblLook w:val="00A0" w:firstRow="1" w:lastRow="0" w:firstColumn="1" w:lastColumn="0" w:noHBand="0" w:noVBand="0"/>
        </w:tblPrEx>
        <w:trPr>
          <w:gridBefore w:val="2"/>
          <w:wBefore w:w="1985" w:type="dxa"/>
        </w:trPr>
        <w:tc>
          <w:tcPr>
            <w:tcW w:w="497" w:type="dxa"/>
          </w:tcPr>
          <w:p w:rsidR="001C7B5C" w:rsidRDefault="001C7B5C" w:rsidP="002802BB">
            <w:pPr>
              <w:tabs>
                <w:tab w:val="left" w:pos="1701"/>
              </w:tabs>
              <w:rPr>
                <w:b/>
                <w:snapToGrid w:val="0"/>
              </w:rPr>
            </w:pPr>
            <w:r>
              <w:rPr>
                <w:b/>
                <w:snapToGrid w:val="0"/>
              </w:rPr>
              <w:t xml:space="preserve">§ </w:t>
            </w:r>
            <w:r w:rsidR="000F3CC4">
              <w:rPr>
                <w:b/>
                <w:snapToGrid w:val="0"/>
              </w:rPr>
              <w:t>6</w:t>
            </w:r>
          </w:p>
        </w:tc>
        <w:tc>
          <w:tcPr>
            <w:tcW w:w="7258" w:type="dxa"/>
            <w:gridSpan w:val="18"/>
          </w:tcPr>
          <w:p w:rsidR="001C7B5C" w:rsidRPr="005B457F" w:rsidRDefault="001C7B5C" w:rsidP="001C7B5C">
            <w:pPr>
              <w:widowControl/>
              <w:autoSpaceDE w:val="0"/>
              <w:autoSpaceDN w:val="0"/>
              <w:adjustRightInd w:val="0"/>
              <w:spacing w:after="120"/>
              <w:textAlignment w:val="center"/>
            </w:pPr>
            <w:r w:rsidRPr="001C7B5C">
              <w:rPr>
                <w:b/>
              </w:rPr>
              <w:t xml:space="preserve">Övergripande ståndpunkter om </w:t>
            </w:r>
            <w:r w:rsidR="00ED2F19">
              <w:rPr>
                <w:b/>
              </w:rPr>
              <w:t>arbetsmiljö på EU-nivå</w:t>
            </w:r>
          </w:p>
          <w:p w:rsidR="001C7B5C" w:rsidRDefault="004C7E1C" w:rsidP="004C7E1C">
            <w:pPr>
              <w:widowControl/>
              <w:autoSpaceDE w:val="0"/>
              <w:autoSpaceDN w:val="0"/>
              <w:adjustRightInd w:val="0"/>
              <w:textAlignment w:val="center"/>
              <w:rPr>
                <w:szCs w:val="22"/>
              </w:rPr>
            </w:pPr>
            <w:r>
              <w:rPr>
                <w:szCs w:val="22"/>
              </w:rPr>
              <w:t>Utskottet överlade med statsrådet Ylva Johansson, Arbetsmarknadsdepartementet, om övergripande stån</w:t>
            </w:r>
            <w:r w:rsidR="00ED2F19">
              <w:rPr>
                <w:szCs w:val="22"/>
              </w:rPr>
              <w:t>dpunkter om arbetsmiljö på EU-nivå.</w:t>
            </w:r>
          </w:p>
          <w:p w:rsidR="004C7E1C" w:rsidRDefault="004C7E1C" w:rsidP="004C7E1C">
            <w:pPr>
              <w:widowControl/>
              <w:autoSpaceDE w:val="0"/>
              <w:autoSpaceDN w:val="0"/>
              <w:adjustRightInd w:val="0"/>
              <w:textAlignment w:val="center"/>
              <w:rPr>
                <w:szCs w:val="22"/>
              </w:rPr>
            </w:pPr>
          </w:p>
          <w:p w:rsidR="004C7E1C" w:rsidRDefault="004C7E1C" w:rsidP="004C7E1C">
            <w:pPr>
              <w:widowControl/>
              <w:autoSpaceDE w:val="0"/>
              <w:autoSpaceDN w:val="0"/>
              <w:adjustRightInd w:val="0"/>
              <w:textAlignment w:val="center"/>
              <w:rPr>
                <w:szCs w:val="22"/>
              </w:rPr>
            </w:pPr>
            <w:r>
              <w:rPr>
                <w:szCs w:val="22"/>
              </w:rPr>
              <w:t xml:space="preserve">Underlaget utgjordes av Regeringskansliets överläggningspromemoria (dnr </w:t>
            </w:r>
            <w:r w:rsidR="00ED2F19">
              <w:rPr>
                <w:szCs w:val="22"/>
              </w:rPr>
              <w:t>2358</w:t>
            </w:r>
            <w:r>
              <w:rPr>
                <w:szCs w:val="22"/>
              </w:rPr>
              <w:t>-2018/19). Se bilaga 2.</w:t>
            </w:r>
          </w:p>
          <w:p w:rsidR="00ED2F19" w:rsidRDefault="00ED2F19" w:rsidP="004C7E1C">
            <w:pPr>
              <w:widowControl/>
              <w:autoSpaceDE w:val="0"/>
              <w:autoSpaceDN w:val="0"/>
              <w:adjustRightInd w:val="0"/>
              <w:textAlignment w:val="center"/>
              <w:rPr>
                <w:szCs w:val="22"/>
              </w:rPr>
            </w:pPr>
          </w:p>
          <w:p w:rsidR="00ED2F19" w:rsidRPr="00B149DE" w:rsidRDefault="00ED2F19" w:rsidP="00ED2F19">
            <w:pPr>
              <w:autoSpaceDE w:val="0"/>
              <w:autoSpaceDN w:val="0"/>
              <w:adjustRightInd w:val="0"/>
              <w:rPr>
                <w:rFonts w:eastAsiaTheme="minorHAnsi"/>
                <w:bCs/>
                <w:szCs w:val="24"/>
                <w:lang w:eastAsia="en-US"/>
              </w:rPr>
            </w:pPr>
            <w:r>
              <w:rPr>
                <w:rFonts w:eastAsiaTheme="minorHAnsi"/>
                <w:bCs/>
                <w:szCs w:val="24"/>
                <w:lang w:eastAsia="en-US"/>
              </w:rPr>
              <w:t xml:space="preserve">S-, M-, C-, V-, KD- </w:t>
            </w:r>
            <w:r w:rsidR="00BA36BA">
              <w:rPr>
                <w:rFonts w:eastAsiaTheme="minorHAnsi"/>
                <w:bCs/>
                <w:szCs w:val="24"/>
                <w:lang w:eastAsia="en-US"/>
              </w:rPr>
              <w:t xml:space="preserve">L- </w:t>
            </w:r>
            <w:r>
              <w:rPr>
                <w:rFonts w:eastAsiaTheme="minorHAnsi"/>
                <w:bCs/>
                <w:szCs w:val="24"/>
                <w:lang w:eastAsia="en-US"/>
              </w:rPr>
              <w:t xml:space="preserve">och </w:t>
            </w:r>
            <w:r w:rsidR="00BA36BA">
              <w:rPr>
                <w:rFonts w:eastAsiaTheme="minorHAnsi"/>
                <w:bCs/>
                <w:szCs w:val="24"/>
                <w:lang w:eastAsia="en-US"/>
              </w:rPr>
              <w:t>MP</w:t>
            </w:r>
            <w:r>
              <w:rPr>
                <w:rFonts w:eastAsiaTheme="minorHAnsi"/>
                <w:bCs/>
                <w:szCs w:val="24"/>
                <w:lang w:eastAsia="en-US"/>
              </w:rPr>
              <w:t>-ledamöterna delade regeringens ståndpunkt.</w:t>
            </w:r>
          </w:p>
          <w:p w:rsidR="00ED2F19" w:rsidRDefault="00ED2F19" w:rsidP="00ED2F19">
            <w:pPr>
              <w:widowControl/>
              <w:autoSpaceDE w:val="0"/>
              <w:autoSpaceDN w:val="0"/>
              <w:adjustRightInd w:val="0"/>
              <w:textAlignment w:val="center"/>
              <w:rPr>
                <w:rStyle w:val="Hyperlnk"/>
                <w:rFonts w:eastAsiaTheme="minorHAnsi"/>
                <w:bCs/>
                <w:color w:val="000000" w:themeColor="text1"/>
                <w:szCs w:val="24"/>
                <w:u w:val="none"/>
              </w:rPr>
            </w:pPr>
            <w:r>
              <w:rPr>
                <w:rStyle w:val="Hyperlnk"/>
                <w:rFonts w:eastAsiaTheme="minorHAnsi"/>
                <w:bCs/>
                <w:color w:val="000000" w:themeColor="text1"/>
                <w:szCs w:val="24"/>
                <w:u w:val="none"/>
              </w:rPr>
              <w:lastRenderedPageBreak/>
              <w:t>SD-ledamöterna anmälde den ståndpunkt som framgår av bilaga 3</w:t>
            </w:r>
            <w:r w:rsidR="00087084">
              <w:rPr>
                <w:rStyle w:val="Hyperlnk"/>
                <w:rFonts w:eastAsiaTheme="minorHAnsi"/>
                <w:bCs/>
                <w:color w:val="000000" w:themeColor="text1"/>
                <w:szCs w:val="24"/>
                <w:u w:val="none"/>
              </w:rPr>
              <w:t>.</w:t>
            </w:r>
          </w:p>
          <w:p w:rsidR="00BA36BA" w:rsidRDefault="00BA36BA" w:rsidP="00ED2F19">
            <w:pPr>
              <w:widowControl/>
              <w:autoSpaceDE w:val="0"/>
              <w:autoSpaceDN w:val="0"/>
              <w:adjustRightInd w:val="0"/>
              <w:textAlignment w:val="center"/>
              <w:rPr>
                <w:szCs w:val="22"/>
              </w:rPr>
            </w:pPr>
          </w:p>
          <w:p w:rsidR="004C7E1C" w:rsidRDefault="004C7E1C" w:rsidP="004C7E1C">
            <w:pPr>
              <w:widowControl/>
              <w:autoSpaceDE w:val="0"/>
              <w:autoSpaceDN w:val="0"/>
              <w:adjustRightInd w:val="0"/>
              <w:textAlignment w:val="center"/>
              <w:rPr>
                <w:szCs w:val="22"/>
              </w:rPr>
            </w:pPr>
            <w:r>
              <w:rPr>
                <w:szCs w:val="22"/>
              </w:rPr>
              <w:t xml:space="preserve">Vid överläggningen närvarade tjänstemän från Arbetsmarknadsdepartementet samt </w:t>
            </w:r>
            <w:r w:rsidR="00ED2F19">
              <w:rPr>
                <w:szCs w:val="22"/>
              </w:rPr>
              <w:t xml:space="preserve">Helena Fridman Konstantinidou </w:t>
            </w:r>
            <w:r>
              <w:rPr>
                <w:szCs w:val="22"/>
              </w:rPr>
              <w:t>från EU-nämndens kansli.</w:t>
            </w:r>
          </w:p>
          <w:p w:rsidR="000D4BF1" w:rsidRDefault="000D4BF1" w:rsidP="004C7E1C">
            <w:pPr>
              <w:widowControl/>
              <w:autoSpaceDE w:val="0"/>
              <w:autoSpaceDN w:val="0"/>
              <w:adjustRightInd w:val="0"/>
              <w:textAlignment w:val="center"/>
              <w:rPr>
                <w:szCs w:val="22"/>
              </w:rPr>
            </w:pPr>
          </w:p>
          <w:p w:rsidR="000D4BF1" w:rsidRDefault="000D4BF1" w:rsidP="000D4BF1">
            <w:pPr>
              <w:widowControl/>
              <w:textAlignment w:val="center"/>
              <w:rPr>
                <w:bCs/>
                <w:color w:val="000000"/>
                <w:szCs w:val="24"/>
              </w:rPr>
            </w:pPr>
            <w:r>
              <w:rPr>
                <w:bCs/>
                <w:color w:val="000000"/>
                <w:szCs w:val="24"/>
              </w:rPr>
              <w:t>Denna paragraf förklarades omedelbart justerad.</w:t>
            </w:r>
          </w:p>
          <w:p w:rsidR="004C7E1C" w:rsidRPr="004E165E" w:rsidRDefault="004C7E1C" w:rsidP="004C7E1C">
            <w:pPr>
              <w:widowControl/>
              <w:autoSpaceDE w:val="0"/>
              <w:autoSpaceDN w:val="0"/>
              <w:adjustRightInd w:val="0"/>
              <w:textAlignment w:val="center"/>
              <w:rPr>
                <w:sz w:val="20"/>
                <w:szCs w:val="22"/>
              </w:rPr>
            </w:pPr>
          </w:p>
        </w:tc>
      </w:tr>
      <w:tr w:rsidR="001C7B5C" w:rsidTr="00BA36BA">
        <w:tblPrEx>
          <w:tblLook w:val="00A0" w:firstRow="1" w:lastRow="0" w:firstColumn="1" w:lastColumn="0" w:noHBand="0" w:noVBand="0"/>
        </w:tblPrEx>
        <w:trPr>
          <w:gridBefore w:val="2"/>
          <w:wBefore w:w="1985" w:type="dxa"/>
        </w:trPr>
        <w:tc>
          <w:tcPr>
            <w:tcW w:w="497" w:type="dxa"/>
          </w:tcPr>
          <w:p w:rsidR="001C7B5C" w:rsidRDefault="001C7B5C" w:rsidP="002802BB">
            <w:pPr>
              <w:tabs>
                <w:tab w:val="left" w:pos="1701"/>
              </w:tabs>
              <w:rPr>
                <w:b/>
                <w:snapToGrid w:val="0"/>
              </w:rPr>
            </w:pPr>
            <w:r>
              <w:rPr>
                <w:b/>
                <w:snapToGrid w:val="0"/>
              </w:rPr>
              <w:lastRenderedPageBreak/>
              <w:t xml:space="preserve">§ </w:t>
            </w:r>
            <w:r w:rsidR="000F3CC4">
              <w:rPr>
                <w:b/>
                <w:snapToGrid w:val="0"/>
              </w:rPr>
              <w:t>7</w:t>
            </w:r>
          </w:p>
        </w:tc>
        <w:tc>
          <w:tcPr>
            <w:tcW w:w="7258" w:type="dxa"/>
            <w:gridSpan w:val="18"/>
          </w:tcPr>
          <w:p w:rsidR="001C7B5C" w:rsidRDefault="001C7B5C" w:rsidP="001C7B5C">
            <w:pPr>
              <w:widowControl/>
              <w:autoSpaceDE w:val="0"/>
              <w:autoSpaceDN w:val="0"/>
              <w:adjustRightInd w:val="0"/>
              <w:spacing w:after="120"/>
              <w:textAlignment w:val="center"/>
              <w:rPr>
                <w:b/>
              </w:rPr>
            </w:pPr>
            <w:r>
              <w:rPr>
                <w:b/>
              </w:rPr>
              <w:t>Europeiska socialfonden plus</w:t>
            </w:r>
            <w:r w:rsidR="00ED2F19">
              <w:rPr>
                <w:b/>
              </w:rPr>
              <w:t xml:space="preserve"> för perioden 2021–2027</w:t>
            </w:r>
          </w:p>
          <w:p w:rsidR="001C7B5C" w:rsidRDefault="004C7E1C" w:rsidP="001C7B5C">
            <w:pPr>
              <w:widowControl/>
              <w:autoSpaceDE w:val="0"/>
              <w:autoSpaceDN w:val="0"/>
              <w:adjustRightInd w:val="0"/>
              <w:spacing w:after="120"/>
              <w:textAlignment w:val="center"/>
            </w:pPr>
            <w:r>
              <w:t>Statsrådet Ylva Johansson, Arbetsmarknadsdepartementet</w:t>
            </w:r>
            <w:r w:rsidR="006B61B2">
              <w:t>,</w:t>
            </w:r>
            <w:r>
              <w:t xml:space="preserve"> informerade om</w:t>
            </w:r>
            <w:r w:rsidR="00442BB4">
              <w:t xml:space="preserve"> förhandlingsläget kring</w:t>
            </w:r>
            <w:r>
              <w:t xml:space="preserve"> Europeiska socialfonden plus</w:t>
            </w:r>
            <w:r w:rsidR="00ED2F19">
              <w:t xml:space="preserve"> för perioden 2021–2027</w:t>
            </w:r>
            <w:r>
              <w:t>.</w:t>
            </w:r>
          </w:p>
          <w:p w:rsidR="00ED2F19" w:rsidRDefault="00ED2F19" w:rsidP="00ED2F19">
            <w:pPr>
              <w:widowControl/>
              <w:autoSpaceDE w:val="0"/>
              <w:autoSpaceDN w:val="0"/>
              <w:adjustRightInd w:val="0"/>
              <w:textAlignment w:val="center"/>
              <w:rPr>
                <w:szCs w:val="22"/>
              </w:rPr>
            </w:pPr>
            <w:r>
              <w:rPr>
                <w:szCs w:val="22"/>
              </w:rPr>
              <w:t xml:space="preserve">Vid </w:t>
            </w:r>
            <w:r w:rsidR="00232527">
              <w:rPr>
                <w:szCs w:val="22"/>
              </w:rPr>
              <w:t>informationen</w:t>
            </w:r>
            <w:r>
              <w:rPr>
                <w:szCs w:val="22"/>
              </w:rPr>
              <w:t xml:space="preserve"> närvarade tjänstemän från Arbetsmarknadsdepartementet samt Helena Fridman Konstantinidou från EU-nämndens kansli.</w:t>
            </w:r>
          </w:p>
          <w:p w:rsidR="004C7E1C" w:rsidRPr="004C7E1C" w:rsidRDefault="004C7E1C" w:rsidP="004C7E1C">
            <w:pPr>
              <w:widowControl/>
              <w:autoSpaceDE w:val="0"/>
              <w:autoSpaceDN w:val="0"/>
              <w:adjustRightInd w:val="0"/>
              <w:textAlignment w:val="center"/>
            </w:pPr>
          </w:p>
        </w:tc>
      </w:tr>
      <w:tr w:rsidR="001C7B5C" w:rsidTr="00BA36BA">
        <w:tblPrEx>
          <w:tblLook w:val="00A0" w:firstRow="1" w:lastRow="0" w:firstColumn="1" w:lastColumn="0" w:noHBand="0" w:noVBand="0"/>
        </w:tblPrEx>
        <w:trPr>
          <w:gridBefore w:val="2"/>
          <w:wBefore w:w="1985" w:type="dxa"/>
        </w:trPr>
        <w:tc>
          <w:tcPr>
            <w:tcW w:w="497" w:type="dxa"/>
          </w:tcPr>
          <w:p w:rsidR="001C7B5C" w:rsidRDefault="001C7B5C" w:rsidP="002802BB">
            <w:pPr>
              <w:tabs>
                <w:tab w:val="left" w:pos="1701"/>
              </w:tabs>
              <w:rPr>
                <w:b/>
                <w:snapToGrid w:val="0"/>
              </w:rPr>
            </w:pPr>
            <w:r>
              <w:rPr>
                <w:b/>
                <w:snapToGrid w:val="0"/>
              </w:rPr>
              <w:t xml:space="preserve">§ </w:t>
            </w:r>
            <w:r w:rsidR="000F3CC4">
              <w:rPr>
                <w:b/>
                <w:snapToGrid w:val="0"/>
              </w:rPr>
              <w:t>8</w:t>
            </w:r>
          </w:p>
        </w:tc>
        <w:tc>
          <w:tcPr>
            <w:tcW w:w="7258" w:type="dxa"/>
            <w:gridSpan w:val="18"/>
          </w:tcPr>
          <w:p w:rsidR="000D3BD9" w:rsidRDefault="000D3BD9" w:rsidP="000D3BD9">
            <w:pPr>
              <w:widowControl/>
              <w:autoSpaceDE w:val="0"/>
              <w:autoSpaceDN w:val="0"/>
              <w:adjustRightInd w:val="0"/>
              <w:spacing w:after="120"/>
              <w:textAlignment w:val="center"/>
              <w:rPr>
                <w:b/>
              </w:rPr>
            </w:pPr>
            <w:r w:rsidRPr="005B457F">
              <w:rPr>
                <w:b/>
              </w:rPr>
              <w:t>Informellt ministermöte</w:t>
            </w:r>
            <w:r w:rsidR="00ED2F19">
              <w:rPr>
                <w:b/>
              </w:rPr>
              <w:t xml:space="preserve"> (EPSCO) i Bukarest</w:t>
            </w:r>
            <w:r w:rsidR="002A1239">
              <w:rPr>
                <w:b/>
              </w:rPr>
              <w:t xml:space="preserve"> 10–</w:t>
            </w:r>
            <w:r w:rsidRPr="005B457F">
              <w:rPr>
                <w:b/>
              </w:rPr>
              <w:t>11 april 2019</w:t>
            </w:r>
          </w:p>
          <w:p w:rsidR="000D3BD9" w:rsidRDefault="000D3BD9" w:rsidP="000D3BD9">
            <w:pPr>
              <w:widowControl/>
              <w:autoSpaceDE w:val="0"/>
              <w:autoSpaceDN w:val="0"/>
              <w:adjustRightInd w:val="0"/>
              <w:textAlignment w:val="center"/>
            </w:pPr>
            <w:r>
              <w:t>Statsrådet Åsa Lindhagen, Arbetsmarknadsdepartementet</w:t>
            </w:r>
            <w:r w:rsidR="006B61B2">
              <w:t>,</w:t>
            </w:r>
            <w:r>
              <w:t xml:space="preserve"> informerade om det informella </w:t>
            </w:r>
            <w:r w:rsidR="00ED2F19">
              <w:t>ministermötet i Bukarest</w:t>
            </w:r>
            <w:r>
              <w:t xml:space="preserve"> den 10–11 april 2019.</w:t>
            </w:r>
          </w:p>
          <w:p w:rsidR="004C7E1C" w:rsidRDefault="004C7E1C" w:rsidP="004C7E1C">
            <w:pPr>
              <w:widowControl/>
              <w:autoSpaceDE w:val="0"/>
              <w:autoSpaceDN w:val="0"/>
              <w:adjustRightInd w:val="0"/>
              <w:textAlignment w:val="center"/>
            </w:pPr>
          </w:p>
          <w:p w:rsidR="00ED2F19" w:rsidRDefault="00ED2F19" w:rsidP="00ED2F19">
            <w:pPr>
              <w:widowControl/>
              <w:autoSpaceDE w:val="0"/>
              <w:autoSpaceDN w:val="0"/>
              <w:adjustRightInd w:val="0"/>
              <w:textAlignment w:val="center"/>
              <w:rPr>
                <w:szCs w:val="22"/>
              </w:rPr>
            </w:pPr>
            <w:r>
              <w:rPr>
                <w:szCs w:val="22"/>
              </w:rPr>
              <w:t xml:space="preserve">Vid </w:t>
            </w:r>
            <w:r w:rsidR="00232527">
              <w:rPr>
                <w:szCs w:val="22"/>
              </w:rPr>
              <w:t>informationen</w:t>
            </w:r>
            <w:r>
              <w:rPr>
                <w:szCs w:val="22"/>
              </w:rPr>
              <w:t xml:space="preserve"> närvarade tjänstemän från Arbetsmarknadsdepartementet samt Helena Fridman Konstantinidou från EU-nämndens kansli.</w:t>
            </w:r>
          </w:p>
          <w:p w:rsidR="001C7B5C" w:rsidRPr="00232527" w:rsidRDefault="001C7B5C" w:rsidP="004C7E1C">
            <w:pPr>
              <w:widowControl/>
              <w:autoSpaceDE w:val="0"/>
              <w:autoSpaceDN w:val="0"/>
              <w:adjustRightInd w:val="0"/>
              <w:textAlignment w:val="center"/>
              <w:rPr>
                <w:b/>
              </w:rPr>
            </w:pPr>
          </w:p>
        </w:tc>
      </w:tr>
      <w:tr w:rsidR="001C7B5C" w:rsidTr="00BA36BA">
        <w:tblPrEx>
          <w:tblLook w:val="00A0" w:firstRow="1" w:lastRow="0" w:firstColumn="1" w:lastColumn="0" w:noHBand="0" w:noVBand="0"/>
        </w:tblPrEx>
        <w:trPr>
          <w:gridBefore w:val="2"/>
          <w:wBefore w:w="1985" w:type="dxa"/>
        </w:trPr>
        <w:tc>
          <w:tcPr>
            <w:tcW w:w="497" w:type="dxa"/>
          </w:tcPr>
          <w:p w:rsidR="001C7B5C" w:rsidRDefault="001C7B5C" w:rsidP="002802BB">
            <w:pPr>
              <w:tabs>
                <w:tab w:val="left" w:pos="1701"/>
              </w:tabs>
              <w:rPr>
                <w:b/>
                <w:snapToGrid w:val="0"/>
              </w:rPr>
            </w:pPr>
            <w:r>
              <w:rPr>
                <w:b/>
                <w:snapToGrid w:val="0"/>
              </w:rPr>
              <w:t xml:space="preserve">§ </w:t>
            </w:r>
            <w:r w:rsidR="000F3CC4">
              <w:rPr>
                <w:b/>
                <w:snapToGrid w:val="0"/>
              </w:rPr>
              <w:t>9</w:t>
            </w:r>
          </w:p>
        </w:tc>
        <w:tc>
          <w:tcPr>
            <w:tcW w:w="7258" w:type="dxa"/>
            <w:gridSpan w:val="18"/>
          </w:tcPr>
          <w:p w:rsidR="000D3BD9" w:rsidRDefault="000D3BD9" w:rsidP="000D3BD9">
            <w:pPr>
              <w:widowControl/>
              <w:autoSpaceDE w:val="0"/>
              <w:autoSpaceDN w:val="0"/>
              <w:adjustRightInd w:val="0"/>
              <w:spacing w:after="120"/>
              <w:textAlignment w:val="center"/>
              <w:rPr>
                <w:b/>
              </w:rPr>
            </w:pPr>
            <w:r>
              <w:rPr>
                <w:b/>
              </w:rPr>
              <w:t>Antidiskrimineringsdirektivet</w:t>
            </w:r>
          </w:p>
          <w:p w:rsidR="000D3BD9" w:rsidRDefault="000D3BD9" w:rsidP="000D3BD9">
            <w:pPr>
              <w:widowControl/>
              <w:autoSpaceDE w:val="0"/>
              <w:autoSpaceDN w:val="0"/>
              <w:adjustRightInd w:val="0"/>
              <w:textAlignment w:val="center"/>
            </w:pPr>
            <w:r>
              <w:t>Statsrådet Åsa Lindhagen, Arbetsmarknadsdepartementet</w:t>
            </w:r>
            <w:r w:rsidR="006B61B2">
              <w:t>,</w:t>
            </w:r>
            <w:r>
              <w:t xml:space="preserve"> informerade om </w:t>
            </w:r>
            <w:r w:rsidR="00442BB4">
              <w:t xml:space="preserve">förhandlingsläget kring </w:t>
            </w:r>
            <w:r>
              <w:t>antidiskrimineringsdirektivet.</w:t>
            </w:r>
          </w:p>
          <w:p w:rsidR="004C7E1C" w:rsidRDefault="004C7E1C" w:rsidP="004C7E1C">
            <w:pPr>
              <w:widowControl/>
              <w:autoSpaceDE w:val="0"/>
              <w:autoSpaceDN w:val="0"/>
              <w:adjustRightInd w:val="0"/>
              <w:textAlignment w:val="center"/>
            </w:pPr>
          </w:p>
          <w:p w:rsidR="00ED2F19" w:rsidRDefault="00232527" w:rsidP="00ED2F19">
            <w:pPr>
              <w:widowControl/>
              <w:autoSpaceDE w:val="0"/>
              <w:autoSpaceDN w:val="0"/>
              <w:adjustRightInd w:val="0"/>
              <w:textAlignment w:val="center"/>
              <w:rPr>
                <w:szCs w:val="22"/>
              </w:rPr>
            </w:pPr>
            <w:r>
              <w:rPr>
                <w:szCs w:val="22"/>
              </w:rPr>
              <w:t>Vid informationen</w:t>
            </w:r>
            <w:r w:rsidR="00ED2F19">
              <w:rPr>
                <w:szCs w:val="22"/>
              </w:rPr>
              <w:t xml:space="preserve"> närvarade tjänstemän från Arbetsmarknadsdepartementet samt Helena Fridman Konstantinidou från EU-nämndens kansli.</w:t>
            </w:r>
          </w:p>
          <w:p w:rsidR="001C7B5C" w:rsidRPr="00232527" w:rsidRDefault="001C7B5C" w:rsidP="004C7E1C">
            <w:pPr>
              <w:widowControl/>
              <w:autoSpaceDE w:val="0"/>
              <w:autoSpaceDN w:val="0"/>
              <w:adjustRightInd w:val="0"/>
              <w:textAlignment w:val="center"/>
              <w:rPr>
                <w:b/>
              </w:rPr>
            </w:pPr>
          </w:p>
        </w:tc>
      </w:tr>
      <w:tr w:rsidR="001C7B5C" w:rsidTr="00BA36BA">
        <w:tblPrEx>
          <w:tblLook w:val="00A0" w:firstRow="1" w:lastRow="0" w:firstColumn="1" w:lastColumn="0" w:noHBand="0" w:noVBand="0"/>
        </w:tblPrEx>
        <w:trPr>
          <w:gridBefore w:val="2"/>
          <w:wBefore w:w="1985" w:type="dxa"/>
        </w:trPr>
        <w:tc>
          <w:tcPr>
            <w:tcW w:w="497" w:type="dxa"/>
          </w:tcPr>
          <w:p w:rsidR="001C7B5C" w:rsidRDefault="001C7B5C" w:rsidP="000F3CC4">
            <w:pPr>
              <w:tabs>
                <w:tab w:val="left" w:pos="1701"/>
              </w:tabs>
              <w:ind w:right="-65"/>
              <w:rPr>
                <w:b/>
                <w:snapToGrid w:val="0"/>
              </w:rPr>
            </w:pPr>
            <w:r>
              <w:rPr>
                <w:b/>
                <w:snapToGrid w:val="0"/>
              </w:rPr>
              <w:t xml:space="preserve">§ </w:t>
            </w:r>
            <w:r w:rsidR="000F3CC4">
              <w:rPr>
                <w:b/>
                <w:snapToGrid w:val="0"/>
              </w:rPr>
              <w:t>10</w:t>
            </w:r>
          </w:p>
        </w:tc>
        <w:tc>
          <w:tcPr>
            <w:tcW w:w="7258" w:type="dxa"/>
            <w:gridSpan w:val="18"/>
          </w:tcPr>
          <w:p w:rsidR="000D3BD9" w:rsidRPr="001C7B5C" w:rsidRDefault="000D3BD9" w:rsidP="000D3BD9">
            <w:pPr>
              <w:widowControl/>
              <w:autoSpaceDE w:val="0"/>
              <w:autoSpaceDN w:val="0"/>
              <w:adjustRightInd w:val="0"/>
              <w:spacing w:after="120"/>
              <w:textAlignment w:val="center"/>
              <w:rPr>
                <w:b/>
              </w:rPr>
            </w:pPr>
            <w:r w:rsidRPr="001C7B5C">
              <w:rPr>
                <w:b/>
              </w:rPr>
              <w:t xml:space="preserve">Kommissionens meddelande om </w:t>
            </w:r>
            <w:r w:rsidR="00ED2F19">
              <w:rPr>
                <w:b/>
              </w:rPr>
              <w:t>effektivare beslutsfattande inom EU på det sociala området.</w:t>
            </w:r>
          </w:p>
          <w:p w:rsidR="000D3BD9" w:rsidRDefault="000D3BD9" w:rsidP="000D3BD9">
            <w:pPr>
              <w:widowControl/>
              <w:autoSpaceDE w:val="0"/>
              <w:autoSpaceDN w:val="0"/>
              <w:adjustRightInd w:val="0"/>
              <w:textAlignment w:val="center"/>
            </w:pPr>
            <w:r>
              <w:t>Statsrådet Åsa Lindhagen, Arbetsmarknadsdepartementet</w:t>
            </w:r>
            <w:r w:rsidR="006B61B2">
              <w:t>,</w:t>
            </w:r>
            <w:r>
              <w:t xml:space="preserve"> informerade om kommissionens meddelande om övergång till kvalificerad majoritet på det sociala området.</w:t>
            </w:r>
          </w:p>
          <w:p w:rsidR="004C7E1C" w:rsidRDefault="004C7E1C" w:rsidP="004C7E1C">
            <w:pPr>
              <w:widowControl/>
              <w:autoSpaceDE w:val="0"/>
              <w:autoSpaceDN w:val="0"/>
              <w:adjustRightInd w:val="0"/>
              <w:textAlignment w:val="center"/>
            </w:pPr>
          </w:p>
          <w:p w:rsidR="00ED2F19" w:rsidRDefault="00ED2F19" w:rsidP="00ED2F19">
            <w:pPr>
              <w:widowControl/>
              <w:autoSpaceDE w:val="0"/>
              <w:autoSpaceDN w:val="0"/>
              <w:adjustRightInd w:val="0"/>
              <w:textAlignment w:val="center"/>
              <w:rPr>
                <w:szCs w:val="22"/>
              </w:rPr>
            </w:pPr>
            <w:r>
              <w:rPr>
                <w:szCs w:val="22"/>
              </w:rPr>
              <w:t xml:space="preserve">Vid </w:t>
            </w:r>
            <w:r w:rsidR="00232527">
              <w:rPr>
                <w:szCs w:val="22"/>
              </w:rPr>
              <w:t>informatione</w:t>
            </w:r>
            <w:r>
              <w:rPr>
                <w:szCs w:val="22"/>
              </w:rPr>
              <w:t>n närvarade tjänstemän från Arbetsmarknadsdepartementet samt Helena Fridman Konstantinidou från EU-nämndens kansli.</w:t>
            </w:r>
          </w:p>
          <w:p w:rsidR="001C7B5C" w:rsidRDefault="001C7B5C" w:rsidP="004C7E1C">
            <w:pPr>
              <w:widowControl/>
              <w:autoSpaceDE w:val="0"/>
              <w:autoSpaceDN w:val="0"/>
              <w:adjustRightInd w:val="0"/>
              <w:textAlignment w:val="center"/>
              <w:rPr>
                <w:b/>
              </w:rPr>
            </w:pPr>
          </w:p>
        </w:tc>
      </w:tr>
      <w:tr w:rsidR="006F6E15" w:rsidTr="00BA36BA">
        <w:tblPrEx>
          <w:tblLook w:val="00A0" w:firstRow="1" w:lastRow="0" w:firstColumn="1" w:lastColumn="0" w:noHBand="0" w:noVBand="0"/>
        </w:tblPrEx>
        <w:trPr>
          <w:gridBefore w:val="2"/>
          <w:wBefore w:w="1985" w:type="dxa"/>
        </w:trPr>
        <w:tc>
          <w:tcPr>
            <w:tcW w:w="497" w:type="dxa"/>
          </w:tcPr>
          <w:p w:rsidR="006F6E15" w:rsidRDefault="006F6E15" w:rsidP="000F3CC4">
            <w:pPr>
              <w:tabs>
                <w:tab w:val="left" w:pos="1701"/>
              </w:tabs>
              <w:ind w:right="-65"/>
              <w:rPr>
                <w:b/>
                <w:snapToGrid w:val="0"/>
              </w:rPr>
            </w:pPr>
            <w:r>
              <w:rPr>
                <w:b/>
                <w:snapToGrid w:val="0"/>
              </w:rPr>
              <w:t xml:space="preserve">§ </w:t>
            </w:r>
            <w:r w:rsidR="001C7B5C">
              <w:rPr>
                <w:b/>
                <w:snapToGrid w:val="0"/>
              </w:rPr>
              <w:t>1</w:t>
            </w:r>
            <w:r w:rsidR="000F3CC4">
              <w:rPr>
                <w:b/>
                <w:snapToGrid w:val="0"/>
              </w:rPr>
              <w:t>1</w:t>
            </w:r>
          </w:p>
        </w:tc>
        <w:tc>
          <w:tcPr>
            <w:tcW w:w="7258" w:type="dxa"/>
            <w:gridSpan w:val="18"/>
          </w:tcPr>
          <w:p w:rsidR="006F6E15" w:rsidRDefault="005D2EEE" w:rsidP="001C7B5C">
            <w:pPr>
              <w:widowControl/>
              <w:autoSpaceDE w:val="0"/>
              <w:autoSpaceDN w:val="0"/>
              <w:adjustRightInd w:val="0"/>
              <w:spacing w:after="120"/>
              <w:textAlignment w:val="center"/>
              <w:rPr>
                <w:b/>
                <w:szCs w:val="22"/>
              </w:rPr>
            </w:pPr>
            <w:r>
              <w:rPr>
                <w:b/>
                <w:szCs w:val="24"/>
              </w:rPr>
              <w:t>Kanslimeddelanden</w:t>
            </w:r>
          </w:p>
          <w:p w:rsidR="006F6E15" w:rsidRPr="00ED2F19" w:rsidRDefault="005D2EEE" w:rsidP="000943FF">
            <w:pPr>
              <w:pStyle w:val="Liststycke"/>
              <w:widowControl/>
              <w:numPr>
                <w:ilvl w:val="0"/>
                <w:numId w:val="20"/>
              </w:numPr>
              <w:ind w:left="355"/>
              <w:textAlignment w:val="center"/>
              <w:rPr>
                <w:rFonts w:eastAsiaTheme="minorHAnsi"/>
                <w:bCs/>
                <w:szCs w:val="24"/>
                <w:lang w:eastAsia="en-US"/>
              </w:rPr>
            </w:pPr>
            <w:r w:rsidRPr="00ED2F19">
              <w:rPr>
                <w:rFonts w:eastAsiaTheme="minorHAnsi"/>
                <w:bCs/>
                <w:szCs w:val="24"/>
                <w:lang w:eastAsia="en-US"/>
              </w:rPr>
              <w:t xml:space="preserve">Kanslichefen anmälde </w:t>
            </w:r>
            <w:r w:rsidR="001E2BE2">
              <w:rPr>
                <w:rFonts w:eastAsiaTheme="minorHAnsi"/>
                <w:bCs/>
                <w:szCs w:val="24"/>
                <w:lang w:eastAsia="en-US"/>
              </w:rPr>
              <w:t xml:space="preserve">nya ärenden på </w:t>
            </w:r>
            <w:r w:rsidRPr="00ED2F19">
              <w:rPr>
                <w:rFonts w:eastAsiaTheme="minorHAnsi"/>
                <w:bCs/>
                <w:szCs w:val="24"/>
                <w:lang w:eastAsia="en-US"/>
              </w:rPr>
              <w:t>sammanträdesplanen.</w:t>
            </w:r>
          </w:p>
          <w:p w:rsidR="00ED2F19" w:rsidRPr="004E165E" w:rsidRDefault="00ED2F19" w:rsidP="000943FF">
            <w:pPr>
              <w:widowControl/>
              <w:ind w:left="355"/>
              <w:textAlignment w:val="center"/>
              <w:rPr>
                <w:rFonts w:eastAsiaTheme="minorHAnsi"/>
                <w:bCs/>
                <w:sz w:val="16"/>
                <w:szCs w:val="24"/>
                <w:lang w:eastAsia="en-US"/>
              </w:rPr>
            </w:pPr>
          </w:p>
          <w:p w:rsidR="00ED2F19" w:rsidRDefault="00ED2F19" w:rsidP="000943FF">
            <w:pPr>
              <w:pStyle w:val="Liststycke"/>
              <w:widowControl/>
              <w:numPr>
                <w:ilvl w:val="0"/>
                <w:numId w:val="20"/>
              </w:numPr>
              <w:ind w:left="355"/>
              <w:textAlignment w:val="center"/>
              <w:rPr>
                <w:rFonts w:eastAsiaTheme="minorHAnsi"/>
                <w:bCs/>
                <w:szCs w:val="24"/>
                <w:lang w:eastAsia="en-US"/>
              </w:rPr>
            </w:pPr>
            <w:r w:rsidRPr="00ED2F19">
              <w:rPr>
                <w:rFonts w:eastAsiaTheme="minorHAnsi"/>
                <w:bCs/>
                <w:szCs w:val="24"/>
                <w:lang w:eastAsia="en-US"/>
              </w:rPr>
              <w:t xml:space="preserve">Kansliet </w:t>
            </w:r>
            <w:r w:rsidR="00BA36BA">
              <w:rPr>
                <w:rFonts w:eastAsiaTheme="minorHAnsi"/>
                <w:bCs/>
                <w:szCs w:val="24"/>
                <w:lang w:eastAsia="en-US"/>
              </w:rPr>
              <w:t>lämnade EU-information</w:t>
            </w:r>
            <w:r w:rsidRPr="00ED2F19">
              <w:rPr>
                <w:rFonts w:eastAsiaTheme="minorHAnsi"/>
                <w:bCs/>
                <w:szCs w:val="24"/>
                <w:lang w:eastAsia="en-US"/>
              </w:rPr>
              <w:t>.</w:t>
            </w:r>
          </w:p>
          <w:p w:rsidR="00442BB4" w:rsidRPr="00442BB4" w:rsidRDefault="00442BB4" w:rsidP="00442BB4">
            <w:pPr>
              <w:pStyle w:val="Liststycke"/>
              <w:widowControl/>
              <w:ind w:left="355"/>
              <w:textAlignment w:val="center"/>
              <w:rPr>
                <w:rFonts w:eastAsiaTheme="minorHAnsi"/>
                <w:bCs/>
                <w:sz w:val="16"/>
                <w:szCs w:val="24"/>
                <w:lang w:eastAsia="en-US"/>
              </w:rPr>
            </w:pPr>
          </w:p>
          <w:p w:rsidR="00442BB4" w:rsidRDefault="00442BB4" w:rsidP="000943FF">
            <w:pPr>
              <w:pStyle w:val="Liststycke"/>
              <w:widowControl/>
              <w:numPr>
                <w:ilvl w:val="0"/>
                <w:numId w:val="20"/>
              </w:numPr>
              <w:ind w:left="355"/>
              <w:textAlignment w:val="center"/>
              <w:rPr>
                <w:rFonts w:eastAsiaTheme="minorHAnsi"/>
                <w:bCs/>
                <w:szCs w:val="24"/>
                <w:lang w:eastAsia="en-US"/>
              </w:rPr>
            </w:pPr>
            <w:r>
              <w:rPr>
                <w:rFonts w:eastAsiaTheme="minorHAnsi"/>
                <w:bCs/>
                <w:szCs w:val="24"/>
                <w:lang w:eastAsia="en-US"/>
              </w:rPr>
              <w:t xml:space="preserve">Kanslichefen anmälde en inbjudan </w:t>
            </w:r>
            <w:r w:rsidR="00BA36BA">
              <w:rPr>
                <w:rFonts w:eastAsiaTheme="minorHAnsi"/>
                <w:bCs/>
                <w:szCs w:val="24"/>
                <w:lang w:eastAsia="en-US"/>
              </w:rPr>
              <w:t xml:space="preserve">att delta i </w:t>
            </w:r>
            <w:r>
              <w:rPr>
                <w:rFonts w:eastAsiaTheme="minorHAnsi"/>
                <w:bCs/>
                <w:szCs w:val="24"/>
                <w:lang w:eastAsia="en-US"/>
              </w:rPr>
              <w:t xml:space="preserve">den svenska delegationen till FN:s politiska högnivåforum 2019 om hållbar utveckling, New York City 9–18 </w:t>
            </w:r>
            <w:r w:rsidR="00555FAC">
              <w:rPr>
                <w:rFonts w:eastAsiaTheme="minorHAnsi"/>
                <w:bCs/>
                <w:szCs w:val="24"/>
                <w:lang w:eastAsia="en-US"/>
              </w:rPr>
              <w:t xml:space="preserve">juli </w:t>
            </w:r>
            <w:r>
              <w:rPr>
                <w:rFonts w:eastAsiaTheme="minorHAnsi"/>
                <w:bCs/>
                <w:szCs w:val="24"/>
                <w:lang w:eastAsia="en-US"/>
              </w:rPr>
              <w:t>2019.</w:t>
            </w:r>
          </w:p>
          <w:p w:rsidR="00BA36BA" w:rsidRDefault="00BA36BA" w:rsidP="00BA36BA">
            <w:pPr>
              <w:pStyle w:val="Liststycke"/>
              <w:widowControl/>
              <w:ind w:left="355"/>
              <w:textAlignment w:val="center"/>
              <w:rPr>
                <w:rFonts w:eastAsiaTheme="minorHAnsi"/>
                <w:bCs/>
                <w:szCs w:val="24"/>
                <w:lang w:eastAsia="en-US"/>
              </w:rPr>
            </w:pPr>
          </w:p>
          <w:p w:rsidR="00617CC6" w:rsidRPr="00232527" w:rsidRDefault="00617CC6" w:rsidP="001C7B5C">
            <w:pPr>
              <w:widowControl/>
              <w:textAlignment w:val="center"/>
              <w:rPr>
                <w:rFonts w:eastAsiaTheme="minorHAnsi"/>
                <w:b/>
                <w:bCs/>
                <w:szCs w:val="24"/>
                <w:lang w:eastAsia="en-US"/>
              </w:rPr>
            </w:pPr>
          </w:p>
        </w:tc>
      </w:tr>
      <w:tr w:rsidR="00847362" w:rsidTr="00BA36BA">
        <w:tblPrEx>
          <w:tblLook w:val="00A0" w:firstRow="1" w:lastRow="0" w:firstColumn="1" w:lastColumn="0" w:noHBand="0" w:noVBand="0"/>
        </w:tblPrEx>
        <w:trPr>
          <w:gridBefore w:val="2"/>
          <w:wBefore w:w="1985" w:type="dxa"/>
        </w:trPr>
        <w:tc>
          <w:tcPr>
            <w:tcW w:w="497" w:type="dxa"/>
          </w:tcPr>
          <w:p w:rsidR="00847362" w:rsidRDefault="00847362" w:rsidP="000F3CC4">
            <w:pPr>
              <w:tabs>
                <w:tab w:val="left" w:pos="1701"/>
              </w:tabs>
              <w:ind w:right="-65"/>
              <w:rPr>
                <w:b/>
                <w:snapToGrid w:val="0"/>
              </w:rPr>
            </w:pPr>
            <w:r>
              <w:rPr>
                <w:b/>
                <w:snapToGrid w:val="0"/>
              </w:rPr>
              <w:lastRenderedPageBreak/>
              <w:t xml:space="preserve">§ </w:t>
            </w:r>
            <w:r w:rsidR="001C7B5C">
              <w:rPr>
                <w:b/>
                <w:snapToGrid w:val="0"/>
              </w:rPr>
              <w:t>1</w:t>
            </w:r>
            <w:r w:rsidR="000F3CC4">
              <w:rPr>
                <w:b/>
                <w:snapToGrid w:val="0"/>
              </w:rPr>
              <w:t>2</w:t>
            </w:r>
          </w:p>
        </w:tc>
        <w:tc>
          <w:tcPr>
            <w:tcW w:w="7258" w:type="dxa"/>
            <w:gridSpan w:val="18"/>
          </w:tcPr>
          <w:p w:rsidR="00847362" w:rsidRDefault="00847362" w:rsidP="00BB0FC6">
            <w:pPr>
              <w:autoSpaceDE w:val="0"/>
              <w:autoSpaceDN w:val="0"/>
              <w:adjustRightInd w:val="0"/>
              <w:spacing w:after="120"/>
              <w:rPr>
                <w:b/>
                <w:bCs/>
                <w:color w:val="000000"/>
                <w:szCs w:val="24"/>
              </w:rPr>
            </w:pPr>
            <w:r>
              <w:rPr>
                <w:b/>
                <w:bCs/>
                <w:color w:val="000000"/>
                <w:szCs w:val="24"/>
              </w:rPr>
              <w:t>Nästa sammanträde</w:t>
            </w:r>
          </w:p>
          <w:p w:rsidR="00847362" w:rsidRDefault="00847362" w:rsidP="00847362">
            <w:pPr>
              <w:tabs>
                <w:tab w:val="left" w:pos="1701"/>
              </w:tabs>
            </w:pPr>
            <w:r>
              <w:t>Utskottet beslutade att n</w:t>
            </w:r>
            <w:r w:rsidR="00A12700">
              <w:t>ästa sammanträde ska äga rum t</w:t>
            </w:r>
            <w:r w:rsidR="001C7B5C">
              <w:t>is</w:t>
            </w:r>
            <w:r>
              <w:t xml:space="preserve">dagen den </w:t>
            </w:r>
          </w:p>
          <w:p w:rsidR="00847362" w:rsidRDefault="001C7B5C" w:rsidP="00847362">
            <w:pPr>
              <w:tabs>
                <w:tab w:val="left" w:pos="1701"/>
              </w:tabs>
            </w:pPr>
            <w:r>
              <w:t>28</w:t>
            </w:r>
            <w:r w:rsidR="00824476">
              <w:t xml:space="preserve"> maj</w:t>
            </w:r>
            <w:r w:rsidR="00847362">
              <w:t xml:space="preserve"> 2019 kl. 1</w:t>
            </w:r>
            <w:r>
              <w:t>1</w:t>
            </w:r>
            <w:r w:rsidR="00613753">
              <w:t>.</w:t>
            </w:r>
            <w:r w:rsidR="00847362">
              <w:t>00.</w:t>
            </w:r>
          </w:p>
          <w:p w:rsidR="00232527" w:rsidRDefault="00232527" w:rsidP="00847362">
            <w:pPr>
              <w:tabs>
                <w:tab w:val="left" w:pos="1701"/>
              </w:tabs>
            </w:pPr>
          </w:p>
          <w:p w:rsidR="00847362" w:rsidRDefault="00847362" w:rsidP="00847362">
            <w:pPr>
              <w:tabs>
                <w:tab w:val="left" w:pos="1701"/>
              </w:tabs>
              <w:rPr>
                <w:b/>
                <w:bCs/>
                <w:color w:val="000000"/>
                <w:szCs w:val="24"/>
              </w:rPr>
            </w:pPr>
          </w:p>
          <w:p w:rsidR="00232527" w:rsidRDefault="00232527" w:rsidP="00847362">
            <w:pPr>
              <w:tabs>
                <w:tab w:val="left" w:pos="1701"/>
              </w:tabs>
              <w:rPr>
                <w:b/>
                <w:bCs/>
                <w:color w:val="000000"/>
                <w:szCs w:val="24"/>
              </w:rPr>
            </w:pPr>
          </w:p>
          <w:p w:rsidR="00232527" w:rsidRDefault="00232527" w:rsidP="00847362">
            <w:pPr>
              <w:tabs>
                <w:tab w:val="left" w:pos="1701"/>
              </w:tabs>
              <w:rPr>
                <w:b/>
                <w:bCs/>
                <w:color w:val="000000"/>
                <w:szCs w:val="24"/>
              </w:rPr>
            </w:pPr>
          </w:p>
        </w:tc>
      </w:tr>
      <w:tr w:rsidR="00847362" w:rsidTr="001C44BD">
        <w:tblPrEx>
          <w:tblLook w:val="00A0" w:firstRow="1" w:lastRow="0" w:firstColumn="1" w:lastColumn="0" w:noHBand="0" w:noVBand="0"/>
        </w:tblPrEx>
        <w:trPr>
          <w:gridBefore w:val="2"/>
          <w:wBefore w:w="1985" w:type="dxa"/>
        </w:trPr>
        <w:tc>
          <w:tcPr>
            <w:tcW w:w="7755" w:type="dxa"/>
            <w:gridSpan w:val="19"/>
          </w:tcPr>
          <w:p w:rsidR="001C44BD" w:rsidRPr="001C44BD" w:rsidRDefault="001C44BD" w:rsidP="000A4FFF">
            <w:pPr>
              <w:tabs>
                <w:tab w:val="left" w:pos="1701"/>
              </w:tabs>
            </w:pPr>
            <w:r w:rsidRPr="001C44BD">
              <w:t xml:space="preserve">Vid </w:t>
            </w:r>
            <w:r w:rsidR="001B44B9">
              <w:t>protokoll</w:t>
            </w:r>
            <w:r w:rsidRPr="001C44BD">
              <w:t>et</w:t>
            </w:r>
          </w:p>
          <w:p w:rsidR="001C44BD" w:rsidRPr="001C44BD" w:rsidRDefault="001C44BD" w:rsidP="000A4FFF">
            <w:pPr>
              <w:tabs>
                <w:tab w:val="left" w:pos="1701"/>
              </w:tabs>
            </w:pPr>
          </w:p>
          <w:p w:rsidR="004E165E" w:rsidRDefault="004E165E" w:rsidP="001C7B5C">
            <w:pPr>
              <w:tabs>
                <w:tab w:val="left" w:pos="1701"/>
              </w:tabs>
            </w:pPr>
          </w:p>
          <w:p w:rsidR="00C93B76" w:rsidRDefault="00C93B76" w:rsidP="001C7B5C">
            <w:pPr>
              <w:tabs>
                <w:tab w:val="left" w:pos="1701"/>
              </w:tabs>
            </w:pPr>
            <w:bookmarkStart w:id="0" w:name="_GoBack"/>
            <w:bookmarkEnd w:id="0"/>
          </w:p>
          <w:p w:rsidR="001C44BD" w:rsidRDefault="00D25C13" w:rsidP="001C7B5C">
            <w:pPr>
              <w:tabs>
                <w:tab w:val="left" w:pos="1701"/>
              </w:tabs>
            </w:pPr>
            <w:r>
              <w:t>Justeras</w:t>
            </w:r>
            <w:r w:rsidR="001C7B5C">
              <w:t xml:space="preserve"> den 28</w:t>
            </w:r>
            <w:r w:rsidR="001C44BD">
              <w:t xml:space="preserve"> maj 2019</w:t>
            </w: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232527" w:rsidRDefault="00232527" w:rsidP="001C7B5C">
            <w:pPr>
              <w:tabs>
                <w:tab w:val="left" w:pos="1701"/>
              </w:tabs>
            </w:pPr>
          </w:p>
          <w:p w:rsidR="001C7B5C" w:rsidRDefault="001C7B5C" w:rsidP="001C7B5C">
            <w:pPr>
              <w:tabs>
                <w:tab w:val="left" w:pos="1701"/>
              </w:tabs>
              <w:rPr>
                <w:b/>
              </w:rPr>
            </w:pPr>
          </w:p>
        </w:tc>
      </w:tr>
      <w:tr w:rsidR="00847362" w:rsidRPr="00332427" w:rsidTr="001C4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7" w:type="dxa"/>
          <w:wAfter w:w="439" w:type="dxa"/>
        </w:trPr>
        <w:tc>
          <w:tcPr>
            <w:tcW w:w="4022" w:type="dxa"/>
            <w:gridSpan w:val="3"/>
            <w:tcBorders>
              <w:top w:val="nil"/>
              <w:left w:val="nil"/>
              <w:bottom w:val="nil"/>
              <w:right w:val="nil"/>
            </w:tcBorders>
          </w:tcPr>
          <w:p w:rsidR="00847362" w:rsidRPr="00824476" w:rsidRDefault="00847362" w:rsidP="00847362">
            <w:pPr>
              <w:tabs>
                <w:tab w:val="left" w:pos="1701"/>
              </w:tabs>
              <w:rPr>
                <w:sz w:val="22"/>
              </w:rPr>
            </w:pPr>
            <w:r w:rsidRPr="00824476">
              <w:rPr>
                <w:sz w:val="22"/>
              </w:rPr>
              <w:lastRenderedPageBreak/>
              <w:t>AR</w:t>
            </w:r>
            <w:r w:rsidR="0057657C" w:rsidRPr="00824476">
              <w:rPr>
                <w:sz w:val="22"/>
              </w:rPr>
              <w:t>B</w:t>
            </w:r>
            <w:r w:rsidRPr="00824476">
              <w:rPr>
                <w:sz w:val="22"/>
              </w:rPr>
              <w:t>ETSMARKNADSUTSKOTTET</w:t>
            </w:r>
          </w:p>
          <w:p w:rsidR="00847362" w:rsidRPr="00824476" w:rsidRDefault="00847362" w:rsidP="00847362">
            <w:pPr>
              <w:tabs>
                <w:tab w:val="left" w:pos="1701"/>
              </w:tabs>
              <w:rPr>
                <w:sz w:val="22"/>
              </w:rPr>
            </w:pPr>
          </w:p>
        </w:tc>
        <w:tc>
          <w:tcPr>
            <w:tcW w:w="3226" w:type="dxa"/>
            <w:gridSpan w:val="10"/>
            <w:tcBorders>
              <w:top w:val="nil"/>
              <w:left w:val="nil"/>
              <w:bottom w:val="nil"/>
              <w:right w:val="nil"/>
            </w:tcBorders>
          </w:tcPr>
          <w:p w:rsidR="00847362" w:rsidRPr="00824476" w:rsidRDefault="00847362" w:rsidP="00847362">
            <w:pPr>
              <w:tabs>
                <w:tab w:val="left" w:pos="1701"/>
              </w:tabs>
              <w:jc w:val="center"/>
              <w:rPr>
                <w:b/>
                <w:sz w:val="22"/>
              </w:rPr>
            </w:pPr>
            <w:r w:rsidRPr="00824476">
              <w:rPr>
                <w:b/>
                <w:sz w:val="22"/>
              </w:rPr>
              <w:t>NÄRVAROFÖRTECKNING</w:t>
            </w:r>
          </w:p>
          <w:p w:rsidR="00847362" w:rsidRPr="00824476" w:rsidRDefault="00847362" w:rsidP="00847362">
            <w:pPr>
              <w:tabs>
                <w:tab w:val="left" w:pos="1701"/>
              </w:tabs>
              <w:jc w:val="center"/>
              <w:rPr>
                <w:b/>
                <w:sz w:val="22"/>
              </w:rPr>
            </w:pPr>
          </w:p>
        </w:tc>
        <w:tc>
          <w:tcPr>
            <w:tcW w:w="1486" w:type="dxa"/>
            <w:gridSpan w:val="6"/>
            <w:tcBorders>
              <w:top w:val="nil"/>
              <w:left w:val="nil"/>
              <w:bottom w:val="nil"/>
              <w:right w:val="nil"/>
            </w:tcBorders>
          </w:tcPr>
          <w:p w:rsidR="00847362" w:rsidRPr="00824476" w:rsidRDefault="00847362" w:rsidP="00847362">
            <w:pPr>
              <w:tabs>
                <w:tab w:val="left" w:pos="1701"/>
              </w:tabs>
              <w:rPr>
                <w:b/>
                <w:sz w:val="22"/>
              </w:rPr>
            </w:pPr>
            <w:r w:rsidRPr="00824476">
              <w:rPr>
                <w:b/>
                <w:sz w:val="22"/>
              </w:rPr>
              <w:t>Bilaga 1</w:t>
            </w:r>
          </w:p>
          <w:p w:rsidR="00847362" w:rsidRPr="00824476" w:rsidRDefault="00847362" w:rsidP="00847362">
            <w:pPr>
              <w:tabs>
                <w:tab w:val="left" w:pos="1701"/>
              </w:tabs>
              <w:rPr>
                <w:sz w:val="22"/>
              </w:rPr>
            </w:pPr>
            <w:r w:rsidRPr="00824476">
              <w:rPr>
                <w:sz w:val="22"/>
              </w:rPr>
              <w:t>till protokoll</w:t>
            </w:r>
          </w:p>
          <w:p w:rsidR="00847362" w:rsidRPr="00824476" w:rsidRDefault="000A4FFF" w:rsidP="00847362">
            <w:pPr>
              <w:tabs>
                <w:tab w:val="left" w:pos="1701"/>
              </w:tabs>
              <w:rPr>
                <w:sz w:val="22"/>
              </w:rPr>
            </w:pPr>
            <w:r>
              <w:rPr>
                <w:sz w:val="22"/>
              </w:rPr>
              <w:t>2018/19:3</w:t>
            </w:r>
            <w:r w:rsidR="001C7B5C">
              <w:rPr>
                <w:sz w:val="22"/>
              </w:rPr>
              <w:t>1</w:t>
            </w:r>
          </w:p>
        </w:tc>
      </w:tr>
      <w:tr w:rsidR="00847362" w:rsidRPr="006F6E15" w:rsidTr="00ED2F19">
        <w:trPr>
          <w:gridBefore w:val="1"/>
          <w:gridAfter w:val="1"/>
          <w:wBefore w:w="567" w:type="dxa"/>
          <w:wAfter w:w="439" w:type="dxa"/>
          <w:cantSplit/>
        </w:trPr>
        <w:tc>
          <w:tcPr>
            <w:tcW w:w="4022" w:type="dxa"/>
            <w:gridSpan w:val="3"/>
            <w:tcBorders>
              <w:top w:val="single" w:sz="6" w:space="0" w:color="auto"/>
              <w:left w:val="single" w:sz="6" w:space="0" w:color="auto"/>
              <w:bottom w:val="single" w:sz="6"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86" w:type="dxa"/>
            <w:gridSpan w:val="2"/>
            <w:tcBorders>
              <w:top w:val="single" w:sz="6" w:space="0" w:color="auto"/>
              <w:left w:val="single" w:sz="6" w:space="0" w:color="auto"/>
              <w:bottom w:val="single" w:sz="6" w:space="0" w:color="auto"/>
              <w:right w:val="single" w:sz="6" w:space="0" w:color="auto"/>
            </w:tcBorders>
          </w:tcPr>
          <w:p w:rsidR="00847362" w:rsidRPr="00824476" w:rsidRDefault="00847362" w:rsidP="00165C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824476">
              <w:rPr>
                <w:sz w:val="22"/>
                <w:szCs w:val="22"/>
              </w:rPr>
              <w:t>§</w:t>
            </w:r>
            <w:r w:rsidR="00613753" w:rsidRPr="00824476">
              <w:rPr>
                <w:sz w:val="22"/>
                <w:szCs w:val="22"/>
              </w:rPr>
              <w:t>1</w:t>
            </w:r>
            <w:r w:rsidR="00ED2F19">
              <w:rPr>
                <w:sz w:val="22"/>
                <w:szCs w:val="22"/>
              </w:rPr>
              <w:t>-5</w:t>
            </w:r>
          </w:p>
        </w:tc>
        <w:tc>
          <w:tcPr>
            <w:tcW w:w="709" w:type="dxa"/>
            <w:gridSpan w:val="2"/>
            <w:tcBorders>
              <w:top w:val="single" w:sz="6" w:space="0" w:color="auto"/>
              <w:left w:val="single" w:sz="6" w:space="0" w:color="auto"/>
              <w:bottom w:val="single" w:sz="6" w:space="0" w:color="auto"/>
              <w:right w:val="single" w:sz="6" w:space="0" w:color="auto"/>
            </w:tcBorders>
          </w:tcPr>
          <w:p w:rsidR="00847362" w:rsidRPr="00824476"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ED2F19">
              <w:rPr>
                <w:sz w:val="22"/>
                <w:szCs w:val="22"/>
              </w:rPr>
              <w:t>§6-12</w:t>
            </w:r>
          </w:p>
        </w:tc>
        <w:tc>
          <w:tcPr>
            <w:tcW w:w="568" w:type="dxa"/>
            <w:gridSpan w:val="2"/>
            <w:tcBorders>
              <w:top w:val="single" w:sz="6" w:space="0" w:color="auto"/>
              <w:left w:val="single" w:sz="6" w:space="0" w:color="auto"/>
              <w:bottom w:val="single" w:sz="6" w:space="0" w:color="auto"/>
              <w:right w:val="single" w:sz="6" w:space="0" w:color="auto"/>
            </w:tcBorders>
          </w:tcPr>
          <w:p w:rsidR="00847362" w:rsidRPr="00824476" w:rsidRDefault="00847362" w:rsidP="006F73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b/>
                <w:i/>
                <w:sz w:val="22"/>
                <w:szCs w:val="22"/>
              </w:rPr>
              <w:t>LEDAMÖTER</w:t>
            </w:r>
          </w:p>
        </w:tc>
        <w:tc>
          <w:tcPr>
            <w:tcW w:w="303"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824476">
              <w:rPr>
                <w:sz w:val="22"/>
                <w:szCs w:val="22"/>
              </w:rPr>
              <w:t>N</w:t>
            </w:r>
          </w:p>
        </w:tc>
        <w:tc>
          <w:tcPr>
            <w:tcW w:w="283"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824476">
              <w:rPr>
                <w:sz w:val="22"/>
                <w:szCs w:val="22"/>
              </w:rPr>
              <w:t>V</w:t>
            </w:r>
          </w:p>
        </w:tc>
        <w:tc>
          <w:tcPr>
            <w:tcW w:w="425"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824476">
              <w:rPr>
                <w:sz w:val="22"/>
                <w:szCs w:val="22"/>
              </w:rPr>
              <w:t>N</w:t>
            </w:r>
          </w:p>
        </w:tc>
        <w:tc>
          <w:tcPr>
            <w:tcW w:w="284"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824476">
              <w:rPr>
                <w:sz w:val="22"/>
                <w:szCs w:val="22"/>
              </w:rPr>
              <w:t>V</w:t>
            </w:r>
          </w:p>
        </w:tc>
        <w:tc>
          <w:tcPr>
            <w:tcW w:w="283"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N</w:t>
            </w:r>
          </w:p>
        </w:tc>
        <w:tc>
          <w:tcPr>
            <w:tcW w:w="285"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N</w:t>
            </w:r>
          </w:p>
        </w:tc>
        <w:tc>
          <w:tcPr>
            <w:tcW w:w="356"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N</w:t>
            </w:r>
          </w:p>
        </w:tc>
        <w:tc>
          <w:tcPr>
            <w:tcW w:w="357" w:type="dxa"/>
            <w:tcBorders>
              <w:top w:val="single" w:sz="6" w:space="0" w:color="auto"/>
              <w:left w:val="single" w:sz="6" w:space="0" w:color="auto"/>
              <w:bottom w:val="single" w:sz="4" w:space="0" w:color="auto"/>
              <w:right w:val="single" w:sz="6" w:space="0" w:color="auto"/>
            </w:tcBorders>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4476">
              <w:rPr>
                <w:sz w:val="22"/>
                <w:szCs w:val="22"/>
              </w:rPr>
              <w:t>V</w:t>
            </w: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 xml:space="preserve">Anna Johansson (S), </w:t>
            </w:r>
            <w:r w:rsidRPr="00824476">
              <w:rPr>
                <w:i/>
                <w:sz w:val="22"/>
              </w:rPr>
              <w:t>ordf.</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 xml:space="preserve">Gulan Avci (L), </w:t>
            </w:r>
            <w:r w:rsidR="001647ED" w:rsidRPr="00824476">
              <w:rPr>
                <w:i/>
                <w:sz w:val="22"/>
              </w:rPr>
              <w:t>förste</w:t>
            </w:r>
            <w:r w:rsidR="001647ED" w:rsidRPr="00824476">
              <w:rPr>
                <w:sz w:val="22"/>
              </w:rPr>
              <w:t xml:space="preserve"> </w:t>
            </w:r>
            <w:r w:rsidRPr="00824476">
              <w:rPr>
                <w:i/>
                <w:sz w:val="22"/>
              </w:rPr>
              <w:t>vice ordf.</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0D3BD9"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0D3BD9" w:rsidRDefault="000D3BD9" w:rsidP="000D3BD9">
            <w:pPr>
              <w:ind w:right="513"/>
              <w:rPr>
                <w:sz w:val="22"/>
                <w:lang w:val="en-US"/>
              </w:rPr>
            </w:pPr>
            <w:r w:rsidRPr="000D3BD9">
              <w:rPr>
                <w:sz w:val="22"/>
                <w:lang w:val="en-US"/>
              </w:rPr>
              <w:t>Mats Green</w:t>
            </w:r>
            <w:r>
              <w:rPr>
                <w:sz w:val="22"/>
                <w:lang w:val="en-US"/>
              </w:rPr>
              <w:t xml:space="preserve"> (M)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lang w:val="en-US"/>
              </w:rPr>
              <w:t>Patrik Björck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Saila Quicklund (M)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Magnus Persson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Helén Pettersson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Martin Ådahl (C)</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Ali Esbati (V)</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E241D" w:rsidP="00847362">
            <w:pPr>
              <w:ind w:right="513"/>
              <w:rPr>
                <w:sz w:val="22"/>
              </w:rPr>
            </w:pPr>
            <w:r w:rsidRPr="00824476">
              <w:rPr>
                <w:sz w:val="22"/>
              </w:rPr>
              <w:t xml:space="preserve">Josefin Malmqvist </w:t>
            </w:r>
            <w:r w:rsidR="00847362" w:rsidRPr="00824476">
              <w:rPr>
                <w:sz w:val="22"/>
              </w:rPr>
              <w:t>(M)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Ebba Hermansson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Johan Andersson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Sofia Damm (KD)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6137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O</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Serkan Köse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 xml:space="preserve">Alexander Christiansson (SD) </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Leila Ali-Elmi (MP)</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Maria Nilsson (L)</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847362" w:rsidRPr="00824476"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824476">
              <w:rPr>
                <w:b/>
                <w:i/>
                <w:sz w:val="22"/>
              </w:rPr>
              <w:t>SUPPLEANTER</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Johanna Haraldsson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Hanif Bali (M)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Marianne Pettersson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E241D" w:rsidP="008E241D">
            <w:pPr>
              <w:ind w:right="513"/>
              <w:rPr>
                <w:sz w:val="22"/>
              </w:rPr>
            </w:pPr>
            <w:r w:rsidRPr="00824476">
              <w:rPr>
                <w:sz w:val="22"/>
              </w:rPr>
              <w:t xml:space="preserve">Elisabeth Björnsdotter Rahm </w:t>
            </w:r>
            <w:r w:rsidR="00847362" w:rsidRPr="00824476">
              <w:rPr>
                <w:sz w:val="22"/>
              </w:rPr>
              <w:t>(M)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Henrik Vinge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Ann-Christin Ahlberg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Alireza Akhondi (C)</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Ciczie Weidby (V)</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E241D" w:rsidP="00847362">
            <w:pPr>
              <w:ind w:right="513"/>
              <w:rPr>
                <w:sz w:val="22"/>
              </w:rPr>
            </w:pPr>
            <w:r w:rsidRPr="00824476">
              <w:rPr>
                <w:sz w:val="22"/>
              </w:rPr>
              <w:t xml:space="preserve">Lars Beckman </w:t>
            </w:r>
            <w:r w:rsidR="00847362" w:rsidRPr="00824476">
              <w:rPr>
                <w:sz w:val="22"/>
              </w:rPr>
              <w:t>(M)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Sara Seppälä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Patrik Engström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Désirée Pethrus (KD)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O</w:t>
            </w: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ED2F19"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Pr>
                <w:sz w:val="20"/>
                <w:lang w:val="en-US"/>
              </w:rPr>
              <w:t>X</w:t>
            </w: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Kadir Kasirga (S)</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Juno Blom (L)</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Sven-Olof Sällström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824476" w:rsidRDefault="00847362" w:rsidP="00847362">
            <w:pPr>
              <w:ind w:right="513"/>
              <w:rPr>
                <w:sz w:val="22"/>
              </w:rPr>
            </w:pPr>
            <w:r w:rsidRPr="00824476">
              <w:rPr>
                <w:sz w:val="22"/>
              </w:rPr>
              <w:t>Rebecka Le Moine (MP)</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E241D" w:rsidP="00847362">
            <w:pPr>
              <w:ind w:right="513"/>
              <w:rPr>
                <w:sz w:val="22"/>
              </w:rPr>
            </w:pPr>
            <w:r>
              <w:rPr>
                <w:sz w:val="22"/>
              </w:rPr>
              <w:t>Vakant</w:t>
            </w:r>
            <w:r w:rsidR="00847362" w:rsidRPr="00824476">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Mattias Karlsson i Norrhult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Linda Lindberg (SD)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Roger Haddad (L)</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Robert Hannah (L)</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Vakant (MP)</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Annika Qarlsson (C)</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Christina Höj Larsen (V)</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Hans Eklind (KD)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Height w:val="165"/>
        </w:trPr>
        <w:tc>
          <w:tcPr>
            <w:tcW w:w="4022" w:type="dxa"/>
            <w:gridSpan w:val="3"/>
            <w:tcBorders>
              <w:top w:val="single" w:sz="6" w:space="0" w:color="auto"/>
              <w:left w:val="single" w:sz="6" w:space="0" w:color="auto"/>
              <w:bottom w:val="single" w:sz="8" w:space="0" w:color="auto"/>
              <w:right w:val="single" w:sz="4" w:space="0" w:color="auto"/>
            </w:tcBorders>
          </w:tcPr>
          <w:p w:rsidR="00847362" w:rsidRPr="00824476" w:rsidRDefault="00847362" w:rsidP="00847362">
            <w:pPr>
              <w:ind w:right="513"/>
              <w:rPr>
                <w:sz w:val="22"/>
              </w:rPr>
            </w:pPr>
            <w:r w:rsidRPr="00824476">
              <w:rPr>
                <w:sz w:val="22"/>
              </w:rPr>
              <w:t>Camilla Brodin (KD)</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6E15"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6F6E15" w:rsidRPr="00824476" w:rsidRDefault="001B44B9" w:rsidP="00847362">
            <w:pPr>
              <w:ind w:right="513"/>
              <w:rPr>
                <w:sz w:val="22"/>
              </w:rPr>
            </w:pPr>
            <w:r>
              <w:rPr>
                <w:sz w:val="22"/>
              </w:rPr>
              <w:t>R</w:t>
            </w:r>
            <w:r w:rsidR="006F6E15" w:rsidRPr="00824476">
              <w:rPr>
                <w:sz w:val="22"/>
              </w:rPr>
              <w:t>oza Güclu Hedin (S)</w:t>
            </w:r>
          </w:p>
        </w:tc>
        <w:tc>
          <w:tcPr>
            <w:tcW w:w="303"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6F6E15" w:rsidRPr="006F6E15" w:rsidRDefault="006F6E15"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24476">
              <w:rPr>
                <w:b/>
                <w:i/>
                <w:sz w:val="22"/>
              </w:rPr>
              <w:t>EXTRA SUPPLEANTER</w:t>
            </w:r>
          </w:p>
        </w:tc>
        <w:tc>
          <w:tcPr>
            <w:tcW w:w="303"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847362" w:rsidRPr="006F6E15"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C328D" w:rsidRPr="006F6E15" w:rsidTr="00ED2F19">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2C328D" w:rsidRPr="006F6E15" w:rsidRDefault="002C328D" w:rsidP="00847362">
            <w:pPr>
              <w:ind w:right="513"/>
              <w:rPr>
                <w:sz w:val="20"/>
              </w:rPr>
            </w:pPr>
            <w:r w:rsidRPr="00824476">
              <w:rPr>
                <w:sz w:val="22"/>
              </w:rPr>
              <w:t>Henrik Edin (L)</w:t>
            </w:r>
          </w:p>
        </w:tc>
        <w:tc>
          <w:tcPr>
            <w:tcW w:w="303"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3"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25"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83"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5"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7" w:type="dxa"/>
            <w:tcBorders>
              <w:top w:val="single" w:sz="4" w:space="0" w:color="auto"/>
              <w:left w:val="single" w:sz="4" w:space="0" w:color="auto"/>
              <w:bottom w:val="single" w:sz="4" w:space="0" w:color="auto"/>
              <w:right w:val="single" w:sz="4" w:space="0" w:color="auto"/>
            </w:tcBorders>
          </w:tcPr>
          <w:p w:rsidR="002C328D" w:rsidRPr="006F6E15"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47362" w:rsidRPr="006F6E15" w:rsidTr="001C44BD">
        <w:trPr>
          <w:gridBefore w:val="1"/>
          <w:gridAfter w:val="1"/>
          <w:wBefore w:w="567" w:type="dxa"/>
          <w:wAfter w:w="439" w:type="dxa"/>
          <w:trHeight w:val="263"/>
        </w:trPr>
        <w:tc>
          <w:tcPr>
            <w:tcW w:w="4022" w:type="dxa"/>
            <w:gridSpan w:val="3"/>
          </w:tcPr>
          <w:p w:rsidR="00847362" w:rsidRPr="006F6E15" w:rsidRDefault="00847362" w:rsidP="00847362">
            <w:pPr>
              <w:spacing w:before="60"/>
              <w:rPr>
                <w:sz w:val="20"/>
                <w:szCs w:val="22"/>
              </w:rPr>
            </w:pPr>
            <w:r w:rsidRPr="006F6E15">
              <w:rPr>
                <w:sz w:val="20"/>
                <w:szCs w:val="22"/>
              </w:rPr>
              <w:t>N = Närvarande</w:t>
            </w:r>
          </w:p>
          <w:p w:rsidR="00847362" w:rsidRPr="006F6E15" w:rsidRDefault="00847362" w:rsidP="00847362">
            <w:pPr>
              <w:spacing w:before="60"/>
              <w:rPr>
                <w:sz w:val="20"/>
                <w:szCs w:val="22"/>
              </w:rPr>
            </w:pPr>
            <w:r w:rsidRPr="006F6E15">
              <w:rPr>
                <w:sz w:val="20"/>
                <w:szCs w:val="22"/>
              </w:rPr>
              <w:t>V = Votering</w:t>
            </w:r>
          </w:p>
        </w:tc>
        <w:tc>
          <w:tcPr>
            <w:tcW w:w="4712" w:type="dxa"/>
            <w:gridSpan w:val="16"/>
            <w:tcBorders>
              <w:top w:val="single" w:sz="4" w:space="0" w:color="auto"/>
            </w:tcBorders>
          </w:tcPr>
          <w:p w:rsidR="00A94D34" w:rsidRPr="006F6E15" w:rsidRDefault="00847362" w:rsidP="00A94D34">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tc>
      </w:tr>
    </w:tbl>
    <w:tbl>
      <w:tblPr>
        <w:tblpPr w:leftFromText="141" w:rightFromText="141" w:vertAnchor="page" w:horzAnchor="margin" w:tblpXSpec="center" w:tblpY="73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0943FF" w:rsidRPr="002C1D5A" w:rsidTr="006A5493">
        <w:trPr>
          <w:trHeight w:val="658"/>
        </w:trPr>
        <w:tc>
          <w:tcPr>
            <w:tcW w:w="4021" w:type="dxa"/>
            <w:tcBorders>
              <w:top w:val="nil"/>
              <w:left w:val="nil"/>
              <w:bottom w:val="nil"/>
              <w:right w:val="nil"/>
            </w:tcBorders>
          </w:tcPr>
          <w:p w:rsidR="000943FF" w:rsidRPr="002C1D5A" w:rsidRDefault="000943FF" w:rsidP="006A5493">
            <w:pPr>
              <w:tabs>
                <w:tab w:val="left" w:pos="1701"/>
              </w:tabs>
              <w:rPr>
                <w:sz w:val="22"/>
                <w:szCs w:val="24"/>
              </w:rPr>
            </w:pPr>
            <w:r w:rsidRPr="002C1D5A">
              <w:rPr>
                <w:sz w:val="22"/>
                <w:szCs w:val="24"/>
              </w:rPr>
              <w:lastRenderedPageBreak/>
              <w:t>ARBETSMARKNADSUTSKOTTET</w:t>
            </w:r>
          </w:p>
          <w:p w:rsidR="000943FF" w:rsidRPr="002C1D5A" w:rsidRDefault="000943FF" w:rsidP="006A5493">
            <w:pPr>
              <w:tabs>
                <w:tab w:val="left" w:pos="1701"/>
              </w:tabs>
              <w:rPr>
                <w:sz w:val="22"/>
                <w:szCs w:val="24"/>
              </w:rPr>
            </w:pPr>
          </w:p>
        </w:tc>
        <w:tc>
          <w:tcPr>
            <w:tcW w:w="4021" w:type="dxa"/>
            <w:tcBorders>
              <w:top w:val="nil"/>
              <w:left w:val="nil"/>
              <w:bottom w:val="nil"/>
              <w:right w:val="nil"/>
            </w:tcBorders>
          </w:tcPr>
          <w:p w:rsidR="000943FF" w:rsidRPr="002C1D5A" w:rsidRDefault="000943FF" w:rsidP="006A5493">
            <w:pPr>
              <w:tabs>
                <w:tab w:val="left" w:pos="1701"/>
              </w:tabs>
              <w:jc w:val="center"/>
              <w:rPr>
                <w:b/>
                <w:sz w:val="22"/>
                <w:szCs w:val="24"/>
              </w:rPr>
            </w:pPr>
          </w:p>
        </w:tc>
        <w:tc>
          <w:tcPr>
            <w:tcW w:w="1685" w:type="dxa"/>
            <w:tcBorders>
              <w:top w:val="nil"/>
              <w:left w:val="nil"/>
              <w:bottom w:val="nil"/>
              <w:right w:val="nil"/>
            </w:tcBorders>
          </w:tcPr>
          <w:p w:rsidR="000943FF" w:rsidRPr="002C1D5A" w:rsidRDefault="000943FF" w:rsidP="006A5493">
            <w:pPr>
              <w:tabs>
                <w:tab w:val="left" w:pos="1701"/>
              </w:tabs>
              <w:rPr>
                <w:b/>
                <w:sz w:val="22"/>
                <w:szCs w:val="24"/>
              </w:rPr>
            </w:pPr>
            <w:r>
              <w:rPr>
                <w:b/>
                <w:sz w:val="22"/>
                <w:szCs w:val="24"/>
              </w:rPr>
              <w:t>Bilaga 2</w:t>
            </w:r>
          </w:p>
          <w:p w:rsidR="000943FF" w:rsidRPr="002C1D5A" w:rsidRDefault="000943FF" w:rsidP="006A5493">
            <w:pPr>
              <w:tabs>
                <w:tab w:val="left" w:pos="1701"/>
              </w:tabs>
              <w:rPr>
                <w:sz w:val="22"/>
                <w:szCs w:val="24"/>
              </w:rPr>
            </w:pPr>
            <w:r w:rsidRPr="002C1D5A">
              <w:rPr>
                <w:sz w:val="22"/>
                <w:szCs w:val="24"/>
              </w:rPr>
              <w:t>till protokoll</w:t>
            </w:r>
          </w:p>
          <w:p w:rsidR="000943FF" w:rsidRPr="002C1D5A" w:rsidRDefault="000943FF" w:rsidP="000943FF">
            <w:pPr>
              <w:tabs>
                <w:tab w:val="left" w:pos="1701"/>
              </w:tabs>
              <w:rPr>
                <w:sz w:val="22"/>
                <w:szCs w:val="24"/>
              </w:rPr>
            </w:pPr>
            <w:r w:rsidRPr="002C1D5A">
              <w:rPr>
                <w:sz w:val="22"/>
                <w:szCs w:val="24"/>
              </w:rPr>
              <w:t>2018/19:</w:t>
            </w:r>
            <w:r>
              <w:rPr>
                <w:sz w:val="22"/>
                <w:szCs w:val="24"/>
              </w:rPr>
              <w:t>31</w:t>
            </w:r>
          </w:p>
        </w:tc>
      </w:tr>
    </w:tbl>
    <w:p w:rsidR="00084ED0" w:rsidRDefault="00084ED0" w:rsidP="0092006F">
      <w:pPr>
        <w:pStyle w:val="Default"/>
        <w:rPr>
          <w:color w:val="auto"/>
          <w:sz w:val="22"/>
          <w:szCs w:val="22"/>
        </w:rPr>
      </w:pPr>
    </w:p>
    <w:p w:rsidR="000943FF" w:rsidRDefault="000943FF" w:rsidP="0092006F">
      <w:pPr>
        <w:pStyle w:val="Default"/>
        <w:rPr>
          <w:color w:val="auto"/>
          <w:sz w:val="22"/>
          <w:szCs w:val="22"/>
        </w:rPr>
      </w:pPr>
    </w:p>
    <w:p w:rsidR="000943FF" w:rsidRDefault="000943FF" w:rsidP="0092006F">
      <w:pPr>
        <w:pStyle w:val="Default"/>
        <w:rPr>
          <w:color w:val="auto"/>
          <w:sz w:val="22"/>
          <w:szCs w:val="22"/>
        </w:rPr>
      </w:pPr>
    </w:p>
    <w:p w:rsidR="000943FF" w:rsidRDefault="000943FF" w:rsidP="0092006F">
      <w:pPr>
        <w:pStyle w:val="Default"/>
        <w:rPr>
          <w:color w:val="auto"/>
          <w:sz w:val="22"/>
          <w:szCs w:val="22"/>
        </w:rPr>
      </w:pPr>
    </w:p>
    <w:p w:rsidR="000943FF" w:rsidRDefault="000943FF" w:rsidP="0092006F">
      <w:pPr>
        <w:pStyle w:val="Default"/>
        <w:rPr>
          <w:color w:val="auto"/>
          <w:sz w:val="22"/>
          <w:szCs w:val="22"/>
        </w:rPr>
      </w:pPr>
      <w:r>
        <w:rPr>
          <w:noProof/>
        </w:rPr>
        <w:drawing>
          <wp:inline distT="0" distB="0" distL="0" distR="0" wp14:anchorId="4EF35E12" wp14:editId="30F793CB">
            <wp:extent cx="5876874" cy="208565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7607" cy="2103659"/>
                    </a:xfrm>
                    <a:prstGeom prst="rect">
                      <a:avLst/>
                    </a:prstGeom>
                  </pic:spPr>
                </pic:pic>
              </a:graphicData>
            </a:graphic>
          </wp:inline>
        </w:drawing>
      </w:r>
    </w:p>
    <w:p w:rsidR="000943FF" w:rsidRDefault="000943FF" w:rsidP="0092006F">
      <w:pPr>
        <w:pStyle w:val="Default"/>
        <w:rPr>
          <w:color w:val="auto"/>
          <w:sz w:val="22"/>
          <w:szCs w:val="22"/>
        </w:rPr>
      </w:pPr>
    </w:p>
    <w:p w:rsidR="000943FF" w:rsidRDefault="000943FF" w:rsidP="0092006F">
      <w:pPr>
        <w:pStyle w:val="Default"/>
        <w:rPr>
          <w:color w:val="auto"/>
          <w:sz w:val="22"/>
          <w:szCs w:val="22"/>
        </w:rPr>
      </w:pPr>
    </w:p>
    <w:p w:rsidR="000943FF" w:rsidRDefault="000943FF" w:rsidP="0092006F">
      <w:pPr>
        <w:pStyle w:val="Default"/>
        <w:rPr>
          <w:color w:val="auto"/>
          <w:sz w:val="22"/>
          <w:szCs w:val="22"/>
        </w:rPr>
      </w:pPr>
    </w:p>
    <w:p w:rsidR="000943FF" w:rsidRDefault="000943FF" w:rsidP="000943FF">
      <w:pPr>
        <w:pStyle w:val="Default"/>
        <w:rPr>
          <w:color w:val="auto"/>
        </w:rPr>
      </w:pPr>
    </w:p>
    <w:p w:rsidR="000943FF" w:rsidRDefault="000943FF" w:rsidP="000943FF">
      <w:pPr>
        <w:pStyle w:val="Default"/>
        <w:rPr>
          <w:color w:val="auto"/>
          <w:sz w:val="26"/>
          <w:szCs w:val="26"/>
        </w:rPr>
      </w:pPr>
      <w:r>
        <w:rPr>
          <w:color w:val="auto"/>
          <w:sz w:val="26"/>
          <w:szCs w:val="26"/>
        </w:rPr>
        <w:t xml:space="preserve">Överläggningspromemoria till arbetsmarknadsutskottet om övergripande ståndpunkter om arbetsmiljö på EU-nivå </w:t>
      </w:r>
    </w:p>
    <w:p w:rsidR="000943FF" w:rsidRDefault="000943FF" w:rsidP="000943FF">
      <w:pPr>
        <w:pStyle w:val="Default"/>
        <w:rPr>
          <w:color w:val="auto"/>
          <w:sz w:val="26"/>
          <w:szCs w:val="26"/>
        </w:rPr>
      </w:pPr>
    </w:p>
    <w:p w:rsidR="000943FF" w:rsidRDefault="000943FF" w:rsidP="000943FF">
      <w:pPr>
        <w:pStyle w:val="Default"/>
        <w:rPr>
          <w:rFonts w:ascii="Garamond" w:hAnsi="Garamond" w:cs="Garamond"/>
          <w:color w:val="auto"/>
          <w:sz w:val="23"/>
          <w:szCs w:val="23"/>
        </w:rPr>
      </w:pPr>
      <w:r>
        <w:rPr>
          <w:rFonts w:ascii="Garamond" w:hAnsi="Garamond" w:cs="Garamond"/>
          <w:b/>
          <w:bCs/>
          <w:color w:val="auto"/>
          <w:sz w:val="23"/>
          <w:szCs w:val="23"/>
        </w:rPr>
        <w:t xml:space="preserve">Dokument: </w:t>
      </w:r>
    </w:p>
    <w:p w:rsidR="000943FF" w:rsidRDefault="000943FF" w:rsidP="000943FF">
      <w:pPr>
        <w:pStyle w:val="Default"/>
        <w:rPr>
          <w:rFonts w:ascii="Garamond" w:hAnsi="Garamond" w:cs="Garamond"/>
          <w:color w:val="auto"/>
          <w:sz w:val="23"/>
          <w:szCs w:val="23"/>
        </w:rPr>
      </w:pPr>
      <w:r>
        <w:rPr>
          <w:rFonts w:ascii="Garamond" w:hAnsi="Garamond" w:cs="Garamond"/>
          <w:b/>
          <w:bCs/>
          <w:color w:val="auto"/>
          <w:sz w:val="23"/>
          <w:szCs w:val="23"/>
        </w:rPr>
        <w:t xml:space="preserve">Tidigare dokument: - </w:t>
      </w:r>
    </w:p>
    <w:p w:rsidR="000943FF" w:rsidRDefault="000943FF" w:rsidP="000943FF">
      <w:pPr>
        <w:pStyle w:val="Default"/>
        <w:rPr>
          <w:color w:val="auto"/>
          <w:sz w:val="23"/>
          <w:szCs w:val="23"/>
        </w:rPr>
      </w:pPr>
      <w:r>
        <w:rPr>
          <w:rFonts w:ascii="Garamond" w:hAnsi="Garamond" w:cs="Garamond"/>
          <w:b/>
          <w:bCs/>
          <w:color w:val="auto"/>
          <w:sz w:val="23"/>
          <w:szCs w:val="23"/>
        </w:rPr>
        <w:t xml:space="preserve">Tidigare behandlad vid samråd med EU-nämnden: - </w:t>
      </w:r>
    </w:p>
    <w:p w:rsidR="000943FF" w:rsidRDefault="000943FF" w:rsidP="000943FF">
      <w:pPr>
        <w:pStyle w:val="Default"/>
        <w:rPr>
          <w:rFonts w:ascii="Garamond" w:hAnsi="Garamond" w:cs="Garamond"/>
          <w:b/>
          <w:bCs/>
          <w:color w:val="auto"/>
          <w:sz w:val="23"/>
          <w:szCs w:val="23"/>
        </w:rPr>
      </w:pPr>
      <w:r>
        <w:rPr>
          <w:rFonts w:ascii="Garamond" w:hAnsi="Garamond" w:cs="Garamond"/>
          <w:b/>
          <w:bCs/>
          <w:color w:val="auto"/>
          <w:sz w:val="23"/>
          <w:szCs w:val="23"/>
        </w:rPr>
        <w:t xml:space="preserve">Tidigare behandlad vid möte med arbetsmarknadsutskottet: - </w:t>
      </w:r>
    </w:p>
    <w:p w:rsidR="000943FF" w:rsidRDefault="000943FF" w:rsidP="000943FF">
      <w:pPr>
        <w:pStyle w:val="Default"/>
        <w:rPr>
          <w:rFonts w:ascii="Garamond" w:hAnsi="Garamond" w:cs="Garamond"/>
          <w:color w:val="auto"/>
          <w:sz w:val="23"/>
          <w:szCs w:val="23"/>
        </w:rPr>
      </w:pPr>
    </w:p>
    <w:p w:rsidR="000943FF" w:rsidRDefault="000943FF" w:rsidP="000943FF">
      <w:pPr>
        <w:pStyle w:val="Default"/>
        <w:rPr>
          <w:color w:val="auto"/>
          <w:sz w:val="23"/>
          <w:szCs w:val="23"/>
        </w:rPr>
      </w:pPr>
      <w:r>
        <w:rPr>
          <w:color w:val="auto"/>
          <w:sz w:val="23"/>
          <w:szCs w:val="23"/>
        </w:rPr>
        <w:t xml:space="preserve">1. Bakgrund </w:t>
      </w: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Sedan EU-samarbetet inleddes har arbetet med att främja arbetstagares hälsa och säkerhet löpande utvecklats på EU-nivå. </w:t>
      </w:r>
    </w:p>
    <w:p w:rsidR="000943FF" w:rsidRDefault="000943FF" w:rsidP="000943FF">
      <w:pPr>
        <w:pStyle w:val="Default"/>
        <w:rPr>
          <w:color w:val="auto"/>
          <w:sz w:val="25"/>
          <w:szCs w:val="25"/>
        </w:rPr>
      </w:pPr>
    </w:p>
    <w:p w:rsidR="000943FF" w:rsidRDefault="000943FF" w:rsidP="000943FF">
      <w:pPr>
        <w:pStyle w:val="Default"/>
        <w:rPr>
          <w:color w:val="auto"/>
          <w:sz w:val="25"/>
          <w:szCs w:val="25"/>
        </w:rPr>
      </w:pPr>
      <w:r>
        <w:rPr>
          <w:rFonts w:ascii="Garamond" w:hAnsi="Garamond" w:cs="Garamond"/>
          <w:color w:val="auto"/>
          <w:sz w:val="25"/>
          <w:szCs w:val="25"/>
        </w:rPr>
        <w:t xml:space="preserve">I Europeiska unionens stadga om de grundläggande rättigheterna, artikel 31.1 framgår att varje arbetstagare ska ges rätt till hälsosamma, säkra och värdiga arbetsförhållanden. </w:t>
      </w:r>
    </w:p>
    <w:p w:rsidR="000943FF" w:rsidRDefault="000943FF" w:rsidP="000943FF">
      <w:pPr>
        <w:pStyle w:val="Default"/>
        <w:rPr>
          <w:rFonts w:ascii="Tahoma" w:hAnsi="Tahoma" w:cs="Tahoma"/>
          <w:color w:val="444444"/>
          <w:sz w:val="21"/>
          <w:szCs w:val="21"/>
        </w:rPr>
      </w:pPr>
      <w:r>
        <w:rPr>
          <w:rFonts w:ascii="Garamond" w:hAnsi="Garamond" w:cs="Garamond"/>
          <w:color w:val="auto"/>
          <w:sz w:val="25"/>
          <w:szCs w:val="25"/>
        </w:rPr>
        <w:t>I fördraget om Europeiska unionens funktionssätt (EUF-fördraget) framgår av artikel 9 att EU i sin politik och verksamhet ska beakta de krav som är förknippade med bland annat en hög hälsoskyddsnivå för människor</w:t>
      </w:r>
      <w:r>
        <w:rPr>
          <w:rFonts w:ascii="Tahoma" w:hAnsi="Tahoma" w:cs="Tahoma"/>
          <w:color w:val="444444"/>
          <w:sz w:val="21"/>
          <w:szCs w:val="21"/>
        </w:rPr>
        <w:t xml:space="preserve">. </w:t>
      </w:r>
    </w:p>
    <w:p w:rsidR="000943FF" w:rsidRDefault="000943FF" w:rsidP="000943FF">
      <w:pPr>
        <w:pStyle w:val="Default"/>
        <w:rPr>
          <w:sz w:val="21"/>
          <w:szCs w:val="21"/>
        </w:rPr>
      </w:pPr>
    </w:p>
    <w:p w:rsidR="000943FF" w:rsidRDefault="000943FF" w:rsidP="000943FF">
      <w:pPr>
        <w:pStyle w:val="Default"/>
        <w:rPr>
          <w:sz w:val="25"/>
          <w:szCs w:val="25"/>
        </w:rPr>
      </w:pPr>
      <w:r>
        <w:rPr>
          <w:rFonts w:ascii="Garamond" w:hAnsi="Garamond" w:cs="Garamond"/>
          <w:sz w:val="25"/>
          <w:szCs w:val="25"/>
        </w:rPr>
        <w:t xml:space="preserve">Vidare framgår av artikel 153 i EUF-fördraget, att unionen har befogenhet att besluta om bland annat åtgärder för förbättringar, särskilt av arbetsmiljön, för att skydda arbetstagarnas hälsa och säkerhet. På detta område kan Europaparlamentet och rådet genom direktiv anta minimikrav, som gör det möjligt för EU-länder att anta ytterligare, strängare bestämmelser. </w:t>
      </w:r>
    </w:p>
    <w:p w:rsidR="000943FF" w:rsidRDefault="000943FF" w:rsidP="000943FF">
      <w:pPr>
        <w:pStyle w:val="Default"/>
        <w:rPr>
          <w:color w:val="auto"/>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EU-lagstiftningen på arbetsmiljöområdet består av ett ramdirektiv och ett antal särdirektiv. Utöver dessa finns produktdirektiv (exempelvis maskindirektivet) och ett antal andra direktiv som har betydelse ur arbetsmiljösynpunkt. Ramdirektivet utgör grundbulten för arbetstagarnas säkerhet och hälsa i arbetet på EU-nivå och innehåller övergripande principer för arbetsmiljön som helhet. Syftet med direktivet är att initiera åtgärder för att främja förbättringar av arbetstagarnas säkerhet och hälsa i arbetet. De relaterade särdirektiven kompletterar ramdirektivets allmänna principer till bland annat vissa specifika arbetsplatser, specifika risker och utsatta grupper samt arbetsuppgifter. </w:t>
      </w: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lastRenderedPageBreak/>
        <w:t xml:space="preserve">I särdirektiven definieras hur dessa risker ska bedömas och, i vissa fall, hur gränsvärdena för exponering för vissa ämnen och medel ska bestämmas.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Kommissionens arbetsmiljöstrategi COM (2014) 332 om EU:s strategiska ram för arbetsmiljö 2014–2020 beskriver viktiga utmaningar, strategiska mål och åtgärder för att komma till rätta med problem på arbetsmiljöområdet. Kommissionen övervakar genomförandet av den strategiska ramen genom att utnyttja befintliga forum och med full medverkan av EU-institutionerna och alla relevanta intressenter.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Arbetsmiljödirektiven har nyligen utvärderats och resultatet av utvärderingen finns i kommissionens meddelande COM (2017) 12. Utvärderingen beaktade bland annat framtidens arbetsliv och dess utmaningar. Utredningen ledde till att kommissionen föreslog en uppdatering av sex direktiv (faktapromemoria 2016/17:FPM65). Vidare har tre revideringar nyligen gjorts av carcinogen-och mutagendirektivet, samtliga har förankrats i riksdagen (2015/16:FPM97, 2016/17:FPM62, 2017/18:FPM77).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Den 21 mars 2019 presenterade det rumänska ordförandeskapet i Europeiska unionens råd sitt utkast till rådsslutsatser med den fritt översatta rubriken “En arbetsmarknad i förändring; reflektioner om nya arbetsförhållanden och konsekvenser för arbetstagarnas arbetsmiljö” (se överläggning i AU den 4 april 2019). Slutsatserna väntas sättas upp på EPSCO-rådets dagordning för antagande i juni.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Förutom rådsslutsatserna, pågår diskussioner löpande på teknisk nivå om det framtida arbetsmiljöarbetet inom EU, bland annat inom Rådgivande kommittén för arbetsmiljöfrågor (Advisory Committee on Safety and Health at Work, ACSH) och Europeiska arbetsmiljöbyrån (EU-Osha). </w:t>
      </w:r>
    </w:p>
    <w:p w:rsidR="000943FF" w:rsidRDefault="000943FF" w:rsidP="000943FF">
      <w:pPr>
        <w:pStyle w:val="Default"/>
        <w:rPr>
          <w:rFonts w:ascii="Garamond" w:hAnsi="Garamond" w:cs="Garamond"/>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En fjärde revidering av carcinogen- och mutagendirektivet planeras. Kommissionen planerar även en revidering av Europaparlamentets och rådets direktiv 2006/42/EG om maskiner (maskindirektivet).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Mot bakgrund av ovan, och med anledning av att diskussionerna om inriktningen på EU-samarbetet under kommande lagstiftningsperiod 2019– 2024 påbörjats, anges nedan regeringens ståndpunkter för det fortsatta arbetsmiljöarbetet på EU-nivå. </w:t>
      </w:r>
    </w:p>
    <w:p w:rsidR="000943FF" w:rsidRDefault="000943FF" w:rsidP="000943FF">
      <w:pPr>
        <w:pStyle w:val="Default"/>
        <w:rPr>
          <w:color w:val="auto"/>
          <w:sz w:val="25"/>
          <w:szCs w:val="25"/>
        </w:rPr>
      </w:pPr>
    </w:p>
    <w:p w:rsidR="000943FF" w:rsidRDefault="000943FF" w:rsidP="000943FF">
      <w:pPr>
        <w:pStyle w:val="Default"/>
        <w:rPr>
          <w:color w:val="auto"/>
          <w:sz w:val="23"/>
          <w:szCs w:val="23"/>
        </w:rPr>
      </w:pPr>
      <w:r>
        <w:rPr>
          <w:color w:val="auto"/>
          <w:sz w:val="23"/>
          <w:szCs w:val="23"/>
        </w:rPr>
        <w:t xml:space="preserve">2. Regeringens ståndpunkt </w:t>
      </w:r>
    </w:p>
    <w:p w:rsidR="000943FF" w:rsidRDefault="000943FF" w:rsidP="000943FF">
      <w:pPr>
        <w:pStyle w:val="Default"/>
        <w:rPr>
          <w:color w:val="auto"/>
          <w:sz w:val="23"/>
          <w:szCs w:val="23"/>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Regeringens målsättning för arbetsmiljöområdet inom EU-samarbetet är en hög skyddsnivå. Medlemsstaternas rätt att gå längre än minimidirektiv ska värnas och respekteras. En viktig utgångspunkt för regeringen är också att skyddsnivån ökar på arbetsmiljöområdet.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En hög skyddsnivå för arbetsmiljö utgör även en del av genomförandet av den europeiska pelaren för sociala rättigheter (punkt 10).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Alla som arbetar har rätt till en god arbetsmiljö, oavsett arbetsgivarens storlek och formen för arbetet.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 stödjer arbetet med regelförenkling och att minska den administrativa bördan. Regelförenkling ska ske med beaktande av en hög skyddsnivå och ska inte leda till lägre skyddsnivåer för arbetstagare.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lastRenderedPageBreak/>
        <w:t xml:space="preserve">Regeringen anser att alla förslag till regeländringar måste åtföljas av väl genomförda konsekvensutredningar, där konsekvenser för företag tydligt redovisas.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 anser att det är viktigt att kunna möta arbetsmiljöutmaningarna i ett förändrat arbetsliv. Osund konkurrens, nya former för arbete, digitalisering och delningsekonomi är exempel på nya arbetsmiljöutmaningar. Ett förändrat arbetsliv kan exempelvis leda till intensifiering av arbetet, försämrad psykosocial arbetsmiljö samt att gränsen mellan arbetsliv och privatliv suddas ut.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 anser att arbetsmiljöarbetet och regelverket inom EU bör genomsyras av ett jämställdhetsperspektiv. Kvinnor och män befinner sig inom olika sektorer på arbetsmarknaden med olika villkor och arbetsmiljörisker. Det finns tydliga könsskillnader i fråga om vilka arbetsmiljörisker som kvinnor och män utsätts för och vilken slags arbetsrelaterad ohälsa de drabbas av.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 anser att en god arbetsmiljö och systematiskt arbetsmiljöarbete är en förutsättning för ett långt arbetsliv. Den demografiska utvecklingen kräver ett arbetsliv som är inkluderande i alla åldrar genom bland annat riskbedömningar hur riskfaktorer påverkar olika arbetstagare.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 anser att det mot bakgrund av den demografiska utvecklingen och i ett förändrat arbetsliv måste finnas förutsättningar för ett inkluderande arbetsliv där också de med sviktande hälsa eller funktionsnedsättningar kan vara med och bidra.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i/>
          <w:iCs/>
          <w:color w:val="auto"/>
          <w:sz w:val="25"/>
          <w:szCs w:val="25"/>
        </w:rPr>
      </w:pPr>
      <w:r>
        <w:rPr>
          <w:rFonts w:ascii="Garamond" w:hAnsi="Garamond" w:cs="Garamond"/>
          <w:color w:val="auto"/>
          <w:sz w:val="25"/>
          <w:szCs w:val="25"/>
        </w:rPr>
        <w:t>Att se över regelverket är ett sätt att möta och hantera nya arbetsmiljörisker samt säkerställa en hög skyddsnivå. När det gäller eventuella regeländringar på EU-nivå är regeringen därför positiv till en revidering av fem arbetsmiljödirektiv, som regeringen, likt Arbetsmiljöverket bedömer är i behov av en modernisering (</w:t>
      </w:r>
      <w:r>
        <w:rPr>
          <w:rFonts w:ascii="Garamond" w:hAnsi="Garamond" w:cs="Garamond"/>
          <w:i/>
          <w:iCs/>
          <w:color w:val="auto"/>
          <w:sz w:val="25"/>
          <w:szCs w:val="25"/>
        </w:rPr>
        <w:t xml:space="preserve">direktiv 90/269/EEG om manuell hantering av laster, direktiv 90/270/EEG om bildskärmar, direktiv 2009/104/EG om användning av arbetsutrustning, direktiv 92/91/EEG och 92/104 EEG om utvinningsindustrin).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Vidare anser regeringen, i enlighet med tidigare förankrad ståndpunkt i riksdagen, att det är av stor betydelse både för arbetstagarnas hälsa och för rättvis konkurrens att EU-lagstiftningen som rör carcinogen- och mutagendirektivet uppdateras i enlighet med den vetenskapliga utvecklingen på området.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 xml:space="preserve">Regeringen anser att det är viktigt med en god regelefterlevnad och effektiv marknadskontroll. Att EU:s produktregler följs är både en fråga om att säkerställa en hög skyddsnivå och att främja rättvis konkurrens. En god ordning på produktmarknaden är ett verktyg för en arbetsmiljö med enbart säkra produkter på våra arbetsplatser. </w:t>
      </w:r>
    </w:p>
    <w:p w:rsidR="000943FF" w:rsidRDefault="000943FF" w:rsidP="000943FF">
      <w:pPr>
        <w:pStyle w:val="Default"/>
        <w:rPr>
          <w:color w:val="auto"/>
          <w:sz w:val="25"/>
          <w:szCs w:val="25"/>
        </w:rPr>
      </w:pPr>
    </w:p>
    <w:p w:rsidR="000943FF" w:rsidRDefault="000943FF" w:rsidP="000943FF">
      <w:pPr>
        <w:pStyle w:val="Default"/>
        <w:rPr>
          <w:rFonts w:ascii="Garamond" w:hAnsi="Garamond" w:cs="Garamond"/>
          <w:color w:val="auto"/>
          <w:sz w:val="25"/>
          <w:szCs w:val="25"/>
        </w:rPr>
      </w:pPr>
      <w:r>
        <w:rPr>
          <w:rFonts w:ascii="Garamond" w:hAnsi="Garamond" w:cs="Garamond"/>
          <w:color w:val="auto"/>
          <w:sz w:val="25"/>
          <w:szCs w:val="25"/>
        </w:rPr>
        <w:t>En viktig utgångspunkt för regeringen är att arbetsmiljöarbetet inom EU respekterar medlemsstaternas kompetens, inklusive nationella arbetsmarknadsmodeller samt parternas autonomi.</w:t>
      </w: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tbl>
      <w:tblPr>
        <w:tblpPr w:leftFromText="141" w:rightFromText="141" w:vertAnchor="page" w:horzAnchor="margin" w:tblpXSpec="center" w:tblpY="73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1F0D2A" w:rsidRPr="002C1D5A" w:rsidTr="006A5493">
        <w:trPr>
          <w:trHeight w:val="658"/>
        </w:trPr>
        <w:tc>
          <w:tcPr>
            <w:tcW w:w="4021" w:type="dxa"/>
            <w:tcBorders>
              <w:top w:val="nil"/>
              <w:left w:val="nil"/>
              <w:bottom w:val="nil"/>
              <w:right w:val="nil"/>
            </w:tcBorders>
          </w:tcPr>
          <w:p w:rsidR="001F0D2A" w:rsidRPr="002C1D5A" w:rsidRDefault="001F0D2A" w:rsidP="006A5493">
            <w:pPr>
              <w:tabs>
                <w:tab w:val="left" w:pos="1701"/>
              </w:tabs>
              <w:rPr>
                <w:sz w:val="22"/>
                <w:szCs w:val="24"/>
              </w:rPr>
            </w:pPr>
            <w:r w:rsidRPr="002C1D5A">
              <w:rPr>
                <w:sz w:val="22"/>
                <w:szCs w:val="24"/>
              </w:rPr>
              <w:t>ARBETSMARKNADSUTSKOTTET</w:t>
            </w:r>
          </w:p>
          <w:p w:rsidR="001F0D2A" w:rsidRPr="002C1D5A" w:rsidRDefault="001F0D2A" w:rsidP="006A5493">
            <w:pPr>
              <w:tabs>
                <w:tab w:val="left" w:pos="1701"/>
              </w:tabs>
              <w:rPr>
                <w:sz w:val="22"/>
                <w:szCs w:val="24"/>
              </w:rPr>
            </w:pPr>
          </w:p>
        </w:tc>
        <w:tc>
          <w:tcPr>
            <w:tcW w:w="4021" w:type="dxa"/>
            <w:tcBorders>
              <w:top w:val="nil"/>
              <w:left w:val="nil"/>
              <w:bottom w:val="nil"/>
              <w:right w:val="nil"/>
            </w:tcBorders>
          </w:tcPr>
          <w:p w:rsidR="001F0D2A" w:rsidRPr="002C1D5A" w:rsidRDefault="001F0D2A" w:rsidP="006A5493">
            <w:pPr>
              <w:tabs>
                <w:tab w:val="left" w:pos="1701"/>
              </w:tabs>
              <w:jc w:val="center"/>
              <w:rPr>
                <w:b/>
                <w:sz w:val="22"/>
                <w:szCs w:val="24"/>
              </w:rPr>
            </w:pPr>
          </w:p>
        </w:tc>
        <w:tc>
          <w:tcPr>
            <w:tcW w:w="1685" w:type="dxa"/>
            <w:tcBorders>
              <w:top w:val="nil"/>
              <w:left w:val="nil"/>
              <w:bottom w:val="nil"/>
              <w:right w:val="nil"/>
            </w:tcBorders>
          </w:tcPr>
          <w:p w:rsidR="001F0D2A" w:rsidRPr="002C1D5A" w:rsidRDefault="001F0D2A" w:rsidP="006A5493">
            <w:pPr>
              <w:tabs>
                <w:tab w:val="left" w:pos="1701"/>
              </w:tabs>
              <w:rPr>
                <w:b/>
                <w:sz w:val="22"/>
                <w:szCs w:val="24"/>
              </w:rPr>
            </w:pPr>
            <w:r>
              <w:rPr>
                <w:b/>
                <w:sz w:val="22"/>
                <w:szCs w:val="24"/>
              </w:rPr>
              <w:t>Bilaga 3</w:t>
            </w:r>
          </w:p>
          <w:p w:rsidR="001F0D2A" w:rsidRPr="002C1D5A" w:rsidRDefault="001F0D2A" w:rsidP="006A5493">
            <w:pPr>
              <w:tabs>
                <w:tab w:val="left" w:pos="1701"/>
              </w:tabs>
              <w:rPr>
                <w:sz w:val="22"/>
                <w:szCs w:val="24"/>
              </w:rPr>
            </w:pPr>
            <w:r w:rsidRPr="002C1D5A">
              <w:rPr>
                <w:sz w:val="22"/>
                <w:szCs w:val="24"/>
              </w:rPr>
              <w:t>till protokoll</w:t>
            </w:r>
          </w:p>
          <w:p w:rsidR="001F0D2A" w:rsidRPr="002C1D5A" w:rsidRDefault="001F0D2A" w:rsidP="006A5493">
            <w:pPr>
              <w:tabs>
                <w:tab w:val="left" w:pos="1701"/>
              </w:tabs>
              <w:rPr>
                <w:sz w:val="22"/>
                <w:szCs w:val="24"/>
              </w:rPr>
            </w:pPr>
            <w:r w:rsidRPr="002C1D5A">
              <w:rPr>
                <w:sz w:val="22"/>
                <w:szCs w:val="24"/>
              </w:rPr>
              <w:t>2018/19:</w:t>
            </w:r>
            <w:r>
              <w:rPr>
                <w:sz w:val="22"/>
                <w:szCs w:val="24"/>
              </w:rPr>
              <w:t>31</w:t>
            </w:r>
          </w:p>
        </w:tc>
      </w:tr>
    </w:tbl>
    <w:p w:rsidR="001F0D2A" w:rsidRDefault="001F0D2A" w:rsidP="000943FF">
      <w:pPr>
        <w:pStyle w:val="Default"/>
        <w:rPr>
          <w:rFonts w:ascii="Garamond" w:hAnsi="Garamond" w:cs="Garamond"/>
          <w:color w:val="auto"/>
          <w:sz w:val="25"/>
          <w:szCs w:val="25"/>
        </w:rPr>
      </w:pPr>
    </w:p>
    <w:p w:rsidR="001F0D2A" w:rsidRDefault="001F0D2A" w:rsidP="000943FF">
      <w:pPr>
        <w:pStyle w:val="Default"/>
        <w:rPr>
          <w:rFonts w:ascii="Garamond" w:hAnsi="Garamond" w:cs="Garamond"/>
          <w:color w:val="auto"/>
          <w:sz w:val="25"/>
          <w:szCs w:val="25"/>
        </w:rPr>
      </w:pPr>
    </w:p>
    <w:tbl>
      <w:tblPr>
        <w:tblW w:w="9214" w:type="dxa"/>
        <w:tblLayout w:type="fixed"/>
        <w:tblCellMar>
          <w:left w:w="0" w:type="dxa"/>
          <w:right w:w="0" w:type="dxa"/>
        </w:tblCellMar>
        <w:tblLook w:val="01E0" w:firstRow="1" w:lastRow="1" w:firstColumn="1" w:lastColumn="1" w:noHBand="0" w:noVBand="0"/>
      </w:tblPr>
      <w:tblGrid>
        <w:gridCol w:w="7230"/>
        <w:gridCol w:w="1984"/>
      </w:tblGrid>
      <w:tr w:rsidR="00117CCF" w:rsidRPr="009E42C6" w:rsidTr="001C6BF7">
        <w:trPr>
          <w:trHeight w:val="796"/>
        </w:trPr>
        <w:tc>
          <w:tcPr>
            <w:tcW w:w="7230" w:type="dxa"/>
            <w:vAlign w:val="bottom"/>
          </w:tcPr>
          <w:p w:rsidR="00117CCF" w:rsidRPr="009E42C6" w:rsidRDefault="00117CCF" w:rsidP="00973F3E">
            <w:pPr>
              <w:pStyle w:val="Rubrik3"/>
            </w:pPr>
            <w:bookmarkStart w:id="1" w:name="Rubrik" w:colFirst="0" w:colLast="0"/>
            <w:r>
              <w:t>Övergripande ståndpunkter om arbetsmiljö på EU-nivå</w:t>
            </w:r>
          </w:p>
        </w:tc>
        <w:tc>
          <w:tcPr>
            <w:tcW w:w="1984" w:type="dxa"/>
          </w:tcPr>
          <w:p w:rsidR="00117CCF" w:rsidRPr="009E42C6" w:rsidRDefault="00117CCF" w:rsidP="001C6BF7"/>
        </w:tc>
      </w:tr>
    </w:tbl>
    <w:p w:rsidR="00117CCF" w:rsidRDefault="00117CCF" w:rsidP="00117CCF">
      <w:bookmarkStart w:id="2" w:name="Start"/>
      <w:bookmarkEnd w:id="1"/>
      <w:bookmarkEnd w:id="2"/>
    </w:p>
    <w:p w:rsidR="00973F3E" w:rsidRDefault="00973F3E" w:rsidP="00117CCF">
      <w:r>
        <w:t xml:space="preserve">Sverigedemokraterna har följande ståndpunkt. </w:t>
      </w:r>
    </w:p>
    <w:p w:rsidR="00973F3E" w:rsidRDefault="00973F3E" w:rsidP="00117CCF"/>
    <w:p w:rsidR="00117CCF" w:rsidRDefault="00117CCF" w:rsidP="00117CCF">
      <w:r>
        <w:t xml:space="preserve">Sverigedemokraterna var negativa till införandet av den sociala pelaren och vi är även nu kritiska till att den genomförs och sätter avtryck på flera olika områden. Vi anser inte att sociala frågor ska hanteras på EU-nivå. </w:t>
      </w:r>
    </w:p>
    <w:p w:rsidR="00117CCF" w:rsidRDefault="00117CCF" w:rsidP="00117CCF">
      <w:r>
        <w:t>Vi ser inte heller något</w:t>
      </w:r>
      <w:r w:rsidRPr="00756A06">
        <w:t xml:space="preserve"> behov av lagstiftning på EU-nivå inom</w:t>
      </w:r>
      <w:r>
        <w:t xml:space="preserve"> det sociala</w:t>
      </w:r>
      <w:r w:rsidRPr="00756A06">
        <w:t xml:space="preserve"> området</w:t>
      </w:r>
      <w:r>
        <w:t>, där</w:t>
      </w:r>
      <w:r w:rsidRPr="00756A06">
        <w:t xml:space="preserve"> arbetsmiljö</w:t>
      </w:r>
      <w:r>
        <w:t>frågorna ingår,</w:t>
      </w:r>
      <w:r w:rsidRPr="00756A06">
        <w:t xml:space="preserve"> utan vi anser istället att arbetsmiljöfrågorna faller inom </w:t>
      </w:r>
      <w:r>
        <w:t xml:space="preserve">ramen för </w:t>
      </w:r>
      <w:r w:rsidRPr="00756A06">
        <w:t>den nationella kompetensen</w:t>
      </w:r>
      <w:r>
        <w:t>.</w:t>
      </w:r>
    </w:p>
    <w:p w:rsidR="00117CCF" w:rsidRPr="00756A06" w:rsidRDefault="00117CCF" w:rsidP="00117CCF"/>
    <w:p w:rsidR="00117CCF" w:rsidRDefault="00117CCF" w:rsidP="00117CCF">
      <w:r>
        <w:t xml:space="preserve">Som ett led i att vi ställer oss kraftigt negativa till att sociala frågor hanteras på EU-nivå vill vi inte se hänvisningar till den sociala pelaren när det talas om EU:s kommande arbetsmiljöarbete och eftersom regeringen motiverar arbetsmiljöarbetet med hänvisning till den sociala pelaren kan vi inte ställa oss bakom regeringens ståndpunkt. </w:t>
      </w:r>
    </w:p>
    <w:p w:rsidR="00117CCF" w:rsidRDefault="00117CCF" w:rsidP="00117CCF"/>
    <w:p w:rsidR="001F0D2A" w:rsidRDefault="001F0D2A" w:rsidP="000943FF">
      <w:pPr>
        <w:pStyle w:val="Default"/>
        <w:rPr>
          <w:color w:val="auto"/>
          <w:sz w:val="22"/>
          <w:szCs w:val="22"/>
        </w:rPr>
      </w:pPr>
    </w:p>
    <w:sectPr w:rsidR="001F0D2A" w:rsidSect="00824476">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9BB057C"/>
    <w:multiLevelType w:val="hybridMultilevel"/>
    <w:tmpl w:val="1C52C6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BEA2FD3"/>
    <w:multiLevelType w:val="hybridMultilevel"/>
    <w:tmpl w:val="4C2216E4"/>
    <w:lvl w:ilvl="0" w:tplc="6E02DD7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0E6182A"/>
    <w:multiLevelType w:val="hybridMultilevel"/>
    <w:tmpl w:val="538480EA"/>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5"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6"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8816AB"/>
    <w:multiLevelType w:val="hybridMultilevel"/>
    <w:tmpl w:val="6574899A"/>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9" w15:restartNumberingAfterBreak="0">
    <w:nsid w:val="7B9C74DE"/>
    <w:multiLevelType w:val="hybridMultilevel"/>
    <w:tmpl w:val="09E04B5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17"/>
  </w:num>
  <w:num w:numId="5">
    <w:abstractNumId w:val="7"/>
  </w:num>
  <w:num w:numId="6">
    <w:abstractNumId w:val="0"/>
  </w:num>
  <w:num w:numId="7">
    <w:abstractNumId w:val="12"/>
  </w:num>
  <w:num w:numId="8">
    <w:abstractNumId w:val="2"/>
  </w:num>
  <w:num w:numId="9">
    <w:abstractNumId w:val="16"/>
  </w:num>
  <w:num w:numId="10">
    <w:abstractNumId w:val="15"/>
  </w:num>
  <w:num w:numId="11">
    <w:abstractNumId w:val="6"/>
  </w:num>
  <w:num w:numId="12">
    <w:abstractNumId w:val="14"/>
  </w:num>
  <w:num w:numId="13">
    <w:abstractNumId w:val="5"/>
  </w:num>
  <w:num w:numId="14">
    <w:abstractNumId w:val="10"/>
  </w:num>
  <w:num w:numId="15">
    <w:abstractNumId w:val="13"/>
  </w:num>
  <w:num w:numId="16">
    <w:abstractNumId w:val="18"/>
  </w:num>
  <w:num w:numId="17">
    <w:abstractNumId w:val="4"/>
  </w:num>
  <w:num w:numId="18">
    <w:abstractNumId w:val="8"/>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2854"/>
    <w:rsid w:val="00002BE8"/>
    <w:rsid w:val="00005A5A"/>
    <w:rsid w:val="00007AEB"/>
    <w:rsid w:val="000164AB"/>
    <w:rsid w:val="000324C9"/>
    <w:rsid w:val="0003470E"/>
    <w:rsid w:val="00034FED"/>
    <w:rsid w:val="000414BD"/>
    <w:rsid w:val="0004398B"/>
    <w:rsid w:val="00050204"/>
    <w:rsid w:val="00054895"/>
    <w:rsid w:val="00080B3E"/>
    <w:rsid w:val="000825AC"/>
    <w:rsid w:val="00083803"/>
    <w:rsid w:val="00084379"/>
    <w:rsid w:val="00084ED0"/>
    <w:rsid w:val="0008688F"/>
    <w:rsid w:val="00087084"/>
    <w:rsid w:val="0009345E"/>
    <w:rsid w:val="000943FF"/>
    <w:rsid w:val="00097CD2"/>
    <w:rsid w:val="000A1E3F"/>
    <w:rsid w:val="000A4FFF"/>
    <w:rsid w:val="000C350A"/>
    <w:rsid w:val="000D3BD9"/>
    <w:rsid w:val="000D4BF1"/>
    <w:rsid w:val="000D6B50"/>
    <w:rsid w:val="000E5272"/>
    <w:rsid w:val="000F2F02"/>
    <w:rsid w:val="000F3CC4"/>
    <w:rsid w:val="000F519B"/>
    <w:rsid w:val="00111B72"/>
    <w:rsid w:val="00116A58"/>
    <w:rsid w:val="00117A67"/>
    <w:rsid w:val="00117CCF"/>
    <w:rsid w:val="00135434"/>
    <w:rsid w:val="00141E48"/>
    <w:rsid w:val="0014396D"/>
    <w:rsid w:val="00143F54"/>
    <w:rsid w:val="0014663D"/>
    <w:rsid w:val="00146851"/>
    <w:rsid w:val="00154ADF"/>
    <w:rsid w:val="00157202"/>
    <w:rsid w:val="00157237"/>
    <w:rsid w:val="00161891"/>
    <w:rsid w:val="00161AA6"/>
    <w:rsid w:val="00162698"/>
    <w:rsid w:val="0016340B"/>
    <w:rsid w:val="001642DF"/>
    <w:rsid w:val="001647ED"/>
    <w:rsid w:val="00165C24"/>
    <w:rsid w:val="00165C2D"/>
    <w:rsid w:val="00167ED0"/>
    <w:rsid w:val="00174065"/>
    <w:rsid w:val="0018074A"/>
    <w:rsid w:val="00184818"/>
    <w:rsid w:val="001950FA"/>
    <w:rsid w:val="00195F3F"/>
    <w:rsid w:val="00197891"/>
    <w:rsid w:val="001A555A"/>
    <w:rsid w:val="001B1894"/>
    <w:rsid w:val="001B44B9"/>
    <w:rsid w:val="001B58BF"/>
    <w:rsid w:val="001C18F8"/>
    <w:rsid w:val="001C44BD"/>
    <w:rsid w:val="001C7B5C"/>
    <w:rsid w:val="001D471D"/>
    <w:rsid w:val="001D4801"/>
    <w:rsid w:val="001E2BE2"/>
    <w:rsid w:val="001E31A9"/>
    <w:rsid w:val="001E3709"/>
    <w:rsid w:val="001E7F77"/>
    <w:rsid w:val="001F0534"/>
    <w:rsid w:val="001F0D2A"/>
    <w:rsid w:val="001F3F40"/>
    <w:rsid w:val="001F6890"/>
    <w:rsid w:val="00210D1E"/>
    <w:rsid w:val="00211BB1"/>
    <w:rsid w:val="00214292"/>
    <w:rsid w:val="00216AF9"/>
    <w:rsid w:val="002174A8"/>
    <w:rsid w:val="002176B0"/>
    <w:rsid w:val="00221F23"/>
    <w:rsid w:val="002272D5"/>
    <w:rsid w:val="00231236"/>
    <w:rsid w:val="00232527"/>
    <w:rsid w:val="0023450B"/>
    <w:rsid w:val="0023760B"/>
    <w:rsid w:val="002544E0"/>
    <w:rsid w:val="00257D83"/>
    <w:rsid w:val="002614E2"/>
    <w:rsid w:val="002624FF"/>
    <w:rsid w:val="00271E45"/>
    <w:rsid w:val="00275EC6"/>
    <w:rsid w:val="002815F8"/>
    <w:rsid w:val="00293233"/>
    <w:rsid w:val="00296D10"/>
    <w:rsid w:val="002A1239"/>
    <w:rsid w:val="002A43CC"/>
    <w:rsid w:val="002A7F4C"/>
    <w:rsid w:val="002B06BF"/>
    <w:rsid w:val="002B0F3B"/>
    <w:rsid w:val="002B603D"/>
    <w:rsid w:val="002C1D5A"/>
    <w:rsid w:val="002C26A0"/>
    <w:rsid w:val="002C328D"/>
    <w:rsid w:val="002C4070"/>
    <w:rsid w:val="002D2AB5"/>
    <w:rsid w:val="002E0DC5"/>
    <w:rsid w:val="002E2A62"/>
    <w:rsid w:val="002E63AB"/>
    <w:rsid w:val="002E6594"/>
    <w:rsid w:val="002F284C"/>
    <w:rsid w:val="00301201"/>
    <w:rsid w:val="00304D09"/>
    <w:rsid w:val="003060B7"/>
    <w:rsid w:val="00307127"/>
    <w:rsid w:val="00317D74"/>
    <w:rsid w:val="00324549"/>
    <w:rsid w:val="003322D1"/>
    <w:rsid w:val="00332427"/>
    <w:rsid w:val="00334FAA"/>
    <w:rsid w:val="0034014A"/>
    <w:rsid w:val="00342BF8"/>
    <w:rsid w:val="0034647E"/>
    <w:rsid w:val="003523B2"/>
    <w:rsid w:val="00352FA4"/>
    <w:rsid w:val="003535BE"/>
    <w:rsid w:val="00360479"/>
    <w:rsid w:val="00360550"/>
    <w:rsid w:val="0036756B"/>
    <w:rsid w:val="0038045E"/>
    <w:rsid w:val="00384993"/>
    <w:rsid w:val="00385B3E"/>
    <w:rsid w:val="0038603B"/>
    <w:rsid w:val="00391AD3"/>
    <w:rsid w:val="00391E84"/>
    <w:rsid w:val="00392C31"/>
    <w:rsid w:val="003952A4"/>
    <w:rsid w:val="0039591D"/>
    <w:rsid w:val="0039702A"/>
    <w:rsid w:val="003A3164"/>
    <w:rsid w:val="003A48EB"/>
    <w:rsid w:val="003A6EBA"/>
    <w:rsid w:val="003D37BE"/>
    <w:rsid w:val="003D6C1F"/>
    <w:rsid w:val="003E0BA1"/>
    <w:rsid w:val="003E312C"/>
    <w:rsid w:val="003F1385"/>
    <w:rsid w:val="003F562E"/>
    <w:rsid w:val="003F73B4"/>
    <w:rsid w:val="004025F4"/>
    <w:rsid w:val="00407054"/>
    <w:rsid w:val="00411754"/>
    <w:rsid w:val="004119D4"/>
    <w:rsid w:val="00413A65"/>
    <w:rsid w:val="004151DC"/>
    <w:rsid w:val="0041580F"/>
    <w:rsid w:val="00432AF4"/>
    <w:rsid w:val="00432BE0"/>
    <w:rsid w:val="00433896"/>
    <w:rsid w:val="004366D6"/>
    <w:rsid w:val="00442BB4"/>
    <w:rsid w:val="00444C6C"/>
    <w:rsid w:val="0046730B"/>
    <w:rsid w:val="00484445"/>
    <w:rsid w:val="00490261"/>
    <w:rsid w:val="00493F44"/>
    <w:rsid w:val="00495DD9"/>
    <w:rsid w:val="004A3CAF"/>
    <w:rsid w:val="004B2491"/>
    <w:rsid w:val="004B7C51"/>
    <w:rsid w:val="004C15E5"/>
    <w:rsid w:val="004C2137"/>
    <w:rsid w:val="004C7E1C"/>
    <w:rsid w:val="004D1831"/>
    <w:rsid w:val="004D6280"/>
    <w:rsid w:val="004E165E"/>
    <w:rsid w:val="004E35CE"/>
    <w:rsid w:val="004E393D"/>
    <w:rsid w:val="004F1B55"/>
    <w:rsid w:val="004F3AFB"/>
    <w:rsid w:val="004F67AF"/>
    <w:rsid w:val="004F680C"/>
    <w:rsid w:val="0050090A"/>
    <w:rsid w:val="00501AA2"/>
    <w:rsid w:val="00502416"/>
    <w:rsid w:val="005070F5"/>
    <w:rsid w:val="00510929"/>
    <w:rsid w:val="005224ED"/>
    <w:rsid w:val="00524F59"/>
    <w:rsid w:val="00525ACD"/>
    <w:rsid w:val="00525CCA"/>
    <w:rsid w:val="00527F3F"/>
    <w:rsid w:val="00535EB1"/>
    <w:rsid w:val="005430D9"/>
    <w:rsid w:val="0055245E"/>
    <w:rsid w:val="00555FAC"/>
    <w:rsid w:val="00556EF2"/>
    <w:rsid w:val="005608F0"/>
    <w:rsid w:val="00565A41"/>
    <w:rsid w:val="0057657C"/>
    <w:rsid w:val="00577C98"/>
    <w:rsid w:val="00585C12"/>
    <w:rsid w:val="00592B73"/>
    <w:rsid w:val="00593566"/>
    <w:rsid w:val="00596B4C"/>
    <w:rsid w:val="005A1CFD"/>
    <w:rsid w:val="005B6E89"/>
    <w:rsid w:val="005B7111"/>
    <w:rsid w:val="005C1541"/>
    <w:rsid w:val="005D2EEE"/>
    <w:rsid w:val="005D5ACC"/>
    <w:rsid w:val="005E28B9"/>
    <w:rsid w:val="005E439C"/>
    <w:rsid w:val="005F30A2"/>
    <w:rsid w:val="0060239F"/>
    <w:rsid w:val="00603658"/>
    <w:rsid w:val="00603BE3"/>
    <w:rsid w:val="00613753"/>
    <w:rsid w:val="00616999"/>
    <w:rsid w:val="00617CC6"/>
    <w:rsid w:val="00631911"/>
    <w:rsid w:val="00651BC4"/>
    <w:rsid w:val="00653277"/>
    <w:rsid w:val="0065346D"/>
    <w:rsid w:val="00660145"/>
    <w:rsid w:val="006634C3"/>
    <w:rsid w:val="006778E3"/>
    <w:rsid w:val="00683664"/>
    <w:rsid w:val="0068409F"/>
    <w:rsid w:val="00693609"/>
    <w:rsid w:val="006B2F23"/>
    <w:rsid w:val="006B41F2"/>
    <w:rsid w:val="006B61B2"/>
    <w:rsid w:val="006B7B0C"/>
    <w:rsid w:val="006C033F"/>
    <w:rsid w:val="006C21FA"/>
    <w:rsid w:val="006C6933"/>
    <w:rsid w:val="006D2778"/>
    <w:rsid w:val="006D3126"/>
    <w:rsid w:val="006D6E13"/>
    <w:rsid w:val="006D6F84"/>
    <w:rsid w:val="006F6C44"/>
    <w:rsid w:val="006F6E15"/>
    <w:rsid w:val="006F7324"/>
    <w:rsid w:val="00706006"/>
    <w:rsid w:val="00723D66"/>
    <w:rsid w:val="0072773A"/>
    <w:rsid w:val="007302C8"/>
    <w:rsid w:val="007362A0"/>
    <w:rsid w:val="0074129F"/>
    <w:rsid w:val="00750FF0"/>
    <w:rsid w:val="00752326"/>
    <w:rsid w:val="007531F4"/>
    <w:rsid w:val="0075485F"/>
    <w:rsid w:val="00767BDA"/>
    <w:rsid w:val="00777EC7"/>
    <w:rsid w:val="00781489"/>
    <w:rsid w:val="00783569"/>
    <w:rsid w:val="00783886"/>
    <w:rsid w:val="00791E1F"/>
    <w:rsid w:val="0079266A"/>
    <w:rsid w:val="007943AE"/>
    <w:rsid w:val="007963FB"/>
    <w:rsid w:val="00797C6D"/>
    <w:rsid w:val="007B0D05"/>
    <w:rsid w:val="007C537A"/>
    <w:rsid w:val="007C6D4E"/>
    <w:rsid w:val="007F631C"/>
    <w:rsid w:val="00803D0A"/>
    <w:rsid w:val="00812A24"/>
    <w:rsid w:val="00814276"/>
    <w:rsid w:val="00824476"/>
    <w:rsid w:val="00830E1B"/>
    <w:rsid w:val="00834B38"/>
    <w:rsid w:val="00837EBD"/>
    <w:rsid w:val="00846AE0"/>
    <w:rsid w:val="00847362"/>
    <w:rsid w:val="008535AE"/>
    <w:rsid w:val="008557FA"/>
    <w:rsid w:val="00857D25"/>
    <w:rsid w:val="008754E3"/>
    <w:rsid w:val="00883859"/>
    <w:rsid w:val="00884DF2"/>
    <w:rsid w:val="008922C3"/>
    <w:rsid w:val="00894528"/>
    <w:rsid w:val="008A00F1"/>
    <w:rsid w:val="008A43F6"/>
    <w:rsid w:val="008C1009"/>
    <w:rsid w:val="008C54C8"/>
    <w:rsid w:val="008D54DF"/>
    <w:rsid w:val="008E241D"/>
    <w:rsid w:val="008E5D06"/>
    <w:rsid w:val="008F4D68"/>
    <w:rsid w:val="00900E3E"/>
    <w:rsid w:val="00902DF4"/>
    <w:rsid w:val="00903101"/>
    <w:rsid w:val="00906C2D"/>
    <w:rsid w:val="009129A3"/>
    <w:rsid w:val="00917DB9"/>
    <w:rsid w:val="0092006F"/>
    <w:rsid w:val="009315A1"/>
    <w:rsid w:val="00932C3B"/>
    <w:rsid w:val="0093326E"/>
    <w:rsid w:val="009361DA"/>
    <w:rsid w:val="009361F0"/>
    <w:rsid w:val="00940FBF"/>
    <w:rsid w:val="00944806"/>
    <w:rsid w:val="00946978"/>
    <w:rsid w:val="00950C33"/>
    <w:rsid w:val="00952407"/>
    <w:rsid w:val="00954F5C"/>
    <w:rsid w:val="009568CC"/>
    <w:rsid w:val="0096348C"/>
    <w:rsid w:val="00963B68"/>
    <w:rsid w:val="00963D87"/>
    <w:rsid w:val="009653C2"/>
    <w:rsid w:val="00965ED3"/>
    <w:rsid w:val="009664A2"/>
    <w:rsid w:val="009705DF"/>
    <w:rsid w:val="00970996"/>
    <w:rsid w:val="00973D8B"/>
    <w:rsid w:val="00973F3E"/>
    <w:rsid w:val="009922A8"/>
    <w:rsid w:val="00993B3B"/>
    <w:rsid w:val="009A1D52"/>
    <w:rsid w:val="009A44AA"/>
    <w:rsid w:val="009A53F8"/>
    <w:rsid w:val="009A649B"/>
    <w:rsid w:val="009A68FE"/>
    <w:rsid w:val="009B0A01"/>
    <w:rsid w:val="009C2239"/>
    <w:rsid w:val="009C386A"/>
    <w:rsid w:val="009D0932"/>
    <w:rsid w:val="009D4996"/>
    <w:rsid w:val="009D4B47"/>
    <w:rsid w:val="009E6853"/>
    <w:rsid w:val="009F4D1F"/>
    <w:rsid w:val="00A12700"/>
    <w:rsid w:val="00A25026"/>
    <w:rsid w:val="00A401A5"/>
    <w:rsid w:val="00A443C2"/>
    <w:rsid w:val="00A57981"/>
    <w:rsid w:val="00A61BE3"/>
    <w:rsid w:val="00A71755"/>
    <w:rsid w:val="00A744C3"/>
    <w:rsid w:val="00A765C3"/>
    <w:rsid w:val="00A83F25"/>
    <w:rsid w:val="00A8414C"/>
    <w:rsid w:val="00A901E0"/>
    <w:rsid w:val="00A94D34"/>
    <w:rsid w:val="00A979FF"/>
    <w:rsid w:val="00AA0B3B"/>
    <w:rsid w:val="00AB1B58"/>
    <w:rsid w:val="00AB2850"/>
    <w:rsid w:val="00AB2948"/>
    <w:rsid w:val="00AB3DEB"/>
    <w:rsid w:val="00AC447D"/>
    <w:rsid w:val="00AC5470"/>
    <w:rsid w:val="00AE16B2"/>
    <w:rsid w:val="00AF2D47"/>
    <w:rsid w:val="00AF5CDC"/>
    <w:rsid w:val="00B114D3"/>
    <w:rsid w:val="00B12682"/>
    <w:rsid w:val="00B149DE"/>
    <w:rsid w:val="00B166E5"/>
    <w:rsid w:val="00B17393"/>
    <w:rsid w:val="00B23ED5"/>
    <w:rsid w:val="00B33EE8"/>
    <w:rsid w:val="00B450EB"/>
    <w:rsid w:val="00B50305"/>
    <w:rsid w:val="00B56C13"/>
    <w:rsid w:val="00B655DA"/>
    <w:rsid w:val="00B65985"/>
    <w:rsid w:val="00B673D5"/>
    <w:rsid w:val="00B772BD"/>
    <w:rsid w:val="00B824FF"/>
    <w:rsid w:val="00B87B02"/>
    <w:rsid w:val="00B90C9B"/>
    <w:rsid w:val="00B9203B"/>
    <w:rsid w:val="00B96241"/>
    <w:rsid w:val="00BA2ECB"/>
    <w:rsid w:val="00BA36BA"/>
    <w:rsid w:val="00BA69D4"/>
    <w:rsid w:val="00BB0FC6"/>
    <w:rsid w:val="00BC1D31"/>
    <w:rsid w:val="00BC2118"/>
    <w:rsid w:val="00BD402E"/>
    <w:rsid w:val="00BD45FA"/>
    <w:rsid w:val="00BE7ADB"/>
    <w:rsid w:val="00BF3EB9"/>
    <w:rsid w:val="00BF763C"/>
    <w:rsid w:val="00C0117D"/>
    <w:rsid w:val="00C01A21"/>
    <w:rsid w:val="00C044F3"/>
    <w:rsid w:val="00C04577"/>
    <w:rsid w:val="00C07173"/>
    <w:rsid w:val="00C10D8A"/>
    <w:rsid w:val="00C139C6"/>
    <w:rsid w:val="00C14B33"/>
    <w:rsid w:val="00C20B77"/>
    <w:rsid w:val="00C355DE"/>
    <w:rsid w:val="00C443DF"/>
    <w:rsid w:val="00C44D30"/>
    <w:rsid w:val="00C457C3"/>
    <w:rsid w:val="00C458BC"/>
    <w:rsid w:val="00C53DF3"/>
    <w:rsid w:val="00C56F17"/>
    <w:rsid w:val="00C57BAF"/>
    <w:rsid w:val="00C60A72"/>
    <w:rsid w:val="00C62174"/>
    <w:rsid w:val="00C62E2D"/>
    <w:rsid w:val="00C6360E"/>
    <w:rsid w:val="00C66CD1"/>
    <w:rsid w:val="00C77D8D"/>
    <w:rsid w:val="00C916A3"/>
    <w:rsid w:val="00C93236"/>
    <w:rsid w:val="00C93B76"/>
    <w:rsid w:val="00C95CEA"/>
    <w:rsid w:val="00C97A0D"/>
    <w:rsid w:val="00CA40FD"/>
    <w:rsid w:val="00CA724E"/>
    <w:rsid w:val="00CB0715"/>
    <w:rsid w:val="00CB2067"/>
    <w:rsid w:val="00CB393D"/>
    <w:rsid w:val="00CB3CD1"/>
    <w:rsid w:val="00CB55B3"/>
    <w:rsid w:val="00CC0C69"/>
    <w:rsid w:val="00CC1512"/>
    <w:rsid w:val="00CC3517"/>
    <w:rsid w:val="00CC4495"/>
    <w:rsid w:val="00CD6A84"/>
    <w:rsid w:val="00CD7D8A"/>
    <w:rsid w:val="00CE3428"/>
    <w:rsid w:val="00CE3E8D"/>
    <w:rsid w:val="00CF0840"/>
    <w:rsid w:val="00CF2883"/>
    <w:rsid w:val="00D0479B"/>
    <w:rsid w:val="00D06851"/>
    <w:rsid w:val="00D109AF"/>
    <w:rsid w:val="00D15E0A"/>
    <w:rsid w:val="00D16934"/>
    <w:rsid w:val="00D24C58"/>
    <w:rsid w:val="00D25C13"/>
    <w:rsid w:val="00D31F83"/>
    <w:rsid w:val="00D406E3"/>
    <w:rsid w:val="00D4374F"/>
    <w:rsid w:val="00D44C61"/>
    <w:rsid w:val="00D45CC4"/>
    <w:rsid w:val="00D47178"/>
    <w:rsid w:val="00D55BC8"/>
    <w:rsid w:val="00D57472"/>
    <w:rsid w:val="00D613D0"/>
    <w:rsid w:val="00D67A6E"/>
    <w:rsid w:val="00D70F17"/>
    <w:rsid w:val="00D7731F"/>
    <w:rsid w:val="00D92FB0"/>
    <w:rsid w:val="00D95A03"/>
    <w:rsid w:val="00DA42EA"/>
    <w:rsid w:val="00DA5D9C"/>
    <w:rsid w:val="00DB37FA"/>
    <w:rsid w:val="00DB3C86"/>
    <w:rsid w:val="00DB5CDF"/>
    <w:rsid w:val="00DB78EC"/>
    <w:rsid w:val="00DC300D"/>
    <w:rsid w:val="00DC321A"/>
    <w:rsid w:val="00DC3425"/>
    <w:rsid w:val="00DD6142"/>
    <w:rsid w:val="00DE3041"/>
    <w:rsid w:val="00DE341E"/>
    <w:rsid w:val="00DE4724"/>
    <w:rsid w:val="00DE58A2"/>
    <w:rsid w:val="00DF0EF9"/>
    <w:rsid w:val="00DF404D"/>
    <w:rsid w:val="00DF41F4"/>
    <w:rsid w:val="00E00DB7"/>
    <w:rsid w:val="00E033C8"/>
    <w:rsid w:val="00E1262D"/>
    <w:rsid w:val="00E14F23"/>
    <w:rsid w:val="00E26AD7"/>
    <w:rsid w:val="00E2709B"/>
    <w:rsid w:val="00E3060A"/>
    <w:rsid w:val="00E33758"/>
    <w:rsid w:val="00E362CA"/>
    <w:rsid w:val="00E42B2B"/>
    <w:rsid w:val="00E46818"/>
    <w:rsid w:val="00E47D81"/>
    <w:rsid w:val="00E47DA5"/>
    <w:rsid w:val="00E52A7A"/>
    <w:rsid w:val="00E52F05"/>
    <w:rsid w:val="00E54AA9"/>
    <w:rsid w:val="00E61737"/>
    <w:rsid w:val="00E638EC"/>
    <w:rsid w:val="00E67EBA"/>
    <w:rsid w:val="00E75CF1"/>
    <w:rsid w:val="00E77E72"/>
    <w:rsid w:val="00E83508"/>
    <w:rsid w:val="00E8756D"/>
    <w:rsid w:val="00E9153A"/>
    <w:rsid w:val="00E916EA"/>
    <w:rsid w:val="00E92E86"/>
    <w:rsid w:val="00EB0AE3"/>
    <w:rsid w:val="00EB3EFD"/>
    <w:rsid w:val="00EB74D6"/>
    <w:rsid w:val="00EC1505"/>
    <w:rsid w:val="00EC4EA4"/>
    <w:rsid w:val="00EC6B1D"/>
    <w:rsid w:val="00EC74BB"/>
    <w:rsid w:val="00EC7F75"/>
    <w:rsid w:val="00ED00EF"/>
    <w:rsid w:val="00ED2F19"/>
    <w:rsid w:val="00ED5B02"/>
    <w:rsid w:val="00ED757A"/>
    <w:rsid w:val="00EE04A0"/>
    <w:rsid w:val="00EE3028"/>
    <w:rsid w:val="00EE4283"/>
    <w:rsid w:val="00EE545C"/>
    <w:rsid w:val="00EE7BE6"/>
    <w:rsid w:val="00EF12E5"/>
    <w:rsid w:val="00EF7043"/>
    <w:rsid w:val="00F021B8"/>
    <w:rsid w:val="00F13276"/>
    <w:rsid w:val="00F1675A"/>
    <w:rsid w:val="00F2001D"/>
    <w:rsid w:val="00F2118D"/>
    <w:rsid w:val="00F23CD8"/>
    <w:rsid w:val="00F246A5"/>
    <w:rsid w:val="00F27EB5"/>
    <w:rsid w:val="00F32167"/>
    <w:rsid w:val="00F33CF5"/>
    <w:rsid w:val="00F43D5F"/>
    <w:rsid w:val="00F53B4F"/>
    <w:rsid w:val="00F60165"/>
    <w:rsid w:val="00F66F92"/>
    <w:rsid w:val="00F74413"/>
    <w:rsid w:val="00F84696"/>
    <w:rsid w:val="00F931A9"/>
    <w:rsid w:val="00FB057C"/>
    <w:rsid w:val="00FB2EF8"/>
    <w:rsid w:val="00FB6A44"/>
    <w:rsid w:val="00FC6D72"/>
    <w:rsid w:val="00FD016B"/>
    <w:rsid w:val="00FD13A3"/>
    <w:rsid w:val="00FE2948"/>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4B92B30"/>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443504563">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837D7-1490-41C1-8A6B-29056BA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1755</Words>
  <Characters>12182</Characters>
  <Application>Microsoft Office Word</Application>
  <DocSecurity>0</DocSecurity>
  <Lines>1218</Lines>
  <Paragraphs>278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39</cp:revision>
  <cp:lastPrinted>2019-05-23T07:07:00Z</cp:lastPrinted>
  <dcterms:created xsi:type="dcterms:W3CDTF">2019-05-09T08:49:00Z</dcterms:created>
  <dcterms:modified xsi:type="dcterms:W3CDTF">2019-05-28T10:40:00Z</dcterms:modified>
</cp:coreProperties>
</file>