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CF5363A857748729DB253DF4FDF3F2B"/>
        </w:placeholder>
        <w15:appearance w15:val="hidden"/>
        <w:text/>
      </w:sdtPr>
      <w:sdtEndPr/>
      <w:sdtContent>
        <w:p w:rsidRPr="009B062B" w:rsidR="00AF30DD" w:rsidP="009B062B" w:rsidRDefault="00AF30DD" w14:paraId="107FEF3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cd2acc1-732e-4e0e-8461-3620e6256988"/>
        <w:id w:val="1819299461"/>
        <w:lock w:val="sdtLocked"/>
      </w:sdtPr>
      <w:sdtEndPr/>
      <w:sdtContent>
        <w:p w:rsidR="00171974" w:rsidRDefault="00E54529" w14:paraId="107FEF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medgärningsmannaskap och tillkännager detta för regeringen.</w:t>
          </w:r>
        </w:p>
      </w:sdtContent>
    </w:sdt>
    <w:p w:rsidRPr="009B062B" w:rsidR="00AF30DD" w:rsidP="009B062B" w:rsidRDefault="000156D9" w14:paraId="107FEF3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F2904" w:rsidP="00BF2904" w:rsidRDefault="00BF2904" w14:paraId="107FEF3E" w14:textId="784B142F">
      <w:pPr>
        <w:pStyle w:val="Normalutanindragellerluft"/>
      </w:pPr>
      <w:r>
        <w:t>Både tings- och hovrätt dömde alla t</w:t>
      </w:r>
      <w:r w:rsidR="005A33E8">
        <w:t>re gärningsmän i de så kallade Malexandermorden</w:t>
      </w:r>
      <w:r>
        <w:t xml:space="preserve"> till mord då de agerat tillsammans och i samförstånd trots att tingsrätten inte lyckades klargöra vem av de tre som sköt de dödande skotten. Domstolen valde att tillämpa ett nytt begrepp för medgärningsmannaskap (tillsammans och i samförstånd) och dömde alla tre för mord. </w:t>
      </w:r>
    </w:p>
    <w:p w:rsidRPr="005A33E8" w:rsidR="00BF2904" w:rsidP="005A33E8" w:rsidRDefault="00BF2904" w14:paraId="107FEF3F" w14:textId="3EB09884">
      <w:r w:rsidRPr="005A33E8">
        <w:t>Medgärningsmannaskap är en term som används när till exempel flera personer i samförstånd har begått ett brott men ingen av dessa självständigt uppfyller brott</w:t>
      </w:r>
      <w:r w:rsidRPr="005A33E8" w:rsidR="005A33E8">
        <w:t>srekvisitet för gärningsman. I b</w:t>
      </w:r>
      <w:r w:rsidRPr="005A33E8">
        <w:t>rottsbalken</w:t>
      </w:r>
      <w:r w:rsidRPr="005A33E8" w:rsidR="005A33E8">
        <w:t xml:space="preserve"> 23 kap. 4–</w:t>
      </w:r>
      <w:r w:rsidRPr="005A33E8">
        <w:t>5 §§ regleras detta närmare.</w:t>
      </w:r>
    </w:p>
    <w:p w:rsidRPr="005A33E8" w:rsidR="00BF2904" w:rsidP="005A33E8" w:rsidRDefault="00BF2904" w14:paraId="107FEF41" w14:textId="541581F7">
      <w:bookmarkStart w:name="_GoBack" w:id="1"/>
      <w:bookmarkEnd w:id="1"/>
      <w:r w:rsidRPr="005A33E8">
        <w:t>Men vad som gällde vid Malexandermorden och vad som står angivet i lagen enligt ovan verkar inte appliceras alltid. Ett fall från Varbergs tingsrätt från maj 2016 visar följande:</w:t>
      </w:r>
      <w:r w:rsidRPr="005A33E8" w:rsidR="005A33E8">
        <w:t xml:space="preserve"> </w:t>
      </w:r>
      <w:r w:rsidRPr="005A33E8">
        <w:t>”De två pojkarna skyllde på varandra för mordet på en äldre man i Varberg. Och enligt tingsrätten kan ingen annan än de befunnit sig på mordplatsen. Men tingsrätten friar de båda 14-åriga pojkarna för mord eftersom det inte går att klargöra vem som gjort vad.</w:t>
      </w:r>
    </w:p>
    <w:p w:rsidRPr="005A33E8" w:rsidR="00BF2904" w:rsidP="005A33E8" w:rsidRDefault="00BF2904" w14:paraId="107FEF42" w14:textId="77777777">
      <w:r w:rsidRPr="005A33E8">
        <w:t>Tingsrätten konstaterar också att morakniven var mordvapnet, men vem som utdelade det eller de dödande huggen har inte gått att utreda. Därför kan inte heller pojkarna fällas för mord.</w:t>
      </w:r>
    </w:p>
    <w:p w:rsidRPr="005A33E8" w:rsidR="00BF2904" w:rsidP="005A33E8" w:rsidRDefault="00BF2904" w14:paraId="107FEF43" w14:textId="77777777">
      <w:r w:rsidRPr="005A33E8">
        <w:t>Samtidigt utesluter tingsrätten att någon eller några andra än pojkarna tagit livet av mannen.”</w:t>
      </w:r>
    </w:p>
    <w:p w:rsidRPr="005A33E8" w:rsidR="00BF2904" w:rsidP="005A33E8" w:rsidRDefault="00BF2904" w14:paraId="107FEF44" w14:textId="506BDFAA">
      <w:r w:rsidRPr="005A33E8">
        <w:t>I detta fall borde ju lagen kunna appliceras på</w:t>
      </w:r>
      <w:r w:rsidRPr="005A33E8" w:rsidR="005A33E8">
        <w:t xml:space="preserve"> samma sätt som lagrummet angivi</w:t>
      </w:r>
      <w:r w:rsidRPr="005A33E8">
        <w:t>t ovan eller som för Malexandermorden. Det gjordes dock uppenbarligen inte. Det finns säkert fler sådana exempel.</w:t>
      </w:r>
    </w:p>
    <w:p w:rsidRPr="005A33E8" w:rsidR="00BF2904" w:rsidP="005A33E8" w:rsidRDefault="00BF2904" w14:paraId="107FEF45" w14:textId="77777777">
      <w:r w:rsidRPr="005A33E8">
        <w:t>Detta visar att man bör göra en översyn av medgärningsmannaskap med syfte att tydliggöra detta i lag för att kunna använda det i de fall det är uppenbart att det är så. På så sätt kan man förhindra att gärningsmän som tillsammans och i samförstånd begått ett brott kommer undan utan straff genom att skylla på varandra eller annat.</w:t>
      </w:r>
    </w:p>
    <w:p w:rsidR="006D01C3" w:rsidP="00BF2904" w:rsidRDefault="00BF2904" w14:paraId="107FEF46" w14:textId="77777777">
      <w:pPr>
        <w:pStyle w:val="Normalutanindragellerluft"/>
      </w:pPr>
      <w:r>
        <w:t>Regeringen bör skyndsamt återkomma med ett förslag på området.</w:t>
      </w:r>
    </w:p>
    <w:p w:rsidRPr="00093F48" w:rsidR="00093F48" w:rsidP="00093F48" w:rsidRDefault="00093F48" w14:paraId="107FEF4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C1ECE6AA2F451E926F6AEF1B4159F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172A0" w:rsidRDefault="005A33E8" w14:paraId="107FEF4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08C4" w:rsidRDefault="007208C4" w14:paraId="107FEF4C" w14:textId="77777777"/>
    <w:sectPr w:rsidR="007208C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FEF4E" w14:textId="77777777" w:rsidR="00A4488A" w:rsidRDefault="00A4488A" w:rsidP="000C1CAD">
      <w:pPr>
        <w:spacing w:line="240" w:lineRule="auto"/>
      </w:pPr>
      <w:r>
        <w:separator/>
      </w:r>
    </w:p>
  </w:endnote>
  <w:endnote w:type="continuationSeparator" w:id="0">
    <w:p w14:paraId="107FEF4F" w14:textId="77777777" w:rsidR="00A4488A" w:rsidRDefault="00A448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EF5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EF5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33E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EF4C" w14:textId="77777777" w:rsidR="00A4488A" w:rsidRDefault="00A4488A" w:rsidP="000C1CAD">
      <w:pPr>
        <w:spacing w:line="240" w:lineRule="auto"/>
      </w:pPr>
      <w:r>
        <w:separator/>
      </w:r>
    </w:p>
  </w:footnote>
  <w:footnote w:type="continuationSeparator" w:id="0">
    <w:p w14:paraId="107FEF4D" w14:textId="77777777" w:rsidR="00A4488A" w:rsidRDefault="00A448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07FEF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7FEF60" wp14:anchorId="107FEF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A33E8" w14:paraId="107FEF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50744E426A4ACDAE28647F75DA9050"/>
                              </w:placeholder>
                              <w:text/>
                            </w:sdtPr>
                            <w:sdtEndPr/>
                            <w:sdtContent>
                              <w:r w:rsidR="00BF290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FD4352C59A4F90A5D53359C12C2804"/>
                              </w:placeholder>
                              <w:text/>
                            </w:sdtPr>
                            <w:sdtEndPr/>
                            <w:sdtContent>
                              <w:r w:rsidR="00BF2904">
                                <w:t>280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7FEF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A33E8" w14:paraId="107FEF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50744E426A4ACDAE28647F75DA9050"/>
                        </w:placeholder>
                        <w:text/>
                      </w:sdtPr>
                      <w:sdtEndPr/>
                      <w:sdtContent>
                        <w:r w:rsidR="00BF290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FD4352C59A4F90A5D53359C12C2804"/>
                        </w:placeholder>
                        <w:text/>
                      </w:sdtPr>
                      <w:sdtEndPr/>
                      <w:sdtContent>
                        <w:r w:rsidR="00BF2904">
                          <w:t>280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07FEF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A33E8" w14:paraId="107FEF5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F2904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F2904">
          <w:t>280</w:t>
        </w:r>
      </w:sdtContent>
    </w:sdt>
  </w:p>
  <w:p w:rsidR="007A5507" w:rsidP="00776B74" w:rsidRDefault="007A5507" w14:paraId="107FEF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A33E8" w14:paraId="107FEF5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F290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2904">
          <w:t>280</w:t>
        </w:r>
      </w:sdtContent>
    </w:sdt>
  </w:p>
  <w:p w:rsidR="007A5507" w:rsidP="00A314CF" w:rsidRDefault="005A33E8" w14:paraId="2AF685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5A33E8" w14:paraId="107FEF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A33E8" w14:paraId="107FEF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:2340</w:t>
        </w:r>
      </w:sdtContent>
    </w:sdt>
  </w:p>
  <w:p w:rsidR="007A5507" w:rsidP="00E03A3D" w:rsidRDefault="005A33E8" w14:paraId="107FEF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F2904" w14:paraId="107FEF5C" w14:textId="77777777">
        <w:pPr>
          <w:pStyle w:val="FSHRub2"/>
        </w:pPr>
        <w:r>
          <w:t>Medgärningsmannaskap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07FEF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F290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49C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1974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DF8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2C84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3E8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8C4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7CBC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488A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2904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2A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529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7FEF3A"/>
  <w15:chartTrackingRefBased/>
  <w15:docId w15:val="{36BA7962-BBE9-4AA6-9881-004F0EAA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F5363A857748729DB253DF4FDF3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D5EF0-0629-4521-82AC-A48FCFF6A3EC}"/>
      </w:docPartPr>
      <w:docPartBody>
        <w:p w:rsidR="001D4295" w:rsidRDefault="001C06E6">
          <w:pPr>
            <w:pStyle w:val="ECF5363A857748729DB253DF4FDF3F2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C1ECE6AA2F451E926F6AEF1B415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4264F-E7B1-420D-A76A-B122EEB2244F}"/>
      </w:docPartPr>
      <w:docPartBody>
        <w:p w:rsidR="001D4295" w:rsidRDefault="001C06E6">
          <w:pPr>
            <w:pStyle w:val="15C1ECE6AA2F451E926F6AEF1B4159F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C50744E426A4ACDAE28647F75DA9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C6760-AC13-416C-A9AE-C24C79760A59}"/>
      </w:docPartPr>
      <w:docPartBody>
        <w:p w:rsidR="001D4295" w:rsidRDefault="001C06E6">
          <w:pPr>
            <w:pStyle w:val="BC50744E426A4ACDAE28647F75DA90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D4352C59A4F90A5D53359C12C2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5F14B-43F1-451B-8ABD-5E8900FB0528}"/>
      </w:docPartPr>
      <w:docPartBody>
        <w:p w:rsidR="001D4295" w:rsidRDefault="001C06E6">
          <w:pPr>
            <w:pStyle w:val="97FD4352C59A4F90A5D53359C12C280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E6"/>
    <w:rsid w:val="001C06E6"/>
    <w:rsid w:val="001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F5363A857748729DB253DF4FDF3F2B">
    <w:name w:val="ECF5363A857748729DB253DF4FDF3F2B"/>
  </w:style>
  <w:style w:type="paragraph" w:customStyle="1" w:styleId="078A68426DB8488ABB35F811120CD1E7">
    <w:name w:val="078A68426DB8488ABB35F811120CD1E7"/>
  </w:style>
  <w:style w:type="paragraph" w:customStyle="1" w:styleId="87C7BDF97BDF4F7EA9A7F3DAB95144A9">
    <w:name w:val="87C7BDF97BDF4F7EA9A7F3DAB95144A9"/>
  </w:style>
  <w:style w:type="paragraph" w:customStyle="1" w:styleId="15C1ECE6AA2F451E926F6AEF1B4159F5">
    <w:name w:val="15C1ECE6AA2F451E926F6AEF1B4159F5"/>
  </w:style>
  <w:style w:type="paragraph" w:customStyle="1" w:styleId="BC50744E426A4ACDAE28647F75DA9050">
    <w:name w:val="BC50744E426A4ACDAE28647F75DA9050"/>
  </w:style>
  <w:style w:type="paragraph" w:customStyle="1" w:styleId="97FD4352C59A4F90A5D53359C12C2804">
    <w:name w:val="97FD4352C59A4F90A5D53359C12C2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8927</RubrikLookup>
    <MotionGuid xmlns="00d11361-0b92-4bae-a181-288d6a55b763">b72f446a-d1fa-4d48-b718-9a1850f639db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8EFA45-C08B-4A09-AA35-0227F8BA0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10C53-2FE5-49FF-8FEF-5896F1E6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150E2-A580-4C4A-AC32-46DE80D83E94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79152FE-3A31-437B-A665-4F9D87E6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332</Words>
  <Characters>1761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201617SD280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2016-10-04T07:23:00Z</dcterms:created>
  <dcterms:modified xsi:type="dcterms:W3CDTF">2017-05-05T10:24:00Z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*T711CA6DFF617*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https://filur.riksdagen.se/drop/DropOffLibrary/T711CA6DFF617.docx</vt:lpwstr>
  </property>
  <property fmtid="{D5CDD505-2E9C-101B-9397-08002B2CF9AE}" pid="13" name="RevisionsOn">
    <vt:lpwstr>1</vt:lpwstr>
  </property>
</Properties>
</file>