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82</w:t>
      </w:r>
      <w:bookmarkEnd w:id="1"/>
    </w:p>
    <w:p w:rsidR="006E04A4">
      <w:pPr>
        <w:pStyle w:val="Date"/>
        <w:outlineLvl w:val="0"/>
      </w:pPr>
      <w:bookmarkStart w:id="2" w:name="DocumentDate"/>
      <w:r>
        <w:t>Onsdagen den 16 mars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Återrapportering från Europeiska rådets möte</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Återrapportering från Europeiska rådets möte den 10-11 mars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Justering av protokoll från sammanträdet onsdagen den 23 februari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faktapromemoria</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2021/22:FPM67 Halvledarakten </w:t>
            </w:r>
            <w:r>
              <w:rPr>
                <w:i/>
                <w:iCs/>
                <w:rtl w:val="0"/>
              </w:rPr>
              <w:t>COM(2022) 46, COM(2022) 47</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RiR 2022:5 I väntan på dom – migrationsdomstolarnas handläggningstider i asylmål</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avskrivning av 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2021/22:4400 av Ulla Andersson m.fl. (V)</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2021/22:127 Bättre tillgång till finansiell information i brottsbekämpningen</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2021/22:135 Idéburen välfärd</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2021/22:142 Effektivare bevisupptagning inom EU</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2021/22:147 Ursprungsgarantier – genomförande av det omarbetade förnybartdirektivet</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2021/22:149 En effektivisering av byggnadsnämndens tillsyn</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2021/22:150 Förbud mot utvinning av kol, olja och naturgas och skärpta regler för utvinning i alunskiffer</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2021/22:75 Riksdagens skrivelser till regeringen – åtgärder under 2021</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2021/22:103 Kommittéberättelse – kommittéernas verksamhet under 2021</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Redogörelse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2021/22:RR3 Riksrevisionens redogörelse om revisionsberättelsen över Stiftelsen Riksbankens Jubileumsfonds årsredovisning 2021</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COM(2022) 89 Förslag till Europaparlamentets och rådets förordning om regler för utövandet av unionens rättigheter vid genomförandet och efterlevnaden av avtalet om Förenade konungariket Storbritannien och Nordirlands utträde ur Europeiska unionen och Europeiska atomenergigemenskapen och av handels- och samarbetsavtalet mellan Europeiska unionen och Europeiska atomenergigemenskapen, å ena sidan, och Förenade konungariket Storbritannien och Nordirland, å andra sidan </w:t>
            </w:r>
            <w:r>
              <w:rPr>
                <w:rtl w:val="0"/>
              </w:rPr>
              <w:br/>
            </w:r>
            <w:r>
              <w:rPr>
                <w:i/>
                <w:iCs/>
                <w:rtl w:val="0"/>
              </w:rPr>
              <w:t>Åttaveckorsfristen för att avge ett motiverat yttrande går ut den 9 maj 2022</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Bet. 2021/22:NU16 En förenklingspolitik för stärkt konkurrenskraft, tillväxt och innovationsförmåga</w:t>
            </w:r>
          </w:p>
        </w:tc>
        <w:tc>
          <w:tcPr>
            <w:tcW w:w="2055" w:type="dxa"/>
          </w:tcPr>
          <w:p w:rsidR="006E04A4" w:rsidP="00C84F80">
            <w:r>
              <w:rPr>
                <w:rtl w:val="0"/>
              </w:rPr>
              <w:t>47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Ärende för avgörande kl. 16.00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Tidigare slutdebatterat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2021/22:MJU15 Cirkulär ekonomi</w:t>
            </w:r>
          </w:p>
        </w:tc>
        <w:tc>
          <w:tcPr>
            <w:tcW w:w="2055" w:type="dxa"/>
          </w:tcPr>
          <w:p w:rsidR="006E04A4" w:rsidP="00C84F80">
            <w:r>
              <w:rPr>
                <w:rtl w:val="0"/>
              </w:rPr>
              <w:t>42 res.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Bet. 2021/22:FiU18 Gränsöverskridande distribution av fonder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2021/22:FiU19 Nya kapitaltäckningsregler för mycket stora värdepappersbolag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2021/22:UU11 Vissa säkerhetspolitiska frågor</w:t>
            </w:r>
          </w:p>
        </w:tc>
        <w:tc>
          <w:tcPr>
            <w:tcW w:w="2055" w:type="dxa"/>
          </w:tcPr>
          <w:p w:rsidR="006E04A4" w:rsidP="00C84F80">
            <w:r>
              <w:rPr>
                <w:rtl w:val="0"/>
              </w:rPr>
              <w:t>12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Skatteutskottets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2021/22:SkU13 Inkomstskatt</w:t>
            </w:r>
          </w:p>
        </w:tc>
        <w:tc>
          <w:tcPr>
            <w:tcW w:w="2055" w:type="dxa"/>
          </w:tcPr>
          <w:p w:rsidR="006E04A4" w:rsidP="00C84F80">
            <w:r>
              <w:rPr>
                <w:rtl w:val="0"/>
              </w:rPr>
              <w:t>44 res.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2021/22:KrU3 Radio och tv i allmänhetens tjänst</w:t>
            </w:r>
          </w:p>
        </w:tc>
        <w:tc>
          <w:tcPr>
            <w:tcW w:w="2055" w:type="dxa"/>
          </w:tcPr>
          <w:p w:rsidR="006E04A4" w:rsidP="00C84F80">
            <w:r>
              <w:rPr>
                <w:rtl w:val="0"/>
              </w:rPr>
              <w:t>10 res. (M, SD, C,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2021/22:SoU12 Stöd till personer med funktionsnedsättning</w:t>
            </w:r>
          </w:p>
        </w:tc>
        <w:tc>
          <w:tcPr>
            <w:tcW w:w="2055" w:type="dxa"/>
          </w:tcPr>
          <w:p w:rsidR="006E04A4" w:rsidP="00C84F80">
            <w:r>
              <w:rPr>
                <w:rtl w:val="0"/>
              </w:rPr>
              <w:t>28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2021/22:MJU17 Fiskeripolitik</w:t>
            </w:r>
          </w:p>
        </w:tc>
        <w:tc>
          <w:tcPr>
            <w:tcW w:w="2055" w:type="dxa"/>
          </w:tcPr>
          <w:p w:rsidR="006E04A4" w:rsidP="00C84F80">
            <w:r>
              <w:rPr>
                <w:rtl w:val="0"/>
              </w:rPr>
              <w:t>24 res. (S, M, SD, C, V, KD, L, MP)</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16 mars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2022-03-16</SAFIR_Sammantradesdatum_Doc>
    <SAFIR_SammantradeID xmlns="C07A1A6C-0B19-41D9-BDF8-F523BA3921EB">b4c22479-a2be-4045-ab4b-d41f1e0d386f</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25616-C10D-4972-B2BF-E19486564D10}"/>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16 mars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