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56167">
        <w:tc>
          <w:tcPr>
            <w:tcW w:w="2268" w:type="dxa"/>
          </w:tcPr>
          <w:p w:rsidR="00856167" w:rsidRDefault="00856167">
            <w:pPr>
              <w:framePr w:w="4400" w:h="1644" w:wrap="notBeside" w:vAnchor="page" w:hAnchor="page" w:x="6573" w:y="721"/>
              <w:rPr>
                <w:rFonts w:ascii="TradeGothic" w:hAnsi="TradeGothic"/>
                <w:i/>
                <w:sz w:val="18"/>
              </w:rPr>
            </w:pPr>
          </w:p>
        </w:tc>
        <w:tc>
          <w:tcPr>
            <w:tcW w:w="2347" w:type="dxa"/>
            <w:gridSpan w:val="2"/>
          </w:tcPr>
          <w:p w:rsidR="00856167" w:rsidRDefault="00856167">
            <w:pPr>
              <w:framePr w:w="4400" w:h="1644" w:wrap="notBeside" w:vAnchor="page" w:hAnchor="page" w:x="6573" w:y="721"/>
              <w:rPr>
                <w:rFonts w:ascii="TradeGothic" w:hAnsi="TradeGothic"/>
                <w:i/>
                <w:sz w:val="18"/>
              </w:rPr>
            </w:pPr>
          </w:p>
        </w:tc>
      </w:tr>
      <w:tr w:rsidR="00856167">
        <w:tc>
          <w:tcPr>
            <w:tcW w:w="2268" w:type="dxa"/>
          </w:tcPr>
          <w:p w:rsidR="00856167" w:rsidRDefault="00856167">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856167" w:rsidRDefault="00856167">
            <w:pPr>
              <w:framePr w:w="4400" w:h="1644" w:wrap="notBeside" w:vAnchor="page" w:hAnchor="page" w:x="6573" w:y="721"/>
              <w:rPr>
                <w:rFonts w:ascii="TradeGothic" w:hAnsi="TradeGothic"/>
                <w:b/>
                <w:sz w:val="22"/>
              </w:rPr>
            </w:pPr>
          </w:p>
        </w:tc>
      </w:tr>
      <w:tr w:rsidR="00856167">
        <w:trPr>
          <w:trHeight w:val="343"/>
        </w:trPr>
        <w:tc>
          <w:tcPr>
            <w:tcW w:w="3402" w:type="dxa"/>
            <w:gridSpan w:val="2"/>
          </w:tcPr>
          <w:p w:rsidR="00856167" w:rsidRDefault="00856167">
            <w:pPr>
              <w:framePr w:w="4400" w:h="1644" w:wrap="notBeside" w:vAnchor="page" w:hAnchor="page" w:x="6573" w:y="721"/>
            </w:pPr>
          </w:p>
        </w:tc>
        <w:tc>
          <w:tcPr>
            <w:tcW w:w="1213" w:type="dxa"/>
          </w:tcPr>
          <w:p w:rsidR="00856167" w:rsidRDefault="00856167">
            <w:pPr>
              <w:framePr w:w="4400" w:h="1644" w:wrap="notBeside" w:vAnchor="page" w:hAnchor="page" w:x="6573" w:y="721"/>
            </w:pPr>
          </w:p>
        </w:tc>
      </w:tr>
      <w:tr w:rsidR="00856167">
        <w:tc>
          <w:tcPr>
            <w:tcW w:w="2268" w:type="dxa"/>
          </w:tcPr>
          <w:p w:rsidR="00856167" w:rsidRDefault="00856167">
            <w:pPr>
              <w:framePr w:w="4400" w:h="1644" w:wrap="notBeside" w:vAnchor="page" w:hAnchor="page" w:x="6573" w:y="721"/>
            </w:pPr>
            <w:fldSimple w:instr=" CREATEDATE  \@ &quot;yyyy-MM-dd&quot;  \* MERGEFORMAT ">
              <w:r>
                <w:rPr>
                  <w:noProof/>
                </w:rPr>
                <w:t>2013-03-06</w:t>
              </w:r>
            </w:fldSimple>
          </w:p>
        </w:tc>
        <w:tc>
          <w:tcPr>
            <w:tcW w:w="2347" w:type="dxa"/>
            <w:gridSpan w:val="2"/>
          </w:tcPr>
          <w:p w:rsidR="00856167" w:rsidRDefault="00856167">
            <w:pPr>
              <w:framePr w:w="4400" w:h="1644" w:wrap="notBeside" w:vAnchor="page" w:hAnchor="page" w:x="6573" w:y="721"/>
            </w:pPr>
          </w:p>
        </w:tc>
      </w:tr>
      <w:tr w:rsidR="00856167">
        <w:tc>
          <w:tcPr>
            <w:tcW w:w="2268" w:type="dxa"/>
          </w:tcPr>
          <w:p w:rsidR="00856167" w:rsidRDefault="00856167">
            <w:pPr>
              <w:framePr w:w="4400" w:h="1644" w:wrap="notBeside" w:vAnchor="page" w:hAnchor="page" w:x="6573" w:y="721"/>
            </w:pPr>
          </w:p>
        </w:tc>
        <w:tc>
          <w:tcPr>
            <w:tcW w:w="2347" w:type="dxa"/>
            <w:gridSpan w:val="2"/>
          </w:tcPr>
          <w:p w:rsidR="00856167" w:rsidRDefault="00856167">
            <w:pPr>
              <w:framePr w:w="4400" w:h="1644" w:wrap="notBeside" w:vAnchor="page" w:hAnchor="page" w:x="6573" w:y="721"/>
            </w:pPr>
          </w:p>
        </w:tc>
      </w:tr>
    </w:tbl>
    <w:tbl>
      <w:tblPr>
        <w:tblW w:w="0" w:type="auto"/>
        <w:tblLayout w:type="fixed"/>
        <w:tblLook w:val="0000"/>
      </w:tblPr>
      <w:tblGrid>
        <w:gridCol w:w="4911"/>
      </w:tblGrid>
      <w:tr w:rsidR="00856167">
        <w:trPr>
          <w:trHeight w:val="2400"/>
        </w:trPr>
        <w:tc>
          <w:tcPr>
            <w:tcW w:w="4911" w:type="dxa"/>
          </w:tcPr>
          <w:p w:rsidR="00856167" w:rsidRDefault="00856167">
            <w:pPr>
              <w:pStyle w:val="Avsndare"/>
              <w:framePr w:h="2483" w:wrap="notBeside" w:x="1504"/>
              <w:rPr>
                <w:b/>
                <w:i w:val="0"/>
                <w:sz w:val="22"/>
              </w:rPr>
            </w:pPr>
            <w:r>
              <w:rPr>
                <w:b/>
                <w:i w:val="0"/>
                <w:sz w:val="22"/>
              </w:rPr>
              <w:t>Statsrådsberedningen</w:t>
            </w:r>
          </w:p>
          <w:p w:rsidR="00856167" w:rsidRDefault="00856167">
            <w:pPr>
              <w:pStyle w:val="Avsndare"/>
              <w:framePr w:h="2483" w:wrap="notBeside" w:x="1504"/>
            </w:pPr>
          </w:p>
          <w:p w:rsidR="00856167" w:rsidRDefault="00856167">
            <w:pPr>
              <w:pStyle w:val="Avsndare"/>
              <w:framePr w:h="2483" w:wrap="notBeside" w:x="1504"/>
            </w:pPr>
            <w:r>
              <w:t>EU-kansliet</w:t>
            </w:r>
          </w:p>
          <w:p w:rsidR="00856167" w:rsidRDefault="00856167">
            <w:pPr>
              <w:pStyle w:val="Avsndare"/>
              <w:framePr w:h="2483" w:wrap="notBeside" w:x="1504"/>
            </w:pPr>
          </w:p>
          <w:p w:rsidR="00856167" w:rsidRDefault="00856167">
            <w:pPr>
              <w:pStyle w:val="Avsndare"/>
              <w:framePr w:h="2483" w:wrap="notBeside" w:x="1504"/>
            </w:pPr>
          </w:p>
          <w:p w:rsidR="00856167" w:rsidRDefault="00856167">
            <w:pPr>
              <w:pStyle w:val="Avsndare"/>
              <w:framePr w:h="2483" w:wrap="notBeside" w:x="1504"/>
            </w:pPr>
          </w:p>
          <w:p w:rsidR="00856167" w:rsidRDefault="00856167">
            <w:pPr>
              <w:pStyle w:val="Avsndare"/>
              <w:framePr w:h="2483" w:wrap="notBeside" w:x="1504"/>
              <w:rPr>
                <w:b/>
                <w:i w:val="0"/>
                <w:sz w:val="22"/>
              </w:rPr>
            </w:pPr>
          </w:p>
        </w:tc>
      </w:tr>
    </w:tbl>
    <w:p w:rsidR="00856167" w:rsidRDefault="00856167">
      <w:pPr>
        <w:framePr w:w="4400" w:h="2523" w:wrap="notBeside" w:vAnchor="page" w:hAnchor="page" w:x="6453" w:y="2445"/>
        <w:ind w:left="142"/>
      </w:pPr>
    </w:p>
    <w:p w:rsidR="00856167" w:rsidRDefault="00856167">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10.</w:t>
      </w:r>
    </w:p>
    <w:p w:rsidR="00856167" w:rsidRDefault="00856167" w:rsidP="00B345E1">
      <w:pPr>
        <w:pStyle w:val="BodyText"/>
      </w:pPr>
    </w:p>
    <w:p w:rsidR="00856167" w:rsidRDefault="00856167" w:rsidP="00B345E1">
      <w:pPr>
        <w:pStyle w:val="BodyText"/>
      </w:pPr>
      <w:r>
        <w:t xml:space="preserve">Överlämnas för skriftligt samråd till torsdagen den 7 mars 2013, kl. 08.30. </w:t>
      </w:r>
    </w:p>
    <w:p w:rsidR="00856167" w:rsidRDefault="00856167">
      <w:pPr>
        <w:spacing w:line="240" w:lineRule="auto"/>
        <w:rPr>
          <w:rFonts w:ascii="Garamond" w:hAnsi="Garamond"/>
        </w:rPr>
      </w:pPr>
      <w:r>
        <w:br w:type="page"/>
      </w:r>
    </w:p>
    <w:bookmarkStart w:id="2" w:name="_GoBack"/>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bookmarkEnd w:id="2"/>
    <w:p w:rsidR="00856167" w:rsidRDefault="00856167">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0344294" w:history="1">
        <w:r w:rsidRPr="00D86D50">
          <w:rPr>
            <w:rStyle w:val="Hyperlink"/>
            <w:noProof/>
          </w:rPr>
          <w:t>Frågor som lösts i förberedande instanser</w:t>
        </w:r>
        <w:r>
          <w:rPr>
            <w:noProof/>
            <w:webHidden/>
          </w:rPr>
          <w:tab/>
        </w:r>
        <w:r>
          <w:rPr>
            <w:noProof/>
            <w:webHidden/>
          </w:rPr>
          <w:fldChar w:fldCharType="begin"/>
        </w:r>
        <w:r>
          <w:rPr>
            <w:noProof/>
            <w:webHidden/>
          </w:rPr>
          <w:instrText xml:space="preserve"> PAGEREF _Toc350344294 \h </w:instrText>
        </w:r>
        <w:r>
          <w:rPr>
            <w:noProof/>
            <w:webHidden/>
          </w:rPr>
        </w:r>
        <w:r>
          <w:rPr>
            <w:noProof/>
            <w:webHidden/>
          </w:rPr>
          <w:fldChar w:fldCharType="separate"/>
        </w:r>
        <w:r>
          <w:rPr>
            <w:noProof/>
            <w:webHidden/>
          </w:rPr>
          <w:t>5</w:t>
        </w:r>
        <w:r>
          <w:rPr>
            <w:noProof/>
            <w:webHidden/>
          </w:rPr>
          <w:fldChar w:fldCharType="end"/>
        </w:r>
      </w:hyperlink>
    </w:p>
    <w:p w:rsidR="00856167" w:rsidRDefault="00856167">
      <w:pPr>
        <w:pStyle w:val="TOC1"/>
        <w:tabs>
          <w:tab w:val="right" w:leader="dot" w:pos="7644"/>
        </w:tabs>
        <w:rPr>
          <w:rFonts w:ascii="Calibri" w:hAnsi="Calibri"/>
          <w:b w:val="0"/>
          <w:bCs w:val="0"/>
          <w:caps w:val="0"/>
          <w:noProof/>
          <w:sz w:val="22"/>
          <w:szCs w:val="22"/>
          <w:lang w:eastAsia="sv-SE"/>
        </w:rPr>
      </w:pPr>
      <w:hyperlink w:anchor="_Toc350344295" w:history="1">
        <w:r w:rsidRPr="00D86D50">
          <w:rPr>
            <w:rStyle w:val="Hyperlink"/>
            <w:noProof/>
          </w:rPr>
          <w:t>Troliga A-punkter inför kommande rådsmöten som förväntas godkännas vid Coreper I 2013-03-06.</w:t>
        </w:r>
        <w:r>
          <w:rPr>
            <w:noProof/>
            <w:webHidden/>
          </w:rPr>
          <w:tab/>
        </w:r>
        <w:r>
          <w:rPr>
            <w:noProof/>
            <w:webHidden/>
          </w:rPr>
          <w:fldChar w:fldCharType="begin"/>
        </w:r>
        <w:r>
          <w:rPr>
            <w:noProof/>
            <w:webHidden/>
          </w:rPr>
          <w:instrText xml:space="preserve"> PAGEREF _Toc350344295 \h </w:instrText>
        </w:r>
        <w:r>
          <w:rPr>
            <w:noProof/>
            <w:webHidden/>
          </w:rPr>
        </w:r>
        <w:r>
          <w:rPr>
            <w:noProof/>
            <w:webHidden/>
          </w:rPr>
          <w:fldChar w:fldCharType="separate"/>
        </w:r>
        <w:r>
          <w:rPr>
            <w:noProof/>
            <w:webHidden/>
          </w:rPr>
          <w:t>5</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296" w:history="1">
        <w:r w:rsidRPr="00D86D50">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_Toc350344296 \h </w:instrText>
        </w:r>
        <w:r>
          <w:rPr>
            <w:noProof/>
            <w:webHidden/>
          </w:rPr>
        </w:r>
        <w:r>
          <w:rPr>
            <w:noProof/>
            <w:webHidden/>
          </w:rPr>
          <w:fldChar w:fldCharType="separate"/>
        </w:r>
        <w:r>
          <w:rPr>
            <w:noProof/>
            <w:webHidden/>
          </w:rPr>
          <w:t>5</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297" w:history="1">
        <w:r w:rsidRPr="00D86D50">
          <w:rPr>
            <w:rStyle w:val="Hyperlink"/>
            <w:noProof/>
          </w:rPr>
          <w:t>2. Proposal for a Council Decision amending Council Decision 2000/125/EC of 31 January 2000 concerning the conclusion of the Agreement concerning the establishing of global technical regulations for wheeled vehicles, equipment and parts which can be fitted and/or be used on wheeled vehicles (Parallel Agreement) = Request by the Council for the consent of the European Parliament</w:t>
        </w:r>
        <w:r>
          <w:rPr>
            <w:noProof/>
            <w:webHidden/>
          </w:rPr>
          <w:tab/>
        </w:r>
        <w:r>
          <w:rPr>
            <w:noProof/>
            <w:webHidden/>
          </w:rPr>
          <w:fldChar w:fldCharType="begin"/>
        </w:r>
        <w:r>
          <w:rPr>
            <w:noProof/>
            <w:webHidden/>
          </w:rPr>
          <w:instrText xml:space="preserve"> PAGEREF _Toc350344297 \h </w:instrText>
        </w:r>
        <w:r>
          <w:rPr>
            <w:noProof/>
            <w:webHidden/>
          </w:rPr>
        </w:r>
        <w:r>
          <w:rPr>
            <w:noProof/>
            <w:webHidden/>
          </w:rPr>
          <w:fldChar w:fldCharType="separate"/>
        </w:r>
        <w:r>
          <w:rPr>
            <w:noProof/>
            <w:webHidden/>
          </w:rPr>
          <w:t>6</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298" w:history="1">
        <w:r w:rsidRPr="00D86D50">
          <w:rPr>
            <w:rStyle w:val="Hyperlink"/>
            <w:noProof/>
          </w:rPr>
          <w:t>3. Proposal for a Council Decision amending Decision 97/836/EC with a view to accession by the European Community to the Agreement of the United Nations Economic Commission for Europe concerning the adoption of uniform technical prescriptions for wheeled vehicles, equipment and parts which can be fitted to and/or be used on wheeled vehicles and the conditions for reciprocal recognition of approvals granted on the basis of these prescriptions (Revised 1958 Agreement)= Request by the Council for the consent of the European Parliament</w:t>
        </w:r>
        <w:r>
          <w:rPr>
            <w:noProof/>
            <w:webHidden/>
          </w:rPr>
          <w:tab/>
        </w:r>
        <w:r>
          <w:rPr>
            <w:noProof/>
            <w:webHidden/>
          </w:rPr>
          <w:fldChar w:fldCharType="begin"/>
        </w:r>
        <w:r>
          <w:rPr>
            <w:noProof/>
            <w:webHidden/>
          </w:rPr>
          <w:instrText xml:space="preserve"> PAGEREF _Toc350344298 \h </w:instrText>
        </w:r>
        <w:r>
          <w:rPr>
            <w:noProof/>
            <w:webHidden/>
          </w:rPr>
        </w:r>
        <w:r>
          <w:rPr>
            <w:noProof/>
            <w:webHidden/>
          </w:rPr>
          <w:fldChar w:fldCharType="separate"/>
        </w:r>
        <w:r>
          <w:rPr>
            <w:noProof/>
            <w:webHidden/>
          </w:rPr>
          <w:t>7</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299" w:history="1">
        <w:r w:rsidRPr="00D86D50">
          <w:rPr>
            <w:rStyle w:val="Hyperlink"/>
            <w:noProof/>
          </w:rPr>
          <w:t>4. Commission Decision establishing the ecological criteria for the award of the EU Ecolabel for sanitary tap ware= Decision not to oppose adoption</w:t>
        </w:r>
        <w:r>
          <w:rPr>
            <w:noProof/>
            <w:webHidden/>
          </w:rPr>
          <w:tab/>
        </w:r>
        <w:r>
          <w:rPr>
            <w:noProof/>
            <w:webHidden/>
          </w:rPr>
          <w:fldChar w:fldCharType="begin"/>
        </w:r>
        <w:r>
          <w:rPr>
            <w:noProof/>
            <w:webHidden/>
          </w:rPr>
          <w:instrText xml:space="preserve"> PAGEREF _Toc350344299 \h </w:instrText>
        </w:r>
        <w:r>
          <w:rPr>
            <w:noProof/>
            <w:webHidden/>
          </w:rPr>
        </w:r>
        <w:r>
          <w:rPr>
            <w:noProof/>
            <w:webHidden/>
          </w:rPr>
          <w:fldChar w:fldCharType="separate"/>
        </w:r>
        <w:r>
          <w:rPr>
            <w:noProof/>
            <w:webHidden/>
          </w:rPr>
          <w:t>8</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0" w:history="1">
        <w:r w:rsidRPr="00D86D50">
          <w:rPr>
            <w:rStyle w:val="Hyperlink"/>
            <w:noProof/>
          </w:rPr>
          <w:t>5. Proposal for a Council Decision on the conclusion of the Cooperation Agreement on a civil Global Navigation Satellite System (GNSS) between the European Community and its Member States and Ukraine = Adoption</w:t>
        </w:r>
        <w:r>
          <w:rPr>
            <w:noProof/>
            <w:webHidden/>
          </w:rPr>
          <w:tab/>
        </w:r>
        <w:r>
          <w:rPr>
            <w:noProof/>
            <w:webHidden/>
          </w:rPr>
          <w:fldChar w:fldCharType="begin"/>
        </w:r>
        <w:r>
          <w:rPr>
            <w:noProof/>
            <w:webHidden/>
          </w:rPr>
          <w:instrText xml:space="preserve"> PAGEREF _Toc350344300 \h </w:instrText>
        </w:r>
        <w:r>
          <w:rPr>
            <w:noProof/>
            <w:webHidden/>
          </w:rPr>
        </w:r>
        <w:r>
          <w:rPr>
            <w:noProof/>
            <w:webHidden/>
          </w:rPr>
          <w:fldChar w:fldCharType="separate"/>
        </w:r>
        <w:r>
          <w:rPr>
            <w:noProof/>
            <w:webHidden/>
          </w:rPr>
          <w:t>8</w:t>
        </w:r>
        <w:r>
          <w:rPr>
            <w:noProof/>
            <w:webHidden/>
          </w:rPr>
          <w:fldChar w:fldCharType="end"/>
        </w:r>
      </w:hyperlink>
    </w:p>
    <w:p w:rsidR="00856167" w:rsidRDefault="00856167">
      <w:pPr>
        <w:pStyle w:val="TOC1"/>
        <w:tabs>
          <w:tab w:val="right" w:leader="dot" w:pos="7644"/>
        </w:tabs>
        <w:rPr>
          <w:rFonts w:ascii="Calibri" w:hAnsi="Calibri"/>
          <w:b w:val="0"/>
          <w:bCs w:val="0"/>
          <w:caps w:val="0"/>
          <w:noProof/>
          <w:sz w:val="22"/>
          <w:szCs w:val="22"/>
          <w:lang w:eastAsia="sv-SE"/>
        </w:rPr>
      </w:pPr>
      <w:hyperlink w:anchor="_Toc350344301" w:history="1">
        <w:r w:rsidRPr="00D86D50">
          <w:rPr>
            <w:rStyle w:val="Hyperlink"/>
            <w:noProof/>
          </w:rPr>
          <w:t>Troliga A-punkter inför kommande rådsmöten som förväntas godkännas vid Coreper II 2013-03-06.</w:t>
        </w:r>
        <w:r>
          <w:rPr>
            <w:noProof/>
            <w:webHidden/>
          </w:rPr>
          <w:tab/>
        </w:r>
        <w:r>
          <w:rPr>
            <w:noProof/>
            <w:webHidden/>
          </w:rPr>
          <w:fldChar w:fldCharType="begin"/>
        </w:r>
        <w:r>
          <w:rPr>
            <w:noProof/>
            <w:webHidden/>
          </w:rPr>
          <w:instrText xml:space="preserve"> PAGEREF _Toc350344301 \h </w:instrText>
        </w:r>
        <w:r>
          <w:rPr>
            <w:noProof/>
            <w:webHidden/>
          </w:rPr>
        </w:r>
        <w:r>
          <w:rPr>
            <w:noProof/>
            <w:webHidden/>
          </w:rPr>
          <w:fldChar w:fldCharType="separate"/>
        </w:r>
        <w:r>
          <w:rPr>
            <w:noProof/>
            <w:webHidden/>
          </w:rPr>
          <w:t>9</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2" w:history="1">
        <w:r w:rsidRPr="00D86D50">
          <w:rPr>
            <w:rStyle w:val="Hyperlink"/>
            <w:noProof/>
          </w:rPr>
          <w:t>6. Proposal for a Council Regulation on the electronic publication of the Official Journal of the European Union= Adoption</w:t>
        </w:r>
        <w:r>
          <w:rPr>
            <w:noProof/>
            <w:webHidden/>
          </w:rPr>
          <w:tab/>
        </w:r>
        <w:r>
          <w:rPr>
            <w:noProof/>
            <w:webHidden/>
          </w:rPr>
          <w:fldChar w:fldCharType="begin"/>
        </w:r>
        <w:r>
          <w:rPr>
            <w:noProof/>
            <w:webHidden/>
          </w:rPr>
          <w:instrText xml:space="preserve"> PAGEREF _Toc350344302 \h </w:instrText>
        </w:r>
        <w:r>
          <w:rPr>
            <w:noProof/>
            <w:webHidden/>
          </w:rPr>
        </w:r>
        <w:r>
          <w:rPr>
            <w:noProof/>
            <w:webHidden/>
          </w:rPr>
          <w:fldChar w:fldCharType="separate"/>
        </w:r>
        <w:r>
          <w:rPr>
            <w:noProof/>
            <w:webHidden/>
          </w:rPr>
          <w:t>9</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3" w:history="1">
        <w:r w:rsidRPr="00D86D50">
          <w:rPr>
            <w:rStyle w:val="Hyperlink"/>
            <w:noProof/>
          </w:rPr>
          <w:t>7. Council Decision drawing up a list of three temporary Judges for the Civil Service Tribunal</w:t>
        </w:r>
        <w:r>
          <w:rPr>
            <w:noProof/>
            <w:webHidden/>
          </w:rPr>
          <w:tab/>
        </w:r>
        <w:r>
          <w:rPr>
            <w:noProof/>
            <w:webHidden/>
          </w:rPr>
          <w:fldChar w:fldCharType="begin"/>
        </w:r>
        <w:r>
          <w:rPr>
            <w:noProof/>
            <w:webHidden/>
          </w:rPr>
          <w:instrText xml:space="preserve"> PAGEREF _Toc350344303 \h </w:instrText>
        </w:r>
        <w:r>
          <w:rPr>
            <w:noProof/>
            <w:webHidden/>
          </w:rPr>
        </w:r>
        <w:r>
          <w:rPr>
            <w:noProof/>
            <w:webHidden/>
          </w:rPr>
          <w:fldChar w:fldCharType="separate"/>
        </w:r>
        <w:r>
          <w:rPr>
            <w:noProof/>
            <w:webHidden/>
          </w:rPr>
          <w:t>10</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4" w:history="1">
        <w:r w:rsidRPr="00D86D50">
          <w:rPr>
            <w:rStyle w:val="Hyperlink"/>
            <w:noProof/>
          </w:rPr>
          <w:t>8. Council Decision appointing the members of the committee provided for in Article 3(3) of Annex I to the Protocol on the Statute of the Court of Justice of the European Union</w:t>
        </w:r>
        <w:r>
          <w:rPr>
            <w:noProof/>
            <w:webHidden/>
          </w:rPr>
          <w:tab/>
        </w:r>
        <w:r>
          <w:rPr>
            <w:noProof/>
            <w:webHidden/>
          </w:rPr>
          <w:fldChar w:fldCharType="begin"/>
        </w:r>
        <w:r>
          <w:rPr>
            <w:noProof/>
            <w:webHidden/>
          </w:rPr>
          <w:instrText xml:space="preserve"> PAGEREF _Toc350344304 \h </w:instrText>
        </w:r>
        <w:r>
          <w:rPr>
            <w:noProof/>
            <w:webHidden/>
          </w:rPr>
        </w:r>
        <w:r>
          <w:rPr>
            <w:noProof/>
            <w:webHidden/>
          </w:rPr>
          <w:fldChar w:fldCharType="separate"/>
        </w:r>
        <w:r>
          <w:rPr>
            <w:noProof/>
            <w:webHidden/>
          </w:rPr>
          <w:t>10</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5" w:history="1">
        <w:r w:rsidRPr="00D86D50">
          <w:rPr>
            <w:rStyle w:val="Hyperlink"/>
            <w:noProof/>
          </w:rPr>
          <w:t>9. Anti-subsidies = Proposal for a Council Implementing Regulation imposing a countervailing duty on imports of certain organic coated steel products originating in the People's Republic of China</w:t>
        </w:r>
        <w:r>
          <w:rPr>
            <w:noProof/>
            <w:webHidden/>
          </w:rPr>
          <w:tab/>
        </w:r>
        <w:r>
          <w:rPr>
            <w:noProof/>
            <w:webHidden/>
          </w:rPr>
          <w:fldChar w:fldCharType="begin"/>
        </w:r>
        <w:r>
          <w:rPr>
            <w:noProof/>
            <w:webHidden/>
          </w:rPr>
          <w:instrText xml:space="preserve"> PAGEREF _Toc350344305 \h </w:instrText>
        </w:r>
        <w:r>
          <w:rPr>
            <w:noProof/>
            <w:webHidden/>
          </w:rPr>
        </w:r>
        <w:r>
          <w:rPr>
            <w:noProof/>
            <w:webHidden/>
          </w:rPr>
          <w:fldChar w:fldCharType="separate"/>
        </w:r>
        <w:r>
          <w:rPr>
            <w:noProof/>
            <w:webHidden/>
          </w:rPr>
          <w:t>11</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6" w:history="1">
        <w:r w:rsidRPr="00D86D50">
          <w:rPr>
            <w:rStyle w:val="Hyperlink"/>
            <w:noProof/>
          </w:rPr>
          <w:t>10. Anti-dumping = Proposal for a Council Implementing Regulation imposing a definitive anti-dumping duty and collecting definitively the provisional duty imposed on imports of certain organic coated steel products originating in the People's Republic of China</w:t>
        </w:r>
        <w:r>
          <w:rPr>
            <w:noProof/>
            <w:webHidden/>
          </w:rPr>
          <w:tab/>
        </w:r>
        <w:r>
          <w:rPr>
            <w:noProof/>
            <w:webHidden/>
          </w:rPr>
          <w:fldChar w:fldCharType="begin"/>
        </w:r>
        <w:r>
          <w:rPr>
            <w:noProof/>
            <w:webHidden/>
          </w:rPr>
          <w:instrText xml:space="preserve"> PAGEREF _Toc350344306 \h </w:instrText>
        </w:r>
        <w:r>
          <w:rPr>
            <w:noProof/>
            <w:webHidden/>
          </w:rPr>
        </w:r>
        <w:r>
          <w:rPr>
            <w:noProof/>
            <w:webHidden/>
          </w:rPr>
          <w:fldChar w:fldCharType="separate"/>
        </w:r>
        <w:r>
          <w:rPr>
            <w:noProof/>
            <w:webHidden/>
          </w:rPr>
          <w:t>11</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7" w:history="1">
        <w:r w:rsidRPr="00D86D50">
          <w:rPr>
            <w:rStyle w:val="Hyperlink"/>
            <w:noProof/>
          </w:rPr>
          <w:t>11. Anti-dumping = Proposal for a Council Implementing Regulation imposing a definitive anti-dumping duty and collecting definitively the provisional duty imposed on imports of certain aluminium foils in rolls originating in the People's Republic of China</w:t>
        </w:r>
        <w:r>
          <w:rPr>
            <w:noProof/>
            <w:webHidden/>
          </w:rPr>
          <w:tab/>
        </w:r>
        <w:r>
          <w:rPr>
            <w:noProof/>
            <w:webHidden/>
          </w:rPr>
          <w:fldChar w:fldCharType="begin"/>
        </w:r>
        <w:r>
          <w:rPr>
            <w:noProof/>
            <w:webHidden/>
          </w:rPr>
          <w:instrText xml:space="preserve"> PAGEREF _Toc350344307 \h </w:instrText>
        </w:r>
        <w:r>
          <w:rPr>
            <w:noProof/>
            <w:webHidden/>
          </w:rPr>
        </w:r>
        <w:r>
          <w:rPr>
            <w:noProof/>
            <w:webHidden/>
          </w:rPr>
          <w:fldChar w:fldCharType="separate"/>
        </w:r>
        <w:r>
          <w:rPr>
            <w:noProof/>
            <w:webHidden/>
          </w:rPr>
          <w:t>12</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8" w:history="1">
        <w:r w:rsidRPr="00D86D50">
          <w:rPr>
            <w:rStyle w:val="Hyperlink"/>
            <w:noProof/>
          </w:rPr>
          <w:t>12. Council Decision of ... amending Decision 1999/70/EC concerning the external auditors of the national central banks, as regards the external auditors of the Central Bank of Cyprus</w:t>
        </w:r>
        <w:r>
          <w:rPr>
            <w:noProof/>
            <w:webHidden/>
          </w:rPr>
          <w:tab/>
        </w:r>
        <w:r>
          <w:rPr>
            <w:noProof/>
            <w:webHidden/>
          </w:rPr>
          <w:fldChar w:fldCharType="begin"/>
        </w:r>
        <w:r>
          <w:rPr>
            <w:noProof/>
            <w:webHidden/>
          </w:rPr>
          <w:instrText xml:space="preserve"> PAGEREF _Toc350344308 \h </w:instrText>
        </w:r>
        <w:r>
          <w:rPr>
            <w:noProof/>
            <w:webHidden/>
          </w:rPr>
        </w:r>
        <w:r>
          <w:rPr>
            <w:noProof/>
            <w:webHidden/>
          </w:rPr>
          <w:fldChar w:fldCharType="separate"/>
        </w:r>
        <w:r>
          <w:rPr>
            <w:noProof/>
            <w:webHidden/>
          </w:rPr>
          <w:t>12</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09" w:history="1">
        <w:r w:rsidRPr="00D86D50">
          <w:rPr>
            <w:rStyle w:val="Hyperlink"/>
            <w:noProof/>
          </w:rPr>
          <w:t>13. Council Decision establishing the position to be adopted, on behalf of the Union, within the International Grains Council with respect to the extension of the Grains Trade Convention 1995 = Adoption</w:t>
        </w:r>
        <w:r>
          <w:rPr>
            <w:noProof/>
            <w:webHidden/>
          </w:rPr>
          <w:tab/>
        </w:r>
        <w:r>
          <w:rPr>
            <w:noProof/>
            <w:webHidden/>
          </w:rPr>
          <w:fldChar w:fldCharType="begin"/>
        </w:r>
        <w:r>
          <w:rPr>
            <w:noProof/>
            <w:webHidden/>
          </w:rPr>
          <w:instrText xml:space="preserve"> PAGEREF _Toc350344309 \h </w:instrText>
        </w:r>
        <w:r>
          <w:rPr>
            <w:noProof/>
            <w:webHidden/>
          </w:rPr>
        </w:r>
        <w:r>
          <w:rPr>
            <w:noProof/>
            <w:webHidden/>
          </w:rPr>
          <w:fldChar w:fldCharType="separate"/>
        </w:r>
        <w:r>
          <w:rPr>
            <w:noProof/>
            <w:webHidden/>
          </w:rPr>
          <w:t>13</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10" w:history="1">
        <w:r w:rsidRPr="00D86D50">
          <w:rPr>
            <w:rStyle w:val="Hyperlink"/>
            <w:noProof/>
          </w:rPr>
          <w:t>14. Council Decision establishing the position to be adopted, on behalf of the Union, within the International Sugar Council as regards the extension of the International Sugar Agreement 1992 = Adoption</w:t>
        </w:r>
        <w:r>
          <w:rPr>
            <w:noProof/>
            <w:webHidden/>
          </w:rPr>
          <w:tab/>
        </w:r>
        <w:r>
          <w:rPr>
            <w:noProof/>
            <w:webHidden/>
          </w:rPr>
          <w:fldChar w:fldCharType="begin"/>
        </w:r>
        <w:r>
          <w:rPr>
            <w:noProof/>
            <w:webHidden/>
          </w:rPr>
          <w:instrText xml:space="preserve"> PAGEREF _Toc350344310 \h </w:instrText>
        </w:r>
        <w:r>
          <w:rPr>
            <w:noProof/>
            <w:webHidden/>
          </w:rPr>
        </w:r>
        <w:r>
          <w:rPr>
            <w:noProof/>
            <w:webHidden/>
          </w:rPr>
          <w:fldChar w:fldCharType="separate"/>
        </w:r>
        <w:r>
          <w:rPr>
            <w:noProof/>
            <w:webHidden/>
          </w:rPr>
          <w:t>13</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11" w:history="1">
        <w:r w:rsidRPr="00D86D50">
          <w:rPr>
            <w:rStyle w:val="Hyperlink"/>
            <w:noProof/>
          </w:rPr>
          <w:t>15. Updated Common Military List of the European Union (equipment covered by the Council Common Position 2008/944/CFSP defining common rules governing the control of exports of military technology and equipment) = Adoption</w:t>
        </w:r>
        <w:r>
          <w:rPr>
            <w:noProof/>
            <w:webHidden/>
          </w:rPr>
          <w:tab/>
        </w:r>
        <w:r>
          <w:rPr>
            <w:noProof/>
            <w:webHidden/>
          </w:rPr>
          <w:fldChar w:fldCharType="begin"/>
        </w:r>
        <w:r>
          <w:rPr>
            <w:noProof/>
            <w:webHidden/>
          </w:rPr>
          <w:instrText xml:space="preserve"> PAGEREF _Toc350344311 \h </w:instrText>
        </w:r>
        <w:r>
          <w:rPr>
            <w:noProof/>
            <w:webHidden/>
          </w:rPr>
        </w:r>
        <w:r>
          <w:rPr>
            <w:noProof/>
            <w:webHidden/>
          </w:rPr>
          <w:fldChar w:fldCharType="separate"/>
        </w:r>
        <w:r>
          <w:rPr>
            <w:noProof/>
            <w:webHidden/>
          </w:rPr>
          <w:t>14</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12" w:history="1">
        <w:r w:rsidRPr="00D86D50">
          <w:rPr>
            <w:rStyle w:val="Hyperlink"/>
            <w:noProof/>
          </w:rPr>
          <w:t>16. Council Decision establishing a European Security and Defence College (ESDC) and repealing Joint Action 2008/550/CFSP</w:t>
        </w:r>
        <w:r>
          <w:rPr>
            <w:noProof/>
            <w:webHidden/>
          </w:rPr>
          <w:tab/>
        </w:r>
        <w:r>
          <w:rPr>
            <w:noProof/>
            <w:webHidden/>
          </w:rPr>
          <w:fldChar w:fldCharType="begin"/>
        </w:r>
        <w:r>
          <w:rPr>
            <w:noProof/>
            <w:webHidden/>
          </w:rPr>
          <w:instrText xml:space="preserve"> PAGEREF _Toc350344312 \h </w:instrText>
        </w:r>
        <w:r>
          <w:rPr>
            <w:noProof/>
            <w:webHidden/>
          </w:rPr>
        </w:r>
        <w:r>
          <w:rPr>
            <w:noProof/>
            <w:webHidden/>
          </w:rPr>
          <w:fldChar w:fldCharType="separate"/>
        </w:r>
        <w:r>
          <w:rPr>
            <w:noProof/>
            <w:webHidden/>
          </w:rPr>
          <w:t>14</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13" w:history="1">
        <w:r w:rsidRPr="00D86D50">
          <w:rPr>
            <w:rStyle w:val="Hyperlink"/>
            <w:noProof/>
          </w:rPr>
          <w:t>17. Proposal for a Council Decision establishing a Multiannual Framework for the European Union Agency for Fundamental Rights for 2013-2017 = Adoption of the legislative act</w:t>
        </w:r>
        <w:r>
          <w:rPr>
            <w:noProof/>
            <w:webHidden/>
          </w:rPr>
          <w:tab/>
        </w:r>
        <w:r>
          <w:rPr>
            <w:noProof/>
            <w:webHidden/>
          </w:rPr>
          <w:fldChar w:fldCharType="begin"/>
        </w:r>
        <w:r>
          <w:rPr>
            <w:noProof/>
            <w:webHidden/>
          </w:rPr>
          <w:instrText xml:space="preserve"> PAGEREF _Toc350344313 \h </w:instrText>
        </w:r>
        <w:r>
          <w:rPr>
            <w:noProof/>
            <w:webHidden/>
          </w:rPr>
        </w:r>
        <w:r>
          <w:rPr>
            <w:noProof/>
            <w:webHidden/>
          </w:rPr>
          <w:fldChar w:fldCharType="separate"/>
        </w:r>
        <w:r>
          <w:rPr>
            <w:noProof/>
            <w:webHidden/>
          </w:rPr>
          <w:t>15</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14" w:history="1">
        <w:r w:rsidRPr="00D86D50">
          <w:rPr>
            <w:rStyle w:val="Hyperlink"/>
            <w:noProof/>
          </w:rPr>
          <w:t>18. Iran - Council Decision amending Decision 2011/235/CFSP concerning restrictive measures directed against certain persons and entities in view of the situation in Iran - Council implementing Regulation implementing Article 12(1)of Regulation (EU) No 359/2011 concerning restrictive measures directed against certain persons, entities and bodies in view of the situation in Iran</w:t>
        </w:r>
        <w:r>
          <w:rPr>
            <w:noProof/>
            <w:webHidden/>
          </w:rPr>
          <w:tab/>
        </w:r>
        <w:r>
          <w:rPr>
            <w:noProof/>
            <w:webHidden/>
          </w:rPr>
          <w:fldChar w:fldCharType="begin"/>
        </w:r>
        <w:r>
          <w:rPr>
            <w:noProof/>
            <w:webHidden/>
          </w:rPr>
          <w:instrText xml:space="preserve"> PAGEREF _Toc350344314 \h </w:instrText>
        </w:r>
        <w:r>
          <w:rPr>
            <w:noProof/>
            <w:webHidden/>
          </w:rPr>
        </w:r>
        <w:r>
          <w:rPr>
            <w:noProof/>
            <w:webHidden/>
          </w:rPr>
          <w:fldChar w:fldCharType="separate"/>
        </w:r>
        <w:r>
          <w:rPr>
            <w:noProof/>
            <w:webHidden/>
          </w:rPr>
          <w:t>16</w:t>
        </w:r>
        <w:r>
          <w:rPr>
            <w:noProof/>
            <w:webHidden/>
          </w:rPr>
          <w:fldChar w:fldCharType="end"/>
        </w:r>
      </w:hyperlink>
    </w:p>
    <w:p w:rsidR="00856167" w:rsidRDefault="00856167">
      <w:pPr>
        <w:pStyle w:val="TOC1"/>
        <w:tabs>
          <w:tab w:val="right" w:leader="dot" w:pos="7644"/>
        </w:tabs>
        <w:rPr>
          <w:rFonts w:ascii="Calibri" w:hAnsi="Calibri"/>
          <w:b w:val="0"/>
          <w:bCs w:val="0"/>
          <w:caps w:val="0"/>
          <w:noProof/>
          <w:sz w:val="22"/>
          <w:szCs w:val="22"/>
          <w:lang w:eastAsia="sv-SE"/>
        </w:rPr>
      </w:pPr>
      <w:hyperlink w:anchor="_Toc350344315" w:history="1">
        <w:r w:rsidRPr="00D86D50">
          <w:rPr>
            <w:rStyle w:val="Hyperlink"/>
            <w:noProof/>
          </w:rPr>
          <w:t>Färdigförhandlad II-punkt från möte i Coreper II 2013-02-20 som kan tas som A-punkt vid kommande rådsmöte</w:t>
        </w:r>
        <w:r>
          <w:rPr>
            <w:noProof/>
            <w:webHidden/>
          </w:rPr>
          <w:tab/>
        </w:r>
        <w:r>
          <w:rPr>
            <w:noProof/>
            <w:webHidden/>
          </w:rPr>
          <w:fldChar w:fldCharType="begin"/>
        </w:r>
        <w:r>
          <w:rPr>
            <w:noProof/>
            <w:webHidden/>
          </w:rPr>
          <w:instrText xml:space="preserve"> PAGEREF _Toc350344315 \h </w:instrText>
        </w:r>
        <w:r>
          <w:rPr>
            <w:noProof/>
            <w:webHidden/>
          </w:rPr>
        </w:r>
        <w:r>
          <w:rPr>
            <w:noProof/>
            <w:webHidden/>
          </w:rPr>
          <w:fldChar w:fldCharType="separate"/>
        </w:r>
        <w:r>
          <w:rPr>
            <w:noProof/>
            <w:webHidden/>
          </w:rPr>
          <w:t>17</w:t>
        </w:r>
        <w:r>
          <w:rPr>
            <w:noProof/>
            <w:webHidden/>
          </w:rPr>
          <w:fldChar w:fldCharType="end"/>
        </w:r>
      </w:hyperlink>
    </w:p>
    <w:p w:rsidR="00856167" w:rsidRDefault="00856167">
      <w:pPr>
        <w:pStyle w:val="TOC2"/>
        <w:tabs>
          <w:tab w:val="right" w:leader="dot" w:pos="7644"/>
        </w:tabs>
        <w:rPr>
          <w:rFonts w:ascii="Calibri" w:hAnsi="Calibri"/>
          <w:b w:val="0"/>
          <w:bCs w:val="0"/>
          <w:noProof/>
          <w:sz w:val="22"/>
          <w:szCs w:val="22"/>
          <w:lang w:eastAsia="sv-SE"/>
        </w:rPr>
      </w:pPr>
      <w:hyperlink w:anchor="_Toc350344316" w:history="1">
        <w:r w:rsidRPr="00D86D50">
          <w:rPr>
            <w:rStyle w:val="Hyperlink"/>
            <w:noProof/>
          </w:rPr>
          <w:t>19. Lagstiftningspaketet om sammanhållningspolitiken [första behandlingen] = Delar i en partiell allmän riktlinje</w:t>
        </w:r>
        <w:r>
          <w:rPr>
            <w:noProof/>
            <w:webHidden/>
          </w:rPr>
          <w:tab/>
        </w:r>
        <w:r>
          <w:rPr>
            <w:noProof/>
            <w:webHidden/>
          </w:rPr>
          <w:fldChar w:fldCharType="begin"/>
        </w:r>
        <w:r>
          <w:rPr>
            <w:noProof/>
            <w:webHidden/>
          </w:rPr>
          <w:instrText xml:space="preserve"> PAGEREF _Toc350344316 \h </w:instrText>
        </w:r>
        <w:r>
          <w:rPr>
            <w:noProof/>
            <w:webHidden/>
          </w:rPr>
        </w:r>
        <w:r>
          <w:rPr>
            <w:noProof/>
            <w:webHidden/>
          </w:rPr>
          <w:fldChar w:fldCharType="separate"/>
        </w:r>
        <w:r>
          <w:rPr>
            <w:noProof/>
            <w:webHidden/>
          </w:rPr>
          <w:t>17</w:t>
        </w:r>
        <w:r>
          <w:rPr>
            <w:noProof/>
            <w:webHidden/>
          </w:rPr>
          <w:fldChar w:fldCharType="end"/>
        </w:r>
      </w:hyperlink>
    </w:p>
    <w:p w:rsidR="00856167" w:rsidRDefault="00856167" w:rsidP="00716AE7">
      <w:pPr>
        <w:pStyle w:val="Heading1"/>
      </w:pPr>
      <w:r>
        <w:rPr>
          <w:b w:val="0"/>
          <w:bCs/>
        </w:rPr>
        <w:fldChar w:fldCharType="end"/>
      </w: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0344294"/>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56167" w:rsidRDefault="00856167" w:rsidP="00716AE7">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5" w:name="Punkt"/>
      <w:bookmarkEnd w:id="55"/>
    </w:p>
    <w:p w:rsidR="00856167" w:rsidRPr="00B345E1" w:rsidRDefault="00856167" w:rsidP="00235D24">
      <w:pPr>
        <w:pStyle w:val="Heading1"/>
      </w:pPr>
      <w:bookmarkStart w:id="56" w:name="_Toc350344295"/>
      <w:r>
        <w:t>Troliga A-punkter inför kommande rådsmöten som förväntas godkännas vid Coreper I 2013-03-06.</w:t>
      </w:r>
      <w:bookmarkEnd w:id="56"/>
    </w:p>
    <w:p w:rsidR="00856167" w:rsidRDefault="00856167" w:rsidP="003C17F9">
      <w:pPr>
        <w:pStyle w:val="Heading2"/>
      </w:pPr>
      <w:bookmarkStart w:id="57" w:name="_Toc350344296"/>
      <w:r>
        <w:t>1. Replies to written questions put to the Council by Members of the European Parliament</w:t>
      </w:r>
      <w:bookmarkEnd w:id="57"/>
    </w:p>
    <w:p w:rsidR="00856167" w:rsidRPr="003C17F9" w:rsidRDefault="00856167" w:rsidP="00B345E1">
      <w:r>
        <w:t>(a) n° E-010625/2012 put by Willy Meyer "UN Resolution on the embargo on Cuba" (b) n° E-000088/2013 put by Daniël van der Stoep "Suspension of Greece's voting rights" (c) n° E-000377/2013 put by Vilija Blinkeviciute "Protection of workers' rights and combating discrimination" (d) n° E-000378/2013 put by Vilija Blinkeviciute "Anti-discrimination Directive and the future of negotiations" (e) n° E-000433/2013 put by Martin Ehrenhauser "Commission tendering procedure on PIUs" (f) n° E-000453/2013 put by Andrew Henry William Brons "Public image of the President of the European Council"</w:t>
      </w:r>
    </w:p>
    <w:p w:rsidR="00856167" w:rsidRDefault="00856167">
      <w:pPr>
        <w:pStyle w:val="RKnormal"/>
        <w:tabs>
          <w:tab w:val="clear" w:pos="1843"/>
          <w:tab w:val="left" w:pos="0"/>
        </w:tabs>
        <w:ind w:left="0"/>
      </w:pPr>
    </w:p>
    <w:p w:rsidR="00856167" w:rsidRPr="003C17F9" w:rsidRDefault="00856167" w:rsidP="003C17F9">
      <w:r>
        <w:t>6836/13, 6290/13, 6260/13, 6261/13, 6173/13, 6286/13</w:t>
      </w:r>
    </w:p>
    <w:p w:rsidR="00856167" w:rsidRDefault="00856167">
      <w:pPr>
        <w:pStyle w:val="RKnormal"/>
        <w:tabs>
          <w:tab w:val="clear" w:pos="1843"/>
          <w:tab w:val="left" w:pos="0"/>
        </w:tabs>
        <w:ind w:left="0"/>
      </w:pPr>
    </w:p>
    <w:p w:rsidR="00856167" w:rsidRPr="003C17F9" w:rsidRDefault="00856167" w:rsidP="003C17F9">
      <w:r>
        <w:t>Ansvarigt departement: Statsrådsberedningen</w:t>
      </w:r>
    </w:p>
    <w:p w:rsidR="00856167" w:rsidRDefault="00856167">
      <w:pPr>
        <w:pStyle w:val="RKnormal"/>
        <w:tabs>
          <w:tab w:val="clear" w:pos="1843"/>
          <w:tab w:val="left" w:pos="0"/>
        </w:tabs>
        <w:ind w:left="0"/>
      </w:pPr>
    </w:p>
    <w:p w:rsidR="00856167" w:rsidRPr="003C17F9" w:rsidRDefault="00856167" w:rsidP="003C17F9">
      <w:r>
        <w:t>Ansvarigt statsråd: Birgitta Ohlsson</w:t>
      </w:r>
    </w:p>
    <w:p w:rsidR="00856167" w:rsidRDefault="00856167">
      <w:pPr>
        <w:pStyle w:val="RKnormal"/>
        <w:tabs>
          <w:tab w:val="clear" w:pos="1843"/>
          <w:tab w:val="left" w:pos="0"/>
        </w:tabs>
        <w:ind w:left="0"/>
      </w:pPr>
    </w:p>
    <w:p w:rsidR="00856167" w:rsidRPr="003C17F9" w:rsidRDefault="00856167" w:rsidP="003C17F9">
      <w:r>
        <w:t>Förväntas godkännas av Coreper I den 6 mars 2013</w:t>
      </w:r>
    </w:p>
    <w:p w:rsidR="00856167" w:rsidRDefault="00856167">
      <w:pPr>
        <w:pStyle w:val="RKnormal"/>
        <w:tabs>
          <w:tab w:val="clear" w:pos="1843"/>
          <w:tab w:val="left" w:pos="0"/>
        </w:tabs>
        <w:ind w:left="0"/>
      </w:pPr>
    </w:p>
    <w:p w:rsidR="00856167" w:rsidRDefault="00856167" w:rsidP="00B345E1">
      <w:r>
        <w:t>Föranleder ingen annotering.</w:t>
      </w:r>
    </w:p>
    <w:p w:rsidR="00856167" w:rsidRDefault="00856167">
      <w:pPr>
        <w:spacing w:line="240" w:lineRule="auto"/>
      </w:pPr>
      <w:r>
        <w:br w:type="page"/>
      </w:r>
    </w:p>
    <w:p w:rsidR="00856167" w:rsidRDefault="00856167" w:rsidP="00235D24">
      <w:pPr>
        <w:pStyle w:val="Heading2"/>
      </w:pPr>
      <w:bookmarkStart w:id="58" w:name="_Toc350344297"/>
      <w:r>
        <w:t xml:space="preserve">2. Proposal for a Council Decision amending Council Decision 2000/125/EC of 31 January 2000 concerning the conclusion of the Agreement concerning the establishing of global technical regulations for wheeled vehicles, equipment and parts which can be fitted and/or be used on wheeled vehicles (Parallel Agreement) </w:t>
      </w:r>
      <w:r w:rsidRPr="00883AE7">
        <w:t>= Request by the Council for the consent of the European Parliament</w:t>
      </w:r>
      <w:bookmarkEnd w:id="58"/>
    </w:p>
    <w:p w:rsidR="00856167" w:rsidRPr="003C17F9" w:rsidRDefault="00856167" w:rsidP="003C17F9">
      <w:r>
        <w:t>5781/13, 5975/13</w:t>
      </w:r>
    </w:p>
    <w:p w:rsidR="00856167" w:rsidRDefault="00856167">
      <w:pPr>
        <w:pStyle w:val="RKnormal"/>
        <w:tabs>
          <w:tab w:val="clear" w:pos="1843"/>
          <w:tab w:val="left" w:pos="0"/>
        </w:tabs>
        <w:ind w:left="0"/>
      </w:pPr>
    </w:p>
    <w:p w:rsidR="00856167" w:rsidRPr="003C17F9" w:rsidRDefault="00856167" w:rsidP="003C17F9">
      <w:r>
        <w:t>Ansvarigt departement: Näringsdepartementet</w:t>
      </w:r>
    </w:p>
    <w:p w:rsidR="00856167" w:rsidRDefault="00856167">
      <w:pPr>
        <w:pStyle w:val="RKnormal"/>
        <w:tabs>
          <w:tab w:val="clear" w:pos="1843"/>
          <w:tab w:val="left" w:pos="0"/>
        </w:tabs>
        <w:ind w:left="0"/>
      </w:pPr>
    </w:p>
    <w:p w:rsidR="00856167" w:rsidRPr="003C17F9" w:rsidRDefault="00856167" w:rsidP="003C17F9">
      <w:r>
        <w:t>Ansvarigt statsråd: Catharina Elmsäter-Svärd</w:t>
      </w:r>
    </w:p>
    <w:p w:rsidR="00856167" w:rsidRDefault="00856167">
      <w:pPr>
        <w:pStyle w:val="RKnormal"/>
        <w:tabs>
          <w:tab w:val="clear" w:pos="1843"/>
          <w:tab w:val="left" w:pos="0"/>
        </w:tabs>
        <w:ind w:left="0"/>
      </w:pPr>
    </w:p>
    <w:p w:rsidR="00856167" w:rsidRPr="003C17F9" w:rsidRDefault="00856167" w:rsidP="003C17F9">
      <w:r>
        <w:t>Förväntas godkännas av Coreper I den 6 mars 2013</w:t>
      </w: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Förslag till ändringar i ECE reglementen.</w:t>
      </w:r>
    </w:p>
    <w:p w:rsidR="00856167" w:rsidRDefault="00856167" w:rsidP="003C17F9"/>
    <w:p w:rsidR="00856167" w:rsidRDefault="00856167" w:rsidP="003C17F9">
      <w:r>
        <w:t xml:space="preserve">Hur regeringen ställer sig till den blivande A-punkten: </w:t>
      </w:r>
    </w:p>
    <w:p w:rsidR="00856167" w:rsidRDefault="00856167" w:rsidP="003C17F9">
      <w:r>
        <w:t xml:space="preserve">Den föreslagna överenskommelsen kan bekräftas. </w:t>
      </w:r>
    </w:p>
    <w:p w:rsidR="00856167" w:rsidRDefault="00856167" w:rsidP="003C17F9"/>
    <w:p w:rsidR="00856167" w:rsidRDefault="00856167" w:rsidP="003C17F9">
      <w:r>
        <w:t xml:space="preserve">Bakgrund: </w:t>
      </w:r>
    </w:p>
    <w:p w:rsidR="00856167" w:rsidRDefault="00856167" w:rsidP="003C17F9">
      <w:r>
        <w:t>Kommissionen lade fram det ovannämnda förslaget för rådet den 4 maj 2012. Arbetsgruppen för teknisk harmonisering (motorfordon) behandlade detta förslag vid tre tillfällen: den 12 juli, 18 september och 17 december 2012. Vid det sistnämnda mötet nådde arbetsgruppen en enhällig överenskommelse om texten i bilagan</w:t>
      </w:r>
    </w:p>
    <w:p w:rsidR="00856167" w:rsidRDefault="00856167" w:rsidP="003C17F9"/>
    <w:p w:rsidR="00856167" w:rsidRDefault="00856167" w:rsidP="003C17F9">
      <w:r>
        <w:t>Förslaget syftar till att anpassa rådets beslut 2000/125/EG till de beslutsförfaranden som fastställs i fördraget om Europeiska unionens funktionssätt för internationella avtal som ingås av EU.</w:t>
      </w:r>
    </w:p>
    <w:p w:rsidR="00856167" w:rsidRDefault="00856167" w:rsidP="003C17F9"/>
    <w:p w:rsidR="00856167" w:rsidRDefault="00856167" w:rsidP="00B345E1">
      <w:r>
        <w:t xml:space="preserve">På internationell nivå utvecklar UNECE harmoniserade krav för att motverka tekniska barriärer i handeln med motor fordon mellan de parter som undertecknat 1958 års FN/ECE-överenskommelse om tekniska föreskrifter för hjulförsedda fordon. EU är kontraktspartner och röstar för medlemsstaterna. </w:t>
      </w:r>
    </w:p>
    <w:p w:rsidR="00856167" w:rsidRDefault="00856167">
      <w:pPr>
        <w:spacing w:line="240" w:lineRule="auto"/>
      </w:pPr>
      <w:r>
        <w:br w:type="page"/>
      </w:r>
    </w:p>
    <w:p w:rsidR="00856167" w:rsidRDefault="00856167" w:rsidP="00B345E1">
      <w:pPr>
        <w:pStyle w:val="Heading2"/>
      </w:pPr>
      <w:bookmarkStart w:id="59" w:name="_Toc350344298"/>
      <w:r>
        <w:t>3. Proposal for a Council Decision amending Decision 97/836/EC with a view to accession by the European Community to the Agreement of the United Nations Economic Commission for Europe concerning the adoption of uniform technical prescriptions for wheeled vehicles, equipment and parts which can be fitted to and/or be used on wheeled vehicles and the conditions for reciprocal recognition of approvals granted on the basis of these prescriptions (Revised 1958 Agreement)= Request by the Council for the consent of the European Parliament</w:t>
      </w:r>
      <w:bookmarkEnd w:id="59"/>
    </w:p>
    <w:p w:rsidR="00856167" w:rsidRPr="003C17F9" w:rsidRDefault="00856167" w:rsidP="003C17F9">
      <w:r>
        <w:t>5783/13, 5978/13</w:t>
      </w:r>
    </w:p>
    <w:p w:rsidR="00856167" w:rsidRDefault="00856167">
      <w:pPr>
        <w:pStyle w:val="RKnormal"/>
        <w:tabs>
          <w:tab w:val="clear" w:pos="1843"/>
          <w:tab w:val="left" w:pos="0"/>
        </w:tabs>
        <w:ind w:left="0"/>
      </w:pPr>
    </w:p>
    <w:p w:rsidR="00856167" w:rsidRPr="003C17F9" w:rsidRDefault="00856167" w:rsidP="003C17F9">
      <w:r>
        <w:t>Ansvarigt departement: Näringsdepartementet</w:t>
      </w:r>
    </w:p>
    <w:p w:rsidR="00856167" w:rsidRDefault="00856167">
      <w:pPr>
        <w:pStyle w:val="RKnormal"/>
        <w:tabs>
          <w:tab w:val="clear" w:pos="1843"/>
          <w:tab w:val="left" w:pos="0"/>
        </w:tabs>
        <w:ind w:left="0"/>
      </w:pPr>
    </w:p>
    <w:p w:rsidR="00856167" w:rsidRPr="003C17F9" w:rsidRDefault="00856167" w:rsidP="003C17F9">
      <w:r>
        <w:t>Ansvarigt statsråd: Catharina Elmsäter-Svärd</w:t>
      </w:r>
    </w:p>
    <w:p w:rsidR="00856167" w:rsidRDefault="00856167">
      <w:pPr>
        <w:pStyle w:val="RKnormal"/>
        <w:tabs>
          <w:tab w:val="clear" w:pos="1843"/>
          <w:tab w:val="left" w:pos="0"/>
        </w:tabs>
        <w:ind w:left="0"/>
      </w:pPr>
    </w:p>
    <w:p w:rsidR="00856167" w:rsidRPr="003C17F9" w:rsidRDefault="00856167" w:rsidP="003C17F9">
      <w:r>
        <w:t>Förväntas godkännas av Coreper I den 6 mars 2013</w:t>
      </w: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Förslag till ändringar i ECE reglementen.</w:t>
      </w:r>
    </w:p>
    <w:p w:rsidR="00856167" w:rsidRDefault="00856167" w:rsidP="003C17F9"/>
    <w:p w:rsidR="00856167" w:rsidRDefault="00856167" w:rsidP="003C17F9">
      <w:r>
        <w:t xml:space="preserve">Hur regeringen ställer sig till den blivande A-punkten: </w:t>
      </w:r>
    </w:p>
    <w:p w:rsidR="00856167" w:rsidRDefault="00856167" w:rsidP="003C17F9">
      <w:r>
        <w:t xml:space="preserve">Den föreslagna överenskommelsen kan bekräftas. </w:t>
      </w:r>
    </w:p>
    <w:p w:rsidR="00856167" w:rsidRDefault="00856167" w:rsidP="003C17F9"/>
    <w:p w:rsidR="00856167" w:rsidRDefault="00856167" w:rsidP="003C17F9">
      <w:r>
        <w:t xml:space="preserve">Bakgrund: </w:t>
      </w:r>
    </w:p>
    <w:p w:rsidR="00856167" w:rsidRDefault="00856167" w:rsidP="003C17F9">
      <w:r>
        <w:t>Kommissionen lade fram det ovannämnda förslaget för rådet den 4 maj 2012. Arbetsgruppen för teknisk harmonisering (motorfordon) behandlade detta förslag vid tre tillfällen: den 12 juli, 18 september och 17 december 2012. Vid det sistnämnda mötet nådde arbetsgruppen en enhällig överenskommelse om texten i bilagan</w:t>
      </w:r>
    </w:p>
    <w:p w:rsidR="00856167" w:rsidRDefault="00856167" w:rsidP="003C17F9"/>
    <w:p w:rsidR="00856167" w:rsidRDefault="00856167" w:rsidP="003C17F9">
      <w:r>
        <w:t>Förslaget syftar till att anpassa rådets beslut 97/836/EG till de beslutsförfaranden som fastställs i fördraget om Europeiska unionens funktionssätt för internationella avtal som ingås av EU.</w:t>
      </w:r>
    </w:p>
    <w:p w:rsidR="00856167" w:rsidRDefault="00856167" w:rsidP="00B345E1">
      <w:r>
        <w:t xml:space="preserve">På internationell nivå utvecklar UNECE harmoniserade krav för att motverka tekniska barriärer i handeln med motor fordon mellan de parter som undertecknat 1958 års FN/ECE-överenskommelse om tekniska föreskrifter för hjulförsedda fordon. EU är kontraktspartner och röstar för medlemsstaterna. </w:t>
      </w:r>
    </w:p>
    <w:p w:rsidR="00856167" w:rsidRDefault="00856167" w:rsidP="00B345E1">
      <w:pPr>
        <w:pStyle w:val="Heading2"/>
      </w:pPr>
      <w:bookmarkStart w:id="60" w:name="_Toc350344299"/>
      <w:r>
        <w:t>4. Commission Decision establishing the ecological criteria for the award of the EU Ecolabel for sanitary tap ware= Decision not to oppose adoption</w:t>
      </w:r>
      <w:bookmarkEnd w:id="60"/>
    </w:p>
    <w:p w:rsidR="00856167" w:rsidRPr="003C17F9" w:rsidRDefault="00856167" w:rsidP="003C17F9">
      <w:r>
        <w:t>5668/13, 6559/13</w:t>
      </w:r>
    </w:p>
    <w:p w:rsidR="00856167" w:rsidRDefault="00856167">
      <w:pPr>
        <w:pStyle w:val="RKnormal"/>
        <w:tabs>
          <w:tab w:val="clear" w:pos="1843"/>
          <w:tab w:val="left" w:pos="0"/>
        </w:tabs>
        <w:ind w:left="0"/>
      </w:pPr>
    </w:p>
    <w:p w:rsidR="00856167" w:rsidRPr="003C17F9" w:rsidRDefault="00856167" w:rsidP="003C17F9">
      <w:r>
        <w:t>Ansvarigt departement: Justitiedepartementet</w:t>
      </w:r>
    </w:p>
    <w:p w:rsidR="00856167" w:rsidRDefault="00856167">
      <w:pPr>
        <w:pStyle w:val="RKnormal"/>
        <w:tabs>
          <w:tab w:val="clear" w:pos="1843"/>
          <w:tab w:val="left" w:pos="0"/>
        </w:tabs>
        <w:ind w:left="0"/>
      </w:pPr>
    </w:p>
    <w:p w:rsidR="00856167" w:rsidRPr="003C17F9" w:rsidRDefault="00856167" w:rsidP="003C17F9">
      <w:r>
        <w:t>Ansvarigt statsråd: Birgitta Ohlsson</w:t>
      </w:r>
    </w:p>
    <w:p w:rsidR="00856167" w:rsidRDefault="00856167">
      <w:pPr>
        <w:pStyle w:val="RKnormal"/>
        <w:tabs>
          <w:tab w:val="clear" w:pos="1843"/>
          <w:tab w:val="left" w:pos="0"/>
        </w:tabs>
        <w:ind w:left="0"/>
      </w:pPr>
    </w:p>
    <w:p w:rsidR="00856167" w:rsidRPr="003C17F9" w:rsidRDefault="00856167" w:rsidP="003C17F9">
      <w:r>
        <w:t>Förväntas godkännas av Coreper I den 6 mars 2013</w:t>
      </w: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 xml:space="preserve">Rådet föreslås inte ha några invändningar mot att anta beslut om kriterier för blandare och duschmunstycken. </w:t>
      </w:r>
    </w:p>
    <w:p w:rsidR="00856167" w:rsidRDefault="00856167" w:rsidP="003C17F9"/>
    <w:p w:rsidR="00856167" w:rsidRDefault="00856167" w:rsidP="003C17F9">
      <w:r>
        <w:t xml:space="preserve">Hur regeringen ställer sig till den blivande A-punkten: </w:t>
      </w:r>
    </w:p>
    <w:p w:rsidR="00856167" w:rsidRDefault="00856167" w:rsidP="003C17F9">
      <w:r>
        <w:t>Regeringen avser att rösta ja till rådets bekräftelse av att det inte har några invändningar mot att anta beslutet.</w:t>
      </w:r>
    </w:p>
    <w:p w:rsidR="00856167" w:rsidRDefault="00856167" w:rsidP="003C17F9"/>
    <w:p w:rsidR="00856167" w:rsidRDefault="00856167" w:rsidP="003C17F9">
      <w:r>
        <w:t xml:space="preserve">Bakgrund: </w:t>
      </w:r>
    </w:p>
    <w:p w:rsidR="00856167" w:rsidRDefault="00856167" w:rsidP="003C17F9">
      <w:r>
        <w:t xml:space="preserve">Kriterierna för blandare och duschmunstycken röstades igenom med kvalificerad majoritet i föreskrivande kommitté i november 2012. Sverige röstade ja till kriterierna. </w:t>
      </w:r>
    </w:p>
    <w:p w:rsidR="00856167" w:rsidRDefault="00856167" w:rsidP="003C17F9"/>
    <w:p w:rsidR="00856167" w:rsidRDefault="00856167" w:rsidP="00A100AB">
      <w:r>
        <w:t xml:space="preserve">EU Ecolabel är det gemensamma frivilliga miljömärkningssystemet inom EU. En ny förordning för EU Ecolabel trädde i kraft i februari 2010. </w:t>
      </w:r>
    </w:p>
    <w:p w:rsidR="00856167" w:rsidRDefault="00856167" w:rsidP="00A100AB">
      <w:pPr>
        <w:pStyle w:val="Heading2"/>
      </w:pPr>
      <w:bookmarkStart w:id="61" w:name="_Toc350344300"/>
      <w:r>
        <w:t>5. Proposal for a Council Decision on the conclusion of the Cooperation Agreement on a civil Global Navigation Satellite System (GNSS) between the European Community and its Member States and Ukraine = Adoption</w:t>
      </w:r>
      <w:bookmarkEnd w:id="61"/>
    </w:p>
    <w:p w:rsidR="00856167" w:rsidRPr="003C17F9" w:rsidRDefault="00856167" w:rsidP="003C17F9">
      <w:r>
        <w:t>6373/13, 6549/13</w:t>
      </w:r>
    </w:p>
    <w:p w:rsidR="00856167" w:rsidRDefault="00856167">
      <w:pPr>
        <w:pStyle w:val="RKnormal"/>
        <w:tabs>
          <w:tab w:val="clear" w:pos="1843"/>
          <w:tab w:val="left" w:pos="0"/>
        </w:tabs>
        <w:ind w:left="0"/>
      </w:pPr>
    </w:p>
    <w:p w:rsidR="00856167" w:rsidRPr="003C17F9" w:rsidRDefault="00856167" w:rsidP="003C17F9">
      <w:r>
        <w:t>Ansvarigt departement: Näringsdepartementet</w:t>
      </w:r>
    </w:p>
    <w:p w:rsidR="00856167" w:rsidRDefault="00856167">
      <w:pPr>
        <w:pStyle w:val="RKnormal"/>
        <w:tabs>
          <w:tab w:val="clear" w:pos="1843"/>
          <w:tab w:val="left" w:pos="0"/>
        </w:tabs>
        <w:ind w:left="0"/>
      </w:pPr>
    </w:p>
    <w:p w:rsidR="00856167" w:rsidRPr="003C17F9" w:rsidRDefault="00856167" w:rsidP="003C17F9">
      <w:r>
        <w:t>Ansvarigt statsråd: Catharina Elmsäter-Svärd</w:t>
      </w:r>
    </w:p>
    <w:p w:rsidR="00856167" w:rsidRDefault="00856167">
      <w:pPr>
        <w:pStyle w:val="RKnormal"/>
        <w:tabs>
          <w:tab w:val="clear" w:pos="1843"/>
          <w:tab w:val="left" w:pos="0"/>
        </w:tabs>
        <w:ind w:left="0"/>
      </w:pPr>
    </w:p>
    <w:p w:rsidR="00856167" w:rsidRPr="003C17F9" w:rsidRDefault="00856167" w:rsidP="003C17F9">
      <w:r>
        <w:t>Förväntas godkännas av Coreper I den 6 mars 2013</w:t>
      </w: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Rådet ska som en A-punkt på dagordningen vid ett kommande möte besluta att översända utkastet till beslut om ingående av avtalet tillsammans med avtalstexten till Europaparlamentet för godkännande.</w:t>
      </w:r>
    </w:p>
    <w:p w:rsidR="00856167" w:rsidRDefault="00856167" w:rsidP="003C17F9"/>
    <w:p w:rsidR="00856167" w:rsidRDefault="00856167" w:rsidP="003C17F9"/>
    <w:p w:rsidR="00856167" w:rsidRDefault="00856167" w:rsidP="003C17F9">
      <w:r>
        <w:t xml:space="preserve">Hur regeringen ställer sig till den blivande A-punkten: </w:t>
      </w:r>
    </w:p>
    <w:p w:rsidR="00856167" w:rsidRDefault="00856167" w:rsidP="003C17F9">
      <w:r>
        <w:t>Regeringen avser godkänna att beslutet och avtalstexten överlämnas till Europaparlamentet.</w:t>
      </w:r>
    </w:p>
    <w:p w:rsidR="00856167" w:rsidRDefault="00856167" w:rsidP="003C17F9"/>
    <w:p w:rsidR="00856167" w:rsidRDefault="00856167" w:rsidP="003C17F9">
      <w:r>
        <w:t xml:space="preserve">Bakgrund: </w:t>
      </w:r>
    </w:p>
    <w:p w:rsidR="00856167" w:rsidRDefault="00856167" w:rsidP="003C17F9">
      <w:r>
        <w:t>Den 7 oktober 2004 tog rådet beslut om bemyndigande för kommissionen att inleda förhandlingar mellan Europeiska gemenskapen och dess medlemsstater, å ena sidan, och Ukraina, å andra sidan, om ingående av ett samarbetsavtal om ett civilt globalt system för satellitnavigering (GNSS). Beslut om undertecknande av samarbetsavtalet om ett civilt globalt system för satellitnavigering (GNSS) antogs av rådet den 14 november 2005. Avtalet undertecknades den 1 december 2005, med förbehåll för att det skulle ingås vid en senare tidpunkt.</w:t>
      </w:r>
    </w:p>
    <w:p w:rsidR="00856167" w:rsidRDefault="00856167" w:rsidP="003C17F9"/>
    <w:p w:rsidR="00856167" w:rsidRDefault="00856167" w:rsidP="00235D24">
      <w:r>
        <w:t>EU bygger för närvarande upp de europeiska satellitnavigeringssystemen Galileo och Egnos. Galileo är att globalt system och därför behöver unionen ingå avtal om samarbete med en rad intresserade tredje länder. Den avtalstext som beslutades redan 2005 ska nu skickas för godkännande av Europaparlamentet för att avtalet därefter ska kunna ingås.</w:t>
      </w:r>
    </w:p>
    <w:p w:rsidR="00856167" w:rsidRPr="00A100AB" w:rsidRDefault="00856167" w:rsidP="00235D24">
      <w:pPr>
        <w:pStyle w:val="Heading1"/>
      </w:pPr>
      <w:bookmarkStart w:id="62" w:name="_Toc350344301"/>
      <w:r>
        <w:t>Troliga A-punkter inför kommande rådsmöten som förväntas godkännas vid Coreper II 2013-03-06.</w:t>
      </w:r>
      <w:bookmarkEnd w:id="62"/>
    </w:p>
    <w:p w:rsidR="00856167" w:rsidRDefault="00856167" w:rsidP="00A100AB">
      <w:pPr>
        <w:pStyle w:val="Heading2"/>
      </w:pPr>
      <w:bookmarkStart w:id="63" w:name="_Toc350344302"/>
      <w:r>
        <w:t>6. Proposal for a Council Regulation on the electronic publication of the Official Journal of the European Union= Adoption</w:t>
      </w:r>
      <w:bookmarkEnd w:id="63"/>
    </w:p>
    <w:p w:rsidR="00856167" w:rsidRPr="003C17F9" w:rsidRDefault="00856167" w:rsidP="003C17F9">
      <w:r>
        <w:t>6622/13, 10222/5/11</w:t>
      </w:r>
    </w:p>
    <w:p w:rsidR="00856167" w:rsidRDefault="00856167">
      <w:pPr>
        <w:pStyle w:val="RKnormal"/>
        <w:tabs>
          <w:tab w:val="clear" w:pos="1843"/>
          <w:tab w:val="left" w:pos="0"/>
        </w:tabs>
        <w:ind w:left="0"/>
      </w:pPr>
    </w:p>
    <w:p w:rsidR="00856167" w:rsidRPr="003C17F9" w:rsidRDefault="00856167" w:rsidP="003C17F9">
      <w:r>
        <w:t>Ansvarigt departement: Justitiedepartementet</w:t>
      </w:r>
    </w:p>
    <w:p w:rsidR="00856167" w:rsidRDefault="00856167">
      <w:pPr>
        <w:pStyle w:val="RKnormal"/>
        <w:tabs>
          <w:tab w:val="clear" w:pos="1843"/>
          <w:tab w:val="left" w:pos="0"/>
        </w:tabs>
        <w:ind w:left="0"/>
      </w:pPr>
    </w:p>
    <w:p w:rsidR="00856167" w:rsidRPr="003C17F9" w:rsidRDefault="00856167" w:rsidP="003C17F9">
      <w:r>
        <w:t>Ansvarigt statsråd: Beatrice Ask</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Rådet föreslås anta förordningen om elektroniskt offentliggörande av Europeiska unionens officiella tidning.</w:t>
      </w:r>
    </w:p>
    <w:p w:rsidR="00856167" w:rsidRDefault="00856167" w:rsidP="003C17F9"/>
    <w:p w:rsidR="00856167" w:rsidRDefault="00856167" w:rsidP="003C17F9">
      <w:r>
        <w:t xml:space="preserve">Hur regeringen ställer sig till den blivande A-punkten: </w:t>
      </w:r>
    </w:p>
    <w:p w:rsidR="00856167" w:rsidRDefault="00856167" w:rsidP="003C17F9">
      <w:r>
        <w:t>Regeringen avser rösta ja till att rådet antar förordningen om elektroniskt offentliggörande av Europeiska unionens officiella tidning.</w:t>
      </w:r>
    </w:p>
    <w:p w:rsidR="00856167" w:rsidRDefault="00856167" w:rsidP="003C17F9"/>
    <w:p w:rsidR="00856167" w:rsidRDefault="00856167" w:rsidP="003C17F9">
      <w:r>
        <w:t xml:space="preserve">Bakgrund: </w:t>
      </w:r>
    </w:p>
    <w:p w:rsidR="00856167" w:rsidRDefault="00856167" w:rsidP="00A100AB">
      <w:r>
        <w:t>Kommissionen lade våren 2011 fram ett förslag till förordning om elektroniskt offentliggörande av EUT. Förslaget behandlades under våren 2011 i rådsarbetsgruppen för e-Law och vid rådets möte i juni 2011. Rådet noterade en allmän överenskommelse om innehållet i den föreslagna förordningen. I mars 2012 godkände Europaparlamentet förslaget. På grund av en medlemsstats parlamentariska reservation har frågan legat vilande. De nationella processerna är nu klara och reservationen har lyfts. Inget nytt har hänt i frågan och svenska regler och svensk budget påverkas inte. För en detaljerad beskrivning - se fakta-PM Justitiedepartementet 2010/11:FPM106.</w:t>
      </w:r>
    </w:p>
    <w:p w:rsidR="00856167" w:rsidRDefault="00856167" w:rsidP="00A100AB">
      <w:pPr>
        <w:pStyle w:val="Heading2"/>
      </w:pPr>
      <w:bookmarkStart w:id="64" w:name="_Toc350344303"/>
      <w:r>
        <w:t>7. Council Decision drawing up a list of three temporary Judges for the Civil Service Tribunal</w:t>
      </w:r>
      <w:bookmarkEnd w:id="64"/>
    </w:p>
    <w:p w:rsidR="00856167" w:rsidRPr="003C17F9" w:rsidRDefault="00856167" w:rsidP="003C17F9">
      <w:r>
        <w:t>6978/13, 6790/13, 6675/13</w:t>
      </w:r>
    </w:p>
    <w:p w:rsidR="00856167" w:rsidRDefault="00856167">
      <w:pPr>
        <w:pStyle w:val="RKnormal"/>
        <w:tabs>
          <w:tab w:val="clear" w:pos="1843"/>
          <w:tab w:val="left" w:pos="0"/>
        </w:tabs>
        <w:ind w:left="0"/>
      </w:pPr>
    </w:p>
    <w:p w:rsidR="00856167" w:rsidRPr="003C17F9" w:rsidRDefault="00856167" w:rsidP="003C17F9">
      <w:r>
        <w:t>Ansvarigt departement: Utrikesdepartementet</w:t>
      </w:r>
    </w:p>
    <w:p w:rsidR="00856167" w:rsidRDefault="00856167">
      <w:pPr>
        <w:pStyle w:val="RKnormal"/>
        <w:tabs>
          <w:tab w:val="clear" w:pos="1843"/>
          <w:tab w:val="left" w:pos="0"/>
        </w:tabs>
        <w:ind w:left="0"/>
      </w:pPr>
    </w:p>
    <w:p w:rsidR="00856167" w:rsidRPr="003C17F9" w:rsidRDefault="00856167" w:rsidP="003C17F9">
      <w:r>
        <w:t>Ansvarigt statsråd: Carl Bildt</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A100AB">
      <w:r>
        <w:t xml:space="preserve">Föranleder inte någon annotering </w:t>
      </w:r>
    </w:p>
    <w:p w:rsidR="00856167" w:rsidRDefault="00856167" w:rsidP="00A100AB">
      <w:pPr>
        <w:pStyle w:val="Heading2"/>
      </w:pPr>
      <w:bookmarkStart w:id="65" w:name="_Toc350344304"/>
      <w:r>
        <w:t>8. Council Decision appointing the members of the committee provided for in Article 3(3) of Annex I to the Protocol on the Statute of the Court of Justice of the European Union</w:t>
      </w:r>
      <w:bookmarkEnd w:id="65"/>
    </w:p>
    <w:p w:rsidR="00856167" w:rsidRPr="003C17F9" w:rsidRDefault="00856167" w:rsidP="003C17F9">
      <w:r>
        <w:t>6977/13, 6336/13, 6023/13</w:t>
      </w:r>
    </w:p>
    <w:p w:rsidR="00856167" w:rsidRDefault="00856167">
      <w:pPr>
        <w:pStyle w:val="RKnormal"/>
        <w:tabs>
          <w:tab w:val="clear" w:pos="1843"/>
          <w:tab w:val="left" w:pos="0"/>
        </w:tabs>
        <w:ind w:left="0"/>
      </w:pPr>
    </w:p>
    <w:p w:rsidR="00856167" w:rsidRPr="003C17F9" w:rsidRDefault="00856167" w:rsidP="003C17F9">
      <w:r>
        <w:t>Ansvarigt departement: Utrikesdepartementet</w:t>
      </w:r>
    </w:p>
    <w:p w:rsidR="00856167" w:rsidRDefault="00856167">
      <w:pPr>
        <w:pStyle w:val="RKnormal"/>
        <w:tabs>
          <w:tab w:val="clear" w:pos="1843"/>
          <w:tab w:val="left" w:pos="0"/>
        </w:tabs>
        <w:ind w:left="0"/>
      </w:pPr>
    </w:p>
    <w:p w:rsidR="00856167" w:rsidRPr="003C17F9" w:rsidRDefault="00856167" w:rsidP="003C17F9">
      <w:r>
        <w:t>Ansvarigt statsråd: Carl Bildt</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3C17F9">
      <w:r>
        <w:t xml:space="preserve">Rådet avses fatta beslut om utnämning av sju ledamöter i den kommitté som avses i artikel 3.3 i bilaga I till protokollet om stadgan för Europeiska unionens domstol - den så kallade personaldomstolskommittén. Dess uppgift är att granska nominerade ledamöter till personaldomstolen och att avge ett yttrande om de nominerades lämplighet för ämbetet. Som ordförande föreslås den svenska tidigare domaren i EU-domstolen Pernilla Lindh. Till övriga ledamöter avses utses: </w:t>
      </w:r>
    </w:p>
    <w:p w:rsidR="00856167" w:rsidRDefault="00856167" w:rsidP="003C17F9"/>
    <w:p w:rsidR="00856167" w:rsidRDefault="00856167" w:rsidP="005C4BA9">
      <w:r>
        <w:t>Pranas Kuris, tidigare domare i EUD (Litauen),</w:t>
      </w:r>
    </w:p>
    <w:p w:rsidR="00856167" w:rsidRDefault="00856167" w:rsidP="005C4BA9">
      <w:r>
        <w:t>Ján Mazák, tidigare generaladvokat (Slovakien),</w:t>
      </w:r>
    </w:p>
    <w:p w:rsidR="00856167" w:rsidRDefault="00856167" w:rsidP="005C4BA9">
      <w:r>
        <w:t>Jörg Pirrung, tidigare domare i tribunalen (Tyskland),</w:t>
      </w:r>
    </w:p>
    <w:p w:rsidR="00856167" w:rsidRDefault="00856167" w:rsidP="005C4BA9">
      <w:r>
        <w:t>Mihalis Vilaras, tidigare domare i tribunalen (Grekland),</w:t>
      </w:r>
    </w:p>
    <w:p w:rsidR="00856167" w:rsidRDefault="00856167" w:rsidP="005C4BA9">
      <w:r>
        <w:t>Roel Bekker, professor (Nederländerna)och</w:t>
      </w:r>
    </w:p>
    <w:p w:rsidR="00856167" w:rsidRDefault="00856167" w:rsidP="005C4BA9">
      <w:r>
        <w:t>Elena Simina Tanasescu, professor (Rumänien.)</w:t>
      </w:r>
    </w:p>
    <w:p w:rsidR="00856167" w:rsidRDefault="00856167" w:rsidP="00A100AB">
      <w:pPr>
        <w:pStyle w:val="Heading2"/>
      </w:pPr>
      <w:bookmarkStart w:id="66" w:name="_Toc350344305"/>
      <w:r>
        <w:t>9. Anti-subsidies = Proposal for a Council Implementing Regulation imposing a countervailing duty on imports of certain organic coated steel products originating in the People's Republic of China</w:t>
      </w:r>
      <w:bookmarkEnd w:id="66"/>
    </w:p>
    <w:p w:rsidR="00856167" w:rsidRPr="003C17F9" w:rsidRDefault="00856167" w:rsidP="003C17F9">
      <w:r>
        <w:t>6556/13, 6557/13</w:t>
      </w:r>
    </w:p>
    <w:p w:rsidR="00856167" w:rsidRDefault="00856167">
      <w:pPr>
        <w:pStyle w:val="RKnormal"/>
        <w:tabs>
          <w:tab w:val="clear" w:pos="1843"/>
          <w:tab w:val="left" w:pos="0"/>
        </w:tabs>
        <w:ind w:left="0"/>
      </w:pPr>
    </w:p>
    <w:p w:rsidR="00856167" w:rsidRPr="003C17F9" w:rsidRDefault="00856167" w:rsidP="003C17F9">
      <w:r>
        <w:t>Ansvarigt departement: Utrikesdepartementet</w:t>
      </w:r>
    </w:p>
    <w:p w:rsidR="00856167" w:rsidRDefault="00856167">
      <w:pPr>
        <w:pStyle w:val="RKnormal"/>
        <w:tabs>
          <w:tab w:val="clear" w:pos="1843"/>
          <w:tab w:val="left" w:pos="0"/>
        </w:tabs>
        <w:ind w:left="0"/>
      </w:pPr>
    </w:p>
    <w:p w:rsidR="00856167" w:rsidRPr="003C17F9" w:rsidRDefault="00856167" w:rsidP="003C17F9">
      <w:r>
        <w:t>Ansvarigt statsråd: Ewa Björling</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A100AB">
      <w:r>
        <w:t>Kommissionen har föreslagit att antisubventionsåtgärder införs mot import av belagt stål från Kina, genom utjämningstullar på upp till 44 procent. Vid antidumpningskommitténs möte den 30 januari 2013 motsatte sig regeringen kommissionens förslag, eftersom det inte ansågs att den europeiska industrin som tillverkar belagt stål lidit skada orsakad av kinesisk import. Ingen majoritet mot kommissionens förslag uppnåddes vid mötet.</w:t>
      </w:r>
    </w:p>
    <w:p w:rsidR="00856167" w:rsidRDefault="00856167" w:rsidP="00A100AB">
      <w:pPr>
        <w:pStyle w:val="Heading2"/>
      </w:pPr>
      <w:bookmarkStart w:id="67" w:name="_Toc350344306"/>
      <w:r>
        <w:t>10. Anti-dumping = Proposal for a Council Implementing Regulation imposing a definitive anti-dumping duty and collecting definitively the provisional duty imposed on imports of certain organic coated steel products originating in the People's Republic of China</w:t>
      </w:r>
      <w:bookmarkEnd w:id="67"/>
    </w:p>
    <w:p w:rsidR="00856167" w:rsidRPr="003C17F9" w:rsidRDefault="00856167" w:rsidP="003C17F9">
      <w:r>
        <w:t>6534/13, 6535/13</w:t>
      </w:r>
    </w:p>
    <w:p w:rsidR="00856167" w:rsidRDefault="00856167">
      <w:pPr>
        <w:pStyle w:val="RKnormal"/>
        <w:tabs>
          <w:tab w:val="clear" w:pos="1843"/>
          <w:tab w:val="left" w:pos="0"/>
        </w:tabs>
        <w:ind w:left="0"/>
      </w:pPr>
    </w:p>
    <w:p w:rsidR="00856167" w:rsidRPr="003C17F9" w:rsidRDefault="00856167" w:rsidP="003C17F9">
      <w:r>
        <w:t>Ansvarigt departement: Utrikesdepartementet</w:t>
      </w:r>
    </w:p>
    <w:p w:rsidR="00856167" w:rsidRDefault="00856167">
      <w:pPr>
        <w:pStyle w:val="RKnormal"/>
        <w:tabs>
          <w:tab w:val="clear" w:pos="1843"/>
          <w:tab w:val="left" w:pos="0"/>
        </w:tabs>
        <w:ind w:left="0"/>
      </w:pPr>
    </w:p>
    <w:p w:rsidR="00856167" w:rsidRPr="003C17F9" w:rsidRDefault="00856167" w:rsidP="003C17F9">
      <w:r>
        <w:t>Ansvarigt statsråd: Ewa Björling</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A100AB">
      <w:r>
        <w:t>Kommissionen har förslagit att antidumpningsåtgärder mot belagt stål från Kina införs med tullar på upp till 26 procent. Vid antidumpningskommitténs möte den 30 januari motsatte sig regeringen förslaget, eftersom det inte ansågs att den europeiska industrin som tillverkar belagt stål lidit skada orsakad av import från Kina. Ingen majoritet mot kommissionens förslag uppnåddes vid mötet.</w:t>
      </w:r>
    </w:p>
    <w:p w:rsidR="00856167" w:rsidRDefault="00856167" w:rsidP="00A100AB">
      <w:pPr>
        <w:pStyle w:val="Heading2"/>
      </w:pPr>
      <w:bookmarkStart w:id="68" w:name="_Toc350344307"/>
      <w:r>
        <w:t>11. Anti-dumping = Proposal for a Council Implementing Regulation imposing a definitive anti-dumping duty and collecting definitively the provisional duty imposed on imports of certain aluminium foils in rolls originating in the People's Republic of China</w:t>
      </w:r>
      <w:bookmarkEnd w:id="68"/>
    </w:p>
    <w:p w:rsidR="00856167" w:rsidRPr="003C17F9" w:rsidRDefault="00856167" w:rsidP="003C17F9">
      <w:r>
        <w:t>6420/13, 6421/13</w:t>
      </w:r>
    </w:p>
    <w:p w:rsidR="00856167" w:rsidRDefault="00856167">
      <w:pPr>
        <w:pStyle w:val="RKnormal"/>
        <w:tabs>
          <w:tab w:val="clear" w:pos="1843"/>
          <w:tab w:val="left" w:pos="0"/>
        </w:tabs>
        <w:ind w:left="0"/>
      </w:pPr>
    </w:p>
    <w:p w:rsidR="00856167" w:rsidRPr="003C17F9" w:rsidRDefault="00856167" w:rsidP="003C17F9">
      <w:r>
        <w:t>Ansvarigt departement: Utrikesdepartementet</w:t>
      </w:r>
    </w:p>
    <w:p w:rsidR="00856167" w:rsidRDefault="00856167">
      <w:pPr>
        <w:pStyle w:val="RKnormal"/>
        <w:tabs>
          <w:tab w:val="clear" w:pos="1843"/>
          <w:tab w:val="left" w:pos="0"/>
        </w:tabs>
        <w:ind w:left="0"/>
      </w:pPr>
    </w:p>
    <w:p w:rsidR="00856167" w:rsidRPr="003C17F9" w:rsidRDefault="00856167" w:rsidP="003C17F9">
      <w:r>
        <w:t>Ansvarigt statsråd: Ewa Björling</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A100AB">
      <w:r>
        <w:t>Kommissionen har föreslagit att definitiva antidumpningsåtgärder mot aluminiumfolie från Kina införs genom tullar på upp till 35 procent. Vid antidumpningskommitténs möte den 30 januari 2013 motsatte sig regeringen kommissionens förslag., men ingen majoritet mot förslaget uppnåddes.</w:t>
      </w:r>
    </w:p>
    <w:p w:rsidR="00856167" w:rsidRDefault="00856167" w:rsidP="00A100AB">
      <w:pPr>
        <w:pStyle w:val="Heading2"/>
      </w:pPr>
      <w:bookmarkStart w:id="69" w:name="_Toc350344308"/>
      <w:r>
        <w:t>12. Council Decision of ... amending Decision 1999/70/EC concerning the external auditors of the national central banks, as regards the external auditors of the Central Bank of Cyprus</w:t>
      </w:r>
      <w:bookmarkEnd w:id="69"/>
    </w:p>
    <w:p w:rsidR="00856167" w:rsidRPr="003C17F9" w:rsidRDefault="00856167" w:rsidP="003C17F9">
      <w:r>
        <w:t>6310/13, 6606/13</w:t>
      </w:r>
    </w:p>
    <w:p w:rsidR="00856167" w:rsidRDefault="00856167">
      <w:pPr>
        <w:pStyle w:val="RKnormal"/>
        <w:tabs>
          <w:tab w:val="clear" w:pos="1843"/>
          <w:tab w:val="left" w:pos="0"/>
        </w:tabs>
        <w:ind w:left="0"/>
      </w:pPr>
    </w:p>
    <w:p w:rsidR="00856167" w:rsidRPr="003C17F9" w:rsidRDefault="00856167" w:rsidP="003C17F9">
      <w:r>
        <w:t>Ansvarigt departement: Finansdepartementet</w:t>
      </w:r>
    </w:p>
    <w:p w:rsidR="00856167" w:rsidRDefault="00856167">
      <w:pPr>
        <w:pStyle w:val="RKnormal"/>
        <w:tabs>
          <w:tab w:val="clear" w:pos="1843"/>
          <w:tab w:val="left" w:pos="0"/>
        </w:tabs>
        <w:ind w:left="0"/>
      </w:pPr>
    </w:p>
    <w:p w:rsidR="00856167" w:rsidRPr="003C17F9" w:rsidRDefault="00856167" w:rsidP="003C17F9">
      <w:r>
        <w:t>Ansvarigt statsråd: Peter Norman</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A100AB">
      <w:r>
        <w:t>Föranleder ingen annotering.</w:t>
      </w:r>
    </w:p>
    <w:p w:rsidR="00856167" w:rsidRDefault="00856167">
      <w:pPr>
        <w:spacing w:line="240" w:lineRule="auto"/>
      </w:pPr>
      <w:r>
        <w:br w:type="page"/>
      </w:r>
    </w:p>
    <w:p w:rsidR="00856167" w:rsidRDefault="00856167" w:rsidP="00A100AB">
      <w:pPr>
        <w:pStyle w:val="Heading2"/>
      </w:pPr>
      <w:bookmarkStart w:id="70" w:name="_Toc350344309"/>
      <w:r>
        <w:t>13. Council Decision establishing the position to be adopted, on behalf of the Union, within the International Grains Council with respect to the extension of the Grains Trade Convention 1995 = Adoption</w:t>
      </w:r>
      <w:bookmarkEnd w:id="70"/>
    </w:p>
    <w:p w:rsidR="00856167" w:rsidRPr="003C17F9" w:rsidRDefault="00856167" w:rsidP="003C17F9">
      <w:r>
        <w:t>6933/13, 6516/13</w:t>
      </w:r>
    </w:p>
    <w:p w:rsidR="00856167" w:rsidRDefault="00856167">
      <w:pPr>
        <w:pStyle w:val="RKnormal"/>
        <w:tabs>
          <w:tab w:val="clear" w:pos="1843"/>
          <w:tab w:val="left" w:pos="0"/>
        </w:tabs>
        <w:ind w:left="0"/>
      </w:pPr>
    </w:p>
    <w:p w:rsidR="00856167" w:rsidRPr="003C17F9" w:rsidRDefault="00856167" w:rsidP="003C17F9">
      <w:r>
        <w:t>Ansvarigt departement: Landsbygdsdepartementet</w:t>
      </w:r>
    </w:p>
    <w:p w:rsidR="00856167" w:rsidRDefault="00856167">
      <w:pPr>
        <w:pStyle w:val="RKnormal"/>
        <w:tabs>
          <w:tab w:val="clear" w:pos="1843"/>
          <w:tab w:val="left" w:pos="0"/>
        </w:tabs>
        <w:ind w:left="0"/>
      </w:pPr>
    </w:p>
    <w:p w:rsidR="00856167" w:rsidRPr="003C17F9" w:rsidRDefault="00856167" w:rsidP="003C17F9">
      <w:r>
        <w:t>Ansvarigt statsråd: Eskil Erlandsson</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 xml:space="preserve">Rådet ska fatta beslut om en förlängning av det internationella avtal som ligger till grund för den Internationella Spannmålsorganisationen. </w:t>
      </w:r>
    </w:p>
    <w:p w:rsidR="00856167" w:rsidRDefault="00856167" w:rsidP="003C17F9"/>
    <w:p w:rsidR="00856167" w:rsidRDefault="00856167" w:rsidP="003C17F9">
      <w:r>
        <w:t xml:space="preserve">Hur regeringen ställer sig till den blivande A-punkten: </w:t>
      </w:r>
    </w:p>
    <w:p w:rsidR="00856167" w:rsidRDefault="00856167" w:rsidP="003C17F9">
      <w:r>
        <w:t>Regeringen anser att organisationen gör god nytta och att avtalet bör förlängas, varför Sverige bör stödja EU-kommissionens förslag.</w:t>
      </w:r>
    </w:p>
    <w:p w:rsidR="00856167" w:rsidRDefault="00856167" w:rsidP="003C17F9"/>
    <w:p w:rsidR="00856167" w:rsidRDefault="00856167" w:rsidP="00A100AB">
      <w:r>
        <w:t xml:space="preserve">Bakgrund: </w:t>
      </w:r>
    </w:p>
    <w:p w:rsidR="00856167" w:rsidRDefault="00856167" w:rsidP="00A100AB">
      <w:r>
        <w:t xml:space="preserve">Det aktuella avtalet är tidsbegränsat och löper ut vid årsskiftet 2013/2014. EU-kommissionen har föreslagit att EU ska stödja en förlängning av avtalet. Samtliga medlemsstater har ställt sig positiva till förslaget. </w:t>
      </w:r>
    </w:p>
    <w:p w:rsidR="00856167" w:rsidRPr="003C17F9" w:rsidRDefault="00856167" w:rsidP="003C17F9">
      <w:pPr>
        <w:pStyle w:val="Heading2"/>
      </w:pPr>
      <w:bookmarkStart w:id="71" w:name="_Toc350344310"/>
      <w:r>
        <w:t>14. Council Decision establishing the position to be adopted, on behalf of the Union, within the International Sugar Council as regards the extension of the International Sugar Agreement 1992 = Adoption</w:t>
      </w:r>
      <w:bookmarkEnd w:id="71"/>
    </w:p>
    <w:p w:rsidR="00856167" w:rsidRPr="003C17F9" w:rsidRDefault="00856167" w:rsidP="003C17F9">
      <w:r>
        <w:t>6934/13, 6517/13</w:t>
      </w:r>
    </w:p>
    <w:p w:rsidR="00856167" w:rsidRDefault="00856167">
      <w:pPr>
        <w:pStyle w:val="RKnormal"/>
        <w:tabs>
          <w:tab w:val="clear" w:pos="1843"/>
          <w:tab w:val="left" w:pos="0"/>
        </w:tabs>
        <w:ind w:left="0"/>
      </w:pPr>
    </w:p>
    <w:p w:rsidR="00856167" w:rsidRPr="003C17F9" w:rsidRDefault="00856167" w:rsidP="003C17F9">
      <w:r>
        <w:t>Ansvarigt departement: Landsbygdsdepartementet</w:t>
      </w:r>
    </w:p>
    <w:p w:rsidR="00856167" w:rsidRDefault="00856167">
      <w:pPr>
        <w:pStyle w:val="RKnormal"/>
        <w:tabs>
          <w:tab w:val="clear" w:pos="1843"/>
          <w:tab w:val="left" w:pos="0"/>
        </w:tabs>
        <w:ind w:left="0"/>
      </w:pPr>
    </w:p>
    <w:p w:rsidR="00856167" w:rsidRPr="003C17F9" w:rsidRDefault="00856167" w:rsidP="003C17F9">
      <w:r>
        <w:t>Ansvarigt statsråd: Eskil Erlandsson</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 xml:space="preserve">Rådet ska fatta beslut om en förlängning av det internationella avtal som ligger till grund för den Internationella Sockerorganisationen (ISO). </w:t>
      </w:r>
    </w:p>
    <w:p w:rsidR="00856167" w:rsidRDefault="00856167" w:rsidP="003C17F9"/>
    <w:p w:rsidR="00856167" w:rsidRDefault="00856167" w:rsidP="003C17F9">
      <w:r>
        <w:t xml:space="preserve">Hur regeringen ställer sig till den blivande A-punkten: </w:t>
      </w:r>
    </w:p>
    <w:p w:rsidR="00856167" w:rsidRDefault="00856167" w:rsidP="003C17F9">
      <w:r>
        <w:t>Regeringen anser att organisationen gör god nytta och att avtalet bör förlängas, varför Sverige bör stödja EU-kommissionens förslag.</w:t>
      </w:r>
    </w:p>
    <w:p w:rsidR="00856167" w:rsidRDefault="00856167" w:rsidP="003C17F9"/>
    <w:p w:rsidR="00856167" w:rsidRDefault="00856167" w:rsidP="003C17F9">
      <w:r>
        <w:t xml:space="preserve">Bakgrund: </w:t>
      </w:r>
    </w:p>
    <w:p w:rsidR="00856167" w:rsidRDefault="00856167" w:rsidP="00A100AB">
      <w:r>
        <w:t xml:space="preserve">Det aktuella avtalet är tidsbegränsat och löper ut vid årsskiftet 2013/2014. EU-kommissionen har föreslagit att EU ska stödja en förlängning av avtalet. Samtliga medlemsstater har ställt sig positiva till förslaget. </w:t>
      </w:r>
    </w:p>
    <w:p w:rsidR="00856167" w:rsidRDefault="00856167" w:rsidP="00A100AB">
      <w:pPr>
        <w:pStyle w:val="Heading2"/>
      </w:pPr>
      <w:bookmarkStart w:id="72" w:name="_Toc350344311"/>
      <w:r>
        <w:t>15. Updated Common Military List of the European Union (equipment covered by the Council Common Position 2008/944/CFSP defining common rules governing the control of exports of military technology and equipment) = Adoption</w:t>
      </w:r>
      <w:bookmarkEnd w:id="72"/>
    </w:p>
    <w:p w:rsidR="00856167" w:rsidRPr="003C17F9" w:rsidRDefault="00856167" w:rsidP="003C17F9">
      <w:r>
        <w:t>6942/13, 5967/13</w:t>
      </w:r>
    </w:p>
    <w:p w:rsidR="00856167" w:rsidRDefault="00856167">
      <w:pPr>
        <w:pStyle w:val="RKnormal"/>
        <w:tabs>
          <w:tab w:val="clear" w:pos="1843"/>
          <w:tab w:val="left" w:pos="0"/>
        </w:tabs>
        <w:ind w:left="0"/>
      </w:pPr>
    </w:p>
    <w:p w:rsidR="00856167" w:rsidRPr="003C17F9" w:rsidRDefault="00856167" w:rsidP="003C17F9">
      <w:r>
        <w:t>Ansvarigt departement: Utrikesdepartementet</w:t>
      </w:r>
    </w:p>
    <w:p w:rsidR="00856167" w:rsidRDefault="00856167">
      <w:pPr>
        <w:pStyle w:val="RKnormal"/>
        <w:tabs>
          <w:tab w:val="clear" w:pos="1843"/>
          <w:tab w:val="left" w:pos="0"/>
        </w:tabs>
        <w:ind w:left="0"/>
      </w:pPr>
    </w:p>
    <w:p w:rsidR="00856167" w:rsidRPr="003C17F9" w:rsidRDefault="00856167" w:rsidP="003C17F9">
      <w:r>
        <w:t>Ansvarigt statsråd: Ewa Björling</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A100AB">
      <w:r>
        <w:t>Till EU:s gemensamma ståndpunkt om vapenexport hör även en förteckning över de produkter som omfattas av ståndpunkten (EU:s militära lista). Listan uppdateras årligen, efter behandling i rådsarbetsgruppen COARM (Council Working Group on Conventional Arms Exports). Genom implementeringen av det s.k. ICT-direktivet (direktiv 2009/43/EG), är från och med 30 juni 2012 den svenska krigsmaterielförteckningen likalydande med EU:s militära lista (inkl. två nationella tillägg).</w:t>
      </w:r>
    </w:p>
    <w:p w:rsidR="00856167" w:rsidRDefault="00856167" w:rsidP="00A100AB">
      <w:pPr>
        <w:pStyle w:val="Heading2"/>
      </w:pPr>
      <w:bookmarkStart w:id="73" w:name="_Toc350344312"/>
      <w:r>
        <w:t>16. Council Decision establishing a European Security and Defence College (ESDC) and repealing Joint Action 2008/550/CFSP</w:t>
      </w:r>
      <w:bookmarkEnd w:id="73"/>
    </w:p>
    <w:p w:rsidR="00856167" w:rsidRPr="003C17F9" w:rsidRDefault="00856167" w:rsidP="003C17F9">
      <w:r>
        <w:t>6980/13, 6477/13</w:t>
      </w:r>
    </w:p>
    <w:p w:rsidR="00856167" w:rsidRDefault="00856167">
      <w:pPr>
        <w:pStyle w:val="RKnormal"/>
        <w:tabs>
          <w:tab w:val="clear" w:pos="1843"/>
          <w:tab w:val="left" w:pos="0"/>
        </w:tabs>
        <w:ind w:left="0"/>
      </w:pPr>
    </w:p>
    <w:p w:rsidR="00856167" w:rsidRPr="003C17F9" w:rsidRDefault="00856167" w:rsidP="003C17F9">
      <w:r>
        <w:t>Ansvarigt departement: Utrikesdepartementet</w:t>
      </w:r>
    </w:p>
    <w:p w:rsidR="00856167" w:rsidRDefault="00856167">
      <w:pPr>
        <w:pStyle w:val="RKnormal"/>
        <w:tabs>
          <w:tab w:val="clear" w:pos="1843"/>
          <w:tab w:val="left" w:pos="0"/>
        </w:tabs>
        <w:ind w:left="0"/>
      </w:pPr>
    </w:p>
    <w:p w:rsidR="00856167" w:rsidRPr="003C17F9" w:rsidRDefault="00856167" w:rsidP="003C17F9">
      <w:r>
        <w:t>Ansvarigt statsråd: Carl Bildt</w:t>
      </w:r>
    </w:p>
    <w:p w:rsidR="00856167" w:rsidRDefault="00856167">
      <w:pPr>
        <w:pStyle w:val="RKnormal"/>
        <w:tabs>
          <w:tab w:val="clear" w:pos="1843"/>
          <w:tab w:val="left" w:pos="0"/>
        </w:tabs>
        <w:ind w:left="0"/>
      </w:pPr>
    </w:p>
    <w:p w:rsidR="00856167" w:rsidRPr="003C17F9" w:rsidRDefault="00856167" w:rsidP="003C17F9">
      <w:r>
        <w:t>Tidigare behandling vid rådsmöte: Allmänna frågor och yttre förbindelser</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Rådet förväntas anta ett rådsbeslut.</w:t>
      </w:r>
    </w:p>
    <w:p w:rsidR="00856167" w:rsidRDefault="00856167" w:rsidP="003C17F9"/>
    <w:p w:rsidR="00856167" w:rsidRDefault="00856167" w:rsidP="003C17F9">
      <w:r>
        <w:t xml:space="preserve">Hur regeringen ställer sig till den blivande A-punkten: </w:t>
      </w:r>
    </w:p>
    <w:p w:rsidR="00856167" w:rsidRDefault="00856167" w:rsidP="003C17F9">
      <w:r>
        <w:t>Regeringen avser rösta för antagande av rådsbeslutet vid ministerrådsmöte</w:t>
      </w:r>
    </w:p>
    <w:p w:rsidR="00856167" w:rsidRDefault="00856167" w:rsidP="003C17F9"/>
    <w:p w:rsidR="00856167" w:rsidRDefault="00856167" w:rsidP="003C17F9">
      <w:r>
        <w:t xml:space="preserve">Bakgrund: </w:t>
      </w:r>
    </w:p>
    <w:p w:rsidR="00856167" w:rsidRDefault="00856167" w:rsidP="003C17F9">
      <w:r>
        <w:t>Den 18 juli 2005 antog europeiska unionens råd en gemensam åtgärd (2005/575/GUSP) om att inrätta en europeisk säkerhets- och försvarsakademi (ESFA). Denna kom senare att ersättas av nu gällande gemensam åtgärd 2008/550/GUSP. ESFA är för närvarande organiserat som ett nätverk mellan nationella institutioner och relevanta EU-institutioner som arbetar med säkerhets- och försvarspolitik. Syftet är att genom kurser, seminarier och övningar sprida kunskap och förståelse om civil och militär krishantering. På basis av en framåtblickande studie om ESFA antog europeiska unionens råd den 8 december 2008 rådslutsatser som bl.a. framhävde behovet av att förnya ESFA:s status och struktur.</w:t>
      </w:r>
    </w:p>
    <w:p w:rsidR="00856167" w:rsidRDefault="00856167" w:rsidP="003C17F9"/>
    <w:p w:rsidR="00856167" w:rsidRDefault="00856167" w:rsidP="00E9088F">
      <w:r>
        <w:t>Mot bakgrund av dessa tidigare rådslutsatser förväntas europeiska unionens råd nu anta ett beslut om att upphäva gällande gemensam åtgärd till förmån för ett nytt rådsbeslut, vilket innefattar vissa förändringar i linje med vad som fastslagits i rådslutsatserna från 2008. Utkastet till rådsbeslut innehåller bestämmelser om inrättande, uppdrag, mål och uppgifter av och för ESFA. Vidare innehåller det bestämmelser om akademins organisation, inklusive om rättskapacitet för densamma i syfte att kunna ingå kontrakt m.m. Utkastet innehåller vidare bestämmelser om finansiering bl.a. i samband med deltagande i akademins aktiviteter, samt övriga bestämmelser om sådant deltagande.</w:t>
      </w:r>
    </w:p>
    <w:p w:rsidR="00856167" w:rsidRDefault="00856167" w:rsidP="00A100AB">
      <w:pPr>
        <w:pStyle w:val="Heading2"/>
      </w:pPr>
      <w:bookmarkStart w:id="74" w:name="_Toc350344313"/>
      <w:r>
        <w:t>17. Proposal for a Council Decision establishing a Multiannual Framework for the European Union Agency for Fundamental Rights for 2013-2017 = Adoption of the legislative act</w:t>
      </w:r>
      <w:bookmarkEnd w:id="74"/>
    </w:p>
    <w:p w:rsidR="00856167" w:rsidRPr="003C17F9" w:rsidRDefault="00856167" w:rsidP="003C17F9">
      <w:r>
        <w:t>7007/13</w:t>
      </w:r>
    </w:p>
    <w:p w:rsidR="00856167" w:rsidRDefault="00856167">
      <w:pPr>
        <w:pStyle w:val="RKnormal"/>
        <w:tabs>
          <w:tab w:val="clear" w:pos="1843"/>
          <w:tab w:val="left" w:pos="0"/>
        </w:tabs>
        <w:ind w:left="0"/>
      </w:pPr>
    </w:p>
    <w:p w:rsidR="00856167" w:rsidRPr="003C17F9" w:rsidRDefault="00856167" w:rsidP="003C17F9">
      <w:r>
        <w:t>Ansvarigt departement: Arbetsmarknadsdepartementet</w:t>
      </w:r>
    </w:p>
    <w:p w:rsidR="00856167" w:rsidRDefault="00856167">
      <w:pPr>
        <w:pStyle w:val="RKnormal"/>
        <w:tabs>
          <w:tab w:val="clear" w:pos="1843"/>
          <w:tab w:val="left" w:pos="0"/>
        </w:tabs>
        <w:ind w:left="0"/>
      </w:pPr>
    </w:p>
    <w:p w:rsidR="00856167" w:rsidRPr="003C17F9" w:rsidRDefault="00856167" w:rsidP="003C17F9">
      <w:r>
        <w:t>Ansvarigt statsråd: Erik Ullenhag</w:t>
      </w:r>
    </w:p>
    <w:p w:rsidR="00856167" w:rsidRDefault="00856167">
      <w:pPr>
        <w:pStyle w:val="RKnormal"/>
        <w:tabs>
          <w:tab w:val="clear" w:pos="1843"/>
          <w:tab w:val="left" w:pos="0"/>
        </w:tabs>
        <w:ind w:left="0"/>
      </w:pPr>
    </w:p>
    <w:p w:rsidR="00856167" w:rsidRPr="003C17F9" w:rsidRDefault="00856167" w:rsidP="003C17F9">
      <w:r>
        <w:t>Tidigare behandling i EU -nämnden: 2012-06-01</w:t>
      </w:r>
    </w:p>
    <w:p w:rsidR="00856167" w:rsidRDefault="00856167">
      <w:pPr>
        <w:pStyle w:val="RKnormal"/>
        <w:tabs>
          <w:tab w:val="clear" w:pos="1843"/>
          <w:tab w:val="left" w:pos="0"/>
        </w:tabs>
        <w:ind w:left="0"/>
      </w:pPr>
    </w:p>
    <w:p w:rsidR="00856167" w:rsidRPr="003C17F9"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pPr>
        <w:pStyle w:val="RKnormal"/>
        <w:tabs>
          <w:tab w:val="clear" w:pos="1843"/>
          <w:tab w:val="left" w:pos="0"/>
        </w:tabs>
        <w:ind w:left="0"/>
      </w:pPr>
    </w:p>
    <w:p w:rsidR="00856167" w:rsidRDefault="00856167">
      <w:pPr>
        <w:pStyle w:val="RKnormal"/>
        <w:tabs>
          <w:tab w:val="clear" w:pos="1843"/>
          <w:tab w:val="left" w:pos="0"/>
        </w:tabs>
        <w:ind w:left="0"/>
      </w:pPr>
    </w:p>
    <w:p w:rsidR="00856167" w:rsidRDefault="00856167" w:rsidP="003C17F9">
      <w:r>
        <w:t xml:space="preserve">Avsikt med behandlingen i rådet: </w:t>
      </w:r>
    </w:p>
    <w:p w:rsidR="00856167" w:rsidRDefault="00856167" w:rsidP="003C17F9">
      <w:r>
        <w:t>Rådet föreslås anta ramprogram för EU:s byrå för grundläggande rättigheter.</w:t>
      </w:r>
    </w:p>
    <w:p w:rsidR="00856167" w:rsidRDefault="00856167" w:rsidP="003C17F9"/>
    <w:p w:rsidR="00856167" w:rsidRDefault="00856167" w:rsidP="003C17F9">
      <w:r>
        <w:t xml:space="preserve">Hur regeringen ställer sig till den blivande A-punkten: </w:t>
      </w:r>
    </w:p>
    <w:p w:rsidR="00856167" w:rsidRDefault="00856167" w:rsidP="003C17F9">
      <w:r>
        <w:t xml:space="preserve">Sverige avser rösta ja till ramprogrammet. </w:t>
      </w:r>
    </w:p>
    <w:p w:rsidR="00856167" w:rsidRDefault="00856167" w:rsidP="003C17F9"/>
    <w:p w:rsidR="00856167" w:rsidRDefault="00856167" w:rsidP="003C17F9">
      <w:r>
        <w:t xml:space="preserve">Bakgrund: </w:t>
      </w:r>
    </w:p>
    <w:p w:rsidR="00856167" w:rsidRDefault="00856167" w:rsidP="00E9088F">
      <w:r>
        <w:t xml:space="preserve">EU:s byrå för grundläggande rättigheter arbetar utifrån ett femårigt ramprogram. Ramprogrammet för åren 2013-2017 kunde inte antas under 2012 eftersom UK hade en parlamentarisk reservation. Reservationen har nu släppts och programmet kan antas. </w:t>
      </w:r>
    </w:p>
    <w:p w:rsidR="00856167" w:rsidRPr="00227024" w:rsidRDefault="00856167" w:rsidP="00235D24">
      <w:pPr>
        <w:pStyle w:val="Heading2"/>
      </w:pPr>
      <w:bookmarkStart w:id="75" w:name="_Toc350344314"/>
      <w:r w:rsidRPr="00227024">
        <w:t>18. Iran - Council Decision amending Decision 2011/235/CFSP concerning restrictive measures directed against certain persons and entities in view of the situation in Iran - Council implementing Regulation implementing Article 12(1)of Regulation (EU) No 359/2011 concerning restrictive measures directed against certain persons, entities and bodies in view of the situation in Iran</w:t>
      </w:r>
      <w:bookmarkEnd w:id="75"/>
    </w:p>
    <w:p w:rsidR="00856167" w:rsidRPr="003C17F9" w:rsidRDefault="00856167" w:rsidP="003C17F9">
      <w:r>
        <w:t>7109/13, 7030/13</w:t>
      </w:r>
    </w:p>
    <w:p w:rsidR="00856167" w:rsidRDefault="00856167">
      <w:pPr>
        <w:pStyle w:val="RKnormal"/>
        <w:tabs>
          <w:tab w:val="clear" w:pos="1843"/>
          <w:tab w:val="left" w:pos="0"/>
        </w:tabs>
        <w:ind w:left="0"/>
      </w:pPr>
    </w:p>
    <w:p w:rsidR="00856167" w:rsidRPr="003C17F9" w:rsidRDefault="00856167" w:rsidP="003C17F9">
      <w:r>
        <w:t>Ansvarigt departement: Utrikesdepartementet</w:t>
      </w:r>
    </w:p>
    <w:p w:rsidR="00856167" w:rsidRDefault="00856167">
      <w:pPr>
        <w:pStyle w:val="RKnormal"/>
        <w:tabs>
          <w:tab w:val="clear" w:pos="1843"/>
          <w:tab w:val="left" w:pos="0"/>
        </w:tabs>
        <w:ind w:left="0"/>
      </w:pPr>
    </w:p>
    <w:p w:rsidR="00856167" w:rsidRPr="003C17F9" w:rsidRDefault="00856167" w:rsidP="003C17F9">
      <w:r>
        <w:t>Ansvarigt statsråd: Carl Bildt</w:t>
      </w:r>
    </w:p>
    <w:p w:rsidR="00856167" w:rsidRDefault="00856167">
      <w:pPr>
        <w:pStyle w:val="RKnormal"/>
        <w:tabs>
          <w:tab w:val="clear" w:pos="1843"/>
          <w:tab w:val="left" w:pos="0"/>
        </w:tabs>
        <w:ind w:left="0"/>
      </w:pPr>
    </w:p>
    <w:p w:rsidR="00856167" w:rsidRDefault="00856167" w:rsidP="003C17F9">
      <w:r>
        <w:t>Förväntas godkännas av Coreper II den 6 mars 2013</w:t>
      </w:r>
    </w:p>
    <w:p w:rsidR="00856167" w:rsidRDefault="00856167">
      <w:pPr>
        <w:pStyle w:val="RKnormal"/>
        <w:tabs>
          <w:tab w:val="clear" w:pos="1843"/>
          <w:tab w:val="left" w:pos="0"/>
        </w:tabs>
        <w:ind w:left="0"/>
      </w:pPr>
    </w:p>
    <w:p w:rsidR="00856167" w:rsidRDefault="00856167" w:rsidP="00227024">
      <w:pPr>
        <w:pStyle w:val="RKnormal"/>
        <w:tabs>
          <w:tab w:val="left" w:pos="0"/>
        </w:tabs>
        <w:ind w:left="0"/>
      </w:pPr>
      <w:r>
        <w:t xml:space="preserve">Avsikt med behandlingen i rådet: </w:t>
      </w:r>
    </w:p>
    <w:p w:rsidR="00856167" w:rsidRDefault="00856167" w:rsidP="00227024">
      <w:pPr>
        <w:pStyle w:val="RKnormal"/>
        <w:tabs>
          <w:tab w:val="left" w:pos="0"/>
        </w:tabs>
        <w:ind w:left="0"/>
      </w:pPr>
      <w:r>
        <w:t>Rådet förväntas anta ett rådsbeslut om att förlänga de restriktiva åtgärderna mot vissa personer och enheter med hänsyn till situationen i Iran med ytterligare ett år till och med den 13 april 2014. Med anledning av den fortsatt allvarliga situationen för de mänskliga rättigheterna i Iran föreslås rådet vidare besluta om listning av ytterligare ett antal personer och en enhet för riktade restriktiva åtgärder. För listningsbesluten krävs tillhörande rådsförordning.</w:t>
      </w:r>
    </w:p>
    <w:p w:rsidR="00856167" w:rsidRDefault="00856167" w:rsidP="00227024">
      <w:pPr>
        <w:pStyle w:val="RKnormal"/>
        <w:tabs>
          <w:tab w:val="left" w:pos="0"/>
        </w:tabs>
        <w:ind w:left="0"/>
      </w:pPr>
    </w:p>
    <w:p w:rsidR="00856167" w:rsidRDefault="00856167" w:rsidP="00227024">
      <w:pPr>
        <w:pStyle w:val="RKnormal"/>
        <w:tabs>
          <w:tab w:val="left" w:pos="0"/>
        </w:tabs>
        <w:ind w:left="0"/>
      </w:pPr>
      <w:r>
        <w:t xml:space="preserve">Hur regeringen ställer sig till den blivande A-punkten: </w:t>
      </w:r>
    </w:p>
    <w:p w:rsidR="00856167" w:rsidRDefault="00856167" w:rsidP="00227024">
      <w:pPr>
        <w:pStyle w:val="RKnormal"/>
        <w:tabs>
          <w:tab w:val="left" w:pos="0"/>
        </w:tabs>
        <w:ind w:left="0"/>
      </w:pPr>
      <w:r>
        <w:t xml:space="preserve">Regeringen avser fatta regeringsbeslut och därefter stödja antagande av utkasten till beslut och förordning. </w:t>
      </w:r>
    </w:p>
    <w:p w:rsidR="00856167" w:rsidRDefault="00856167" w:rsidP="00227024">
      <w:pPr>
        <w:pStyle w:val="RKnormal"/>
        <w:tabs>
          <w:tab w:val="clear" w:pos="1843"/>
          <w:tab w:val="left" w:pos="0"/>
        </w:tabs>
        <w:ind w:left="0"/>
      </w:pPr>
    </w:p>
    <w:p w:rsidR="00856167" w:rsidRDefault="00856167" w:rsidP="00227024">
      <w:pPr>
        <w:pStyle w:val="RKnormal"/>
        <w:tabs>
          <w:tab w:val="clear" w:pos="1843"/>
          <w:tab w:val="left" w:pos="0"/>
        </w:tabs>
        <w:ind w:left="0"/>
      </w:pPr>
      <w:r>
        <w:t xml:space="preserve">Bakgrund: </w:t>
      </w:r>
    </w:p>
    <w:p w:rsidR="00856167" w:rsidRDefault="00856167" w:rsidP="00227024">
      <w:pPr>
        <w:pStyle w:val="RKnormal"/>
        <w:tabs>
          <w:tab w:val="clear" w:pos="1843"/>
          <w:tab w:val="left" w:pos="0"/>
        </w:tabs>
        <w:ind w:left="0"/>
      </w:pPr>
      <w:r>
        <w:t>I april 2011 beslutade EU genom rådsbeslut 2011/235/GUSP att införa restriktiva åtgärder mot vissa personer och enheter med hänsyn till situationen för de mänskliga rättigheterna i Iran. Personer som är ansvariga för allvarliga kränkningar av mänskliga rättigheter i Iran, samt personer och – i tillämpliga fall – enheter med anknytning till dem kan därmed bli föremål för riktade restriktiva åtgärder i form av frysning av tillgångar och ekonomiska resurser samt reserestriktioner. Åtgärderna innefattar även ett embargo mot försäljning m.m. till Iran av utrustning som kan användas för internt förtryck eller som den iranska regimen huvudsakligen avser att använda för övervakning eller avlyssning. I mars 2012 förlängdes de restriktiva åtgärderna till och med den 13 april 2013.</w:t>
      </w:r>
    </w:p>
    <w:p w:rsidR="00856167" w:rsidRDefault="00856167" w:rsidP="00CF2C5D">
      <w:pPr>
        <w:pStyle w:val="Heading1"/>
      </w:pPr>
      <w:bookmarkStart w:id="76" w:name="_Toc350344315"/>
      <w:r>
        <w:t>Färdigförhandlad II-punkt från möte i Coreper II 2013-02-20 som kan tas som A-punkt vid kommande rådsmöte</w:t>
      </w:r>
      <w:bookmarkEnd w:id="76"/>
    </w:p>
    <w:p w:rsidR="00856167" w:rsidRPr="00CF2C5D" w:rsidRDefault="00856167" w:rsidP="00CF2C5D">
      <w:pPr>
        <w:pStyle w:val="Heading2"/>
      </w:pPr>
      <w:bookmarkStart w:id="77" w:name="_Toc350344316"/>
      <w:r>
        <w:t xml:space="preserve">19. </w:t>
      </w:r>
      <w:r w:rsidRPr="00CF2C5D">
        <w:t>Lagstiftningspaketet om sammanhållningspolitiken [första behandlingen] = Delar i en partiell allmän riktlinje</w:t>
      </w:r>
      <w:bookmarkEnd w:id="77"/>
      <w:r w:rsidRPr="00CF2C5D">
        <w:t xml:space="preserve"> </w:t>
      </w:r>
    </w:p>
    <w:p w:rsidR="00856167" w:rsidRDefault="00856167" w:rsidP="00CF2C5D">
      <w:pPr>
        <w:spacing w:line="240" w:lineRule="auto"/>
        <w:rPr>
          <w:szCs w:val="24"/>
        </w:rPr>
      </w:pPr>
      <w:r>
        <w:rPr>
          <w:szCs w:val="24"/>
        </w:rPr>
        <w:t xml:space="preserve">6816/13, 5609/1/13, 5609/13 </w:t>
      </w:r>
    </w:p>
    <w:p w:rsidR="00856167" w:rsidRDefault="00856167" w:rsidP="00CF2C5D">
      <w:pPr>
        <w:spacing w:line="240" w:lineRule="auto"/>
      </w:pPr>
    </w:p>
    <w:p w:rsidR="00856167" w:rsidRDefault="00856167" w:rsidP="00CF2C5D">
      <w:pPr>
        <w:spacing w:line="240" w:lineRule="auto"/>
      </w:pPr>
      <w:r>
        <w:t>Ansvarigt departement: Näringsdepartementet</w:t>
      </w:r>
    </w:p>
    <w:p w:rsidR="00856167" w:rsidRDefault="00856167" w:rsidP="00CF2C5D">
      <w:pPr>
        <w:spacing w:line="240" w:lineRule="auto"/>
      </w:pPr>
    </w:p>
    <w:p w:rsidR="00856167" w:rsidRPr="00C64B4C" w:rsidRDefault="00856167" w:rsidP="00CF2C5D">
      <w:pPr>
        <w:tabs>
          <w:tab w:val="left" w:pos="9071"/>
        </w:tabs>
        <w:spacing w:line="240" w:lineRule="auto"/>
        <w:ind w:left="3402" w:hanging="3402"/>
      </w:pPr>
      <w:r w:rsidRPr="00C64B4C">
        <w:t>Ansvarigt statsråd: Annie Lööf</w:t>
      </w:r>
    </w:p>
    <w:p w:rsidR="00856167" w:rsidRPr="00CF2C5D" w:rsidRDefault="00856167" w:rsidP="00CF2C5D">
      <w:pPr>
        <w:pStyle w:val="RKnormal"/>
        <w:ind w:left="0"/>
      </w:pPr>
    </w:p>
    <w:p w:rsidR="00856167" w:rsidRPr="00CF2C5D" w:rsidRDefault="00856167" w:rsidP="00CF2C5D">
      <w:pPr>
        <w:pStyle w:val="RKnormal"/>
        <w:ind w:left="0"/>
      </w:pPr>
      <w:r w:rsidRPr="00CF2C5D">
        <w:t xml:space="preserve">Avsikt med behandlingen i rådet: </w:t>
      </w:r>
    </w:p>
    <w:p w:rsidR="00856167" w:rsidRPr="00CF2C5D" w:rsidRDefault="00856167" w:rsidP="00CF2C5D">
      <w:pPr>
        <w:pStyle w:val="RKnormal"/>
        <w:ind w:left="0"/>
      </w:pPr>
      <w:r w:rsidRPr="00CF2C5D">
        <w:t>Att nå partiell allmän inriktning för tre tematiska block inom strukturfondsförordningarna samt för ändring av EGTS-förordningen</w:t>
      </w:r>
    </w:p>
    <w:p w:rsidR="00856167" w:rsidRPr="00CF2C5D" w:rsidRDefault="00856167" w:rsidP="00CF2C5D">
      <w:pPr>
        <w:pStyle w:val="RKnormal"/>
      </w:pPr>
    </w:p>
    <w:p w:rsidR="00856167" w:rsidRPr="00CF2C5D" w:rsidRDefault="00856167" w:rsidP="00CF2C5D">
      <w:pPr>
        <w:pStyle w:val="RKnormal"/>
        <w:ind w:left="0"/>
      </w:pPr>
      <w:r w:rsidRPr="00CF2C5D">
        <w:t xml:space="preserve">Hur regeringen ställer sig till den blivande a-punkten: </w:t>
      </w:r>
    </w:p>
    <w:p w:rsidR="00856167" w:rsidRPr="00CF2C5D" w:rsidRDefault="00856167" w:rsidP="00CF2C5D">
      <w:pPr>
        <w:pStyle w:val="RKnormal"/>
        <w:ind w:left="0"/>
      </w:pPr>
      <w:r w:rsidRPr="00CF2C5D">
        <w:t>Regeringen stödjer, liksom övriga medlemsstater, förslagen för de tre tematiska blocken. För EGTS-förordningen ville regeringen i första hand stryka meningen om ”tyst medgivande” och i andra hand ha en tydligare skrivning om att ett sådant beslut bara gäller om medlemsstatens grundlag tillåter detta. Det fanns dock inte stöd för detta, utan det finns en klar kvalificerad majoritet för ordförandeskapets kompromissförslag, och regeringen kommer inte att motsätta sig förslaget.</w:t>
      </w:r>
    </w:p>
    <w:p w:rsidR="00856167" w:rsidRPr="00CF2C5D" w:rsidRDefault="00856167" w:rsidP="00CF2C5D">
      <w:pPr>
        <w:pStyle w:val="RKnormal"/>
      </w:pPr>
    </w:p>
    <w:p w:rsidR="00856167" w:rsidRPr="00CF2C5D" w:rsidRDefault="00856167" w:rsidP="00CF2C5D">
      <w:pPr>
        <w:pStyle w:val="RKnormal"/>
        <w:ind w:left="0"/>
      </w:pPr>
      <w:r w:rsidRPr="00CF2C5D">
        <w:t xml:space="preserve">Bakgrund: </w:t>
      </w:r>
    </w:p>
    <w:p w:rsidR="00856167" w:rsidRDefault="00856167" w:rsidP="00CF2C5D">
      <w:pPr>
        <w:pStyle w:val="RKnormal"/>
        <w:ind w:left="0"/>
      </w:pPr>
      <w:r>
        <w:t xml:space="preserve">Det första blocket handlar om </w:t>
      </w:r>
      <w:r>
        <w:rPr>
          <w:u w:val="single"/>
        </w:rPr>
        <w:t>reciterna</w:t>
      </w:r>
      <w:r>
        <w:t>. I samtliga förordningar finns ett stort antal sådana, som syftar till att förklara eller motivera innehållet i artiklarna. Regeringen har drivit att det i allmänna förordningen ska finnas en recit om att vårt gleshetsområde ska få särskilda åtgärder och extra finansiering baserat på vårt anslutningsfördrag, vilket nu finns med i kompromissen.</w:t>
      </w:r>
    </w:p>
    <w:p w:rsidR="00856167" w:rsidRDefault="00856167" w:rsidP="00CF2C5D">
      <w:pPr>
        <w:pStyle w:val="RKnormal"/>
      </w:pPr>
    </w:p>
    <w:p w:rsidR="00856167" w:rsidRDefault="00856167" w:rsidP="00CF2C5D">
      <w:pPr>
        <w:pStyle w:val="RKnormal"/>
        <w:ind w:left="0"/>
      </w:pPr>
      <w:r>
        <w:t xml:space="preserve">Det andra blocket avser </w:t>
      </w:r>
      <w:r>
        <w:rPr>
          <w:u w:val="single"/>
        </w:rPr>
        <w:t>avslutande bestämmelser</w:t>
      </w:r>
      <w:r>
        <w:t xml:space="preserve"> i form av kommissionskommittéer, övergångsbestämmelser, upphävande och ikraftträdande. Här regleras också kommissionens möjlighet att via s.k. delegerade akter komma med detaljerade bestämmelser på olika områden. I kommissionens ursprungliga förslag fanns ett stort antal sådana, vars antal dock har reducerats av rådet.</w:t>
      </w:r>
    </w:p>
    <w:p w:rsidR="00856167" w:rsidRDefault="00856167" w:rsidP="00CF2C5D">
      <w:pPr>
        <w:pStyle w:val="RKnormal"/>
      </w:pPr>
    </w:p>
    <w:p w:rsidR="00856167" w:rsidRDefault="00856167" w:rsidP="00CF2C5D">
      <w:pPr>
        <w:pStyle w:val="RKnormal"/>
        <w:ind w:left="0"/>
      </w:pPr>
      <w:r>
        <w:t xml:space="preserve">Det tredje blocket gäller ett antal </w:t>
      </w:r>
      <w:r>
        <w:rPr>
          <w:u w:val="single"/>
        </w:rPr>
        <w:t>utestående artiklar</w:t>
      </w:r>
      <w:r>
        <w:t xml:space="preserve"> om bl.a. definitioner och syfte. Kommissionens förslag om att använda finansiella instrument inom Socialfonden i form av ”Policy baserade garantier” ifrågasattes av rådet, både vad gäller mervärde och praktiskt genomförande. Resultatet blev att förslaget ströks.</w:t>
      </w:r>
    </w:p>
    <w:p w:rsidR="00856167" w:rsidRDefault="00856167" w:rsidP="00CF2C5D">
      <w:pPr>
        <w:pStyle w:val="RKnormal"/>
      </w:pPr>
    </w:p>
    <w:p w:rsidR="00856167" w:rsidRDefault="00856167" w:rsidP="00CF2C5D">
      <w:pPr>
        <w:pStyle w:val="RKnormal"/>
        <w:ind w:left="0"/>
      </w:pPr>
      <w:r>
        <w:rPr>
          <w:u w:val="single"/>
        </w:rPr>
        <w:t>Förordningen om Europeiska Grupperingar för Territoriellt Samarbete (EGTS)</w:t>
      </w:r>
      <w:r>
        <w:t xml:space="preserve"> är ingen ny förordning, utan en ändring av förordningen som beslutades 2006. Kommissionen anger tre nyckelord för att beskriva förändringen, nämligen kontinuitet, klarhet och flexibilitet.</w:t>
      </w:r>
    </w:p>
    <w:p w:rsidR="00856167" w:rsidRDefault="00856167" w:rsidP="00CF2C5D">
      <w:pPr>
        <w:pStyle w:val="RKnormal"/>
      </w:pPr>
    </w:p>
    <w:p w:rsidR="00856167" w:rsidRDefault="00856167" w:rsidP="00CF2C5D">
      <w:pPr>
        <w:pStyle w:val="RKnormal"/>
        <w:ind w:left="0"/>
      </w:pPr>
      <w:r>
        <w:t>När det gäller medlemsstatens godkännande av en EGTS så har hittills gällt att så ska ske inom 3 månader, vilket sällan följts. Kommissionen föreslog därför att tiden sätts till 6 månader, men med tillägget att om medlemsstaten inte svarat inom denna tid, så ska en EGTS anses godkänd (tyst medgivande). Detta förslag kritiserades av många medlemsstater och Sverige, Finland och Luxemburg hänvisade till grundlagsproblem, varför meningen om tyst medgivande borde strykas.</w:t>
      </w:r>
    </w:p>
    <w:p w:rsidR="00856167" w:rsidRDefault="00856167" w:rsidP="00CF2C5D">
      <w:pPr>
        <w:pStyle w:val="RKnormal"/>
      </w:pPr>
    </w:p>
    <w:p w:rsidR="00856167" w:rsidRDefault="00856167" w:rsidP="00CF2C5D">
      <w:pPr>
        <w:pStyle w:val="RKnormal"/>
        <w:ind w:left="0"/>
      </w:pPr>
      <w:r>
        <w:t>I ordförandeskapets kompromisser har successivt klargjorts att ”tyst medgivande” inte gäller den medlemsstat där EGTS ska vara registrerat, utan där krävs ett aktivt medgivande. Vidare har ”inte svarat” ändrats till ”inte rest några invändningar” samt att de sex månaderna avbryts om MS begär ytterligare information. Efter dessa ändringar fanns det en kvalificerad majoritet i rådet för förslaget.</w:t>
      </w:r>
    </w:p>
    <w:p w:rsidR="00856167" w:rsidRDefault="00856167" w:rsidP="00CF2C5D">
      <w:pPr>
        <w:pStyle w:val="RKnormal"/>
      </w:pPr>
    </w:p>
    <w:p w:rsidR="00856167" w:rsidRDefault="00856167" w:rsidP="00CF2C5D">
      <w:pPr>
        <w:pStyle w:val="RKnormal"/>
        <w:ind w:left="0"/>
      </w:pPr>
      <w:r>
        <w:t>Regeringen fortsatte dock att driva ett förslag till tillägg i den aktuella artikeln med innebörden att tyst medgivande inte skulle gälla i medlemsstater med en konstitution som inte tillåter detta. Förslaget vann inte gehör. I stället blev resultatet, att det i en recit anges att det tysta medgivandet bara tillämpas i linje med nationell lagstiftning i den berörda medlemsstaten, inklusive konstitutionella krav.</w:t>
      </w:r>
    </w:p>
    <w:p w:rsidR="00856167" w:rsidRDefault="00856167" w:rsidP="00351CBF"/>
    <w:sectPr w:rsidR="00856167" w:rsidSect="00415BC1">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67" w:rsidRDefault="00856167">
      <w:r>
        <w:separator/>
      </w:r>
    </w:p>
  </w:endnote>
  <w:endnote w:type="continuationSeparator" w:id="0">
    <w:p w:rsidR="00856167" w:rsidRDefault="008561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67" w:rsidRDefault="00856167">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p>
  <w:p w:rsidR="00856167" w:rsidRDefault="008561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67" w:rsidRDefault="00856167">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18</w:t>
    </w:r>
    <w:r>
      <w:rPr>
        <w:rStyle w:val="PageNumber"/>
        <w:sz w:val="16"/>
      </w:rPr>
      <w:fldChar w:fldCharType="end"/>
    </w:r>
    <w:r>
      <w:rPr>
        <w:rStyle w:val="PageNumber"/>
        <w:sz w:val="16"/>
      </w:rPr>
      <w:t>)</w:t>
    </w:r>
  </w:p>
  <w:p w:rsidR="00856167" w:rsidRDefault="0085616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67" w:rsidRDefault="00856167">
      <w:r>
        <w:separator/>
      </w:r>
    </w:p>
  </w:footnote>
  <w:footnote w:type="continuationSeparator" w:id="0">
    <w:p w:rsidR="00856167" w:rsidRDefault="00856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67" w:rsidRDefault="00856167">
    <w:pPr>
      <w:pStyle w:val="Header"/>
      <w:framePr w:wrap="around" w:vAnchor="text" w:hAnchor="margin" w:xAlign="right" w:y="1"/>
      <w:rPr>
        <w:rStyle w:val="PageNumber"/>
      </w:rPr>
    </w:pPr>
  </w:p>
  <w:p w:rsidR="00856167" w:rsidRDefault="00856167" w:rsidP="00716AE7">
    <w:pPr>
      <w:pStyle w:val="Heade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67" w:rsidRDefault="00856167">
    <w:pPr>
      <w:framePr w:w="2948" w:h="1321" w:hRule="exact" w:wrap="notBeside" w:vAnchor="page" w:hAnchor="page" w:x="1362" w:y="653"/>
    </w:pPr>
    <w:r w:rsidRPr="008F6C1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856167" w:rsidRDefault="00856167">
    <w:pPr>
      <w:pStyle w:val="Header"/>
    </w:pPr>
  </w:p>
  <w:p w:rsidR="00856167" w:rsidRDefault="00856167">
    <w:pPr>
      <w:pStyle w:val="Header"/>
      <w:ind w:right="360"/>
    </w:pPr>
  </w:p>
  <w:p w:rsidR="00856167" w:rsidRDefault="0085616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167" w:rsidRDefault="00856167">
    <w:pPr>
      <w:framePr w:w="2948" w:h="1321" w:hRule="exact" w:wrap="notBeside" w:vAnchor="page" w:hAnchor="page" w:x="1362" w:y="653"/>
    </w:pPr>
    <w:r w:rsidRPr="008F6C1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856167" w:rsidRDefault="008561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578BC98"/>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26625FE"/>
    <w:multiLevelType w:val="hybridMultilevel"/>
    <w:tmpl w:val="F80C9166"/>
    <w:lvl w:ilvl="0" w:tplc="64163454">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2"/>
  </w:num>
  <w:num w:numId="4">
    <w:abstractNumId w:val="10"/>
  </w:num>
  <w:num w:numId="5">
    <w:abstractNumId w:val="6"/>
  </w:num>
  <w:num w:numId="6">
    <w:abstractNumId w:val="11"/>
  </w:num>
  <w:num w:numId="7">
    <w:abstractNumId w:val="1"/>
  </w:num>
  <w:num w:numId="8">
    <w:abstractNumId w:val="2"/>
  </w:num>
  <w:num w:numId="9">
    <w:abstractNumId w:val="8"/>
  </w:num>
  <w:num w:numId="10">
    <w:abstractNumId w:val="3"/>
  </w:num>
  <w:num w:numId="11">
    <w:abstractNumId w:val="4"/>
  </w:num>
  <w:num w:numId="12">
    <w:abstractNumId w:val="7"/>
  </w:num>
  <w:num w:numId="13">
    <w:abstractNumId w:val="9"/>
  </w:num>
  <w:num w:numId="14">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C17F9"/>
    <w:rsid w:val="00096DA9"/>
    <w:rsid w:val="00227024"/>
    <w:rsid w:val="00235D24"/>
    <w:rsid w:val="00283763"/>
    <w:rsid w:val="00351CBF"/>
    <w:rsid w:val="003A317E"/>
    <w:rsid w:val="003C17F9"/>
    <w:rsid w:val="004029C1"/>
    <w:rsid w:val="00415BC1"/>
    <w:rsid w:val="005A23F9"/>
    <w:rsid w:val="005C212F"/>
    <w:rsid w:val="005C4BA9"/>
    <w:rsid w:val="005F1820"/>
    <w:rsid w:val="00653684"/>
    <w:rsid w:val="00716AE7"/>
    <w:rsid w:val="00834A15"/>
    <w:rsid w:val="00847B54"/>
    <w:rsid w:val="00856167"/>
    <w:rsid w:val="00883AE7"/>
    <w:rsid w:val="008F6C1D"/>
    <w:rsid w:val="00936272"/>
    <w:rsid w:val="00A100AB"/>
    <w:rsid w:val="00A34AE1"/>
    <w:rsid w:val="00A72123"/>
    <w:rsid w:val="00AF0928"/>
    <w:rsid w:val="00B25D5D"/>
    <w:rsid w:val="00B345E1"/>
    <w:rsid w:val="00B86599"/>
    <w:rsid w:val="00BA6B91"/>
    <w:rsid w:val="00C64B4C"/>
    <w:rsid w:val="00CF2C5D"/>
    <w:rsid w:val="00D86D50"/>
    <w:rsid w:val="00E9088F"/>
    <w:rsid w:val="00EC3C7C"/>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C1"/>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415BC1"/>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415BC1"/>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415BC1"/>
    <w:pPr>
      <w:spacing w:after="120" w:line="240" w:lineRule="atLeast"/>
      <w:outlineLvl w:val="2"/>
    </w:pPr>
    <w:rPr>
      <w:b w:val="0"/>
    </w:rPr>
  </w:style>
  <w:style w:type="paragraph" w:styleId="Heading4">
    <w:name w:val="heading 4"/>
    <w:basedOn w:val="Heading3"/>
    <w:next w:val="RKnormal"/>
    <w:link w:val="Heading4Char"/>
    <w:uiPriority w:val="99"/>
    <w:qFormat/>
    <w:rsid w:val="00415BC1"/>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415BC1"/>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9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3749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3749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3749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3749C"/>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415BC1"/>
    <w:pPr>
      <w:tabs>
        <w:tab w:val="left" w:pos="1843"/>
        <w:tab w:val="left" w:pos="2835"/>
      </w:tabs>
      <w:spacing w:line="240" w:lineRule="atLeast"/>
      <w:ind w:left="1843"/>
    </w:pPr>
  </w:style>
  <w:style w:type="paragraph" w:customStyle="1" w:styleId="Avsndare">
    <w:name w:val="Avsändare"/>
    <w:basedOn w:val="Normal"/>
    <w:uiPriority w:val="99"/>
    <w:rsid w:val="00415BC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15BC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3749C"/>
    <w:rPr>
      <w:rFonts w:ascii="OrigGarmnd BT" w:hAnsi="OrigGarmnd BT"/>
      <w:sz w:val="24"/>
      <w:szCs w:val="20"/>
      <w:lang w:eastAsia="en-US"/>
    </w:rPr>
  </w:style>
  <w:style w:type="paragraph" w:styleId="Header">
    <w:name w:val="header"/>
    <w:basedOn w:val="Normal"/>
    <w:link w:val="HeaderChar"/>
    <w:uiPriority w:val="99"/>
    <w:rsid w:val="00415BC1"/>
    <w:pPr>
      <w:tabs>
        <w:tab w:val="center" w:pos="4153"/>
        <w:tab w:val="right" w:pos="8306"/>
      </w:tabs>
    </w:pPr>
  </w:style>
  <w:style w:type="character" w:customStyle="1" w:styleId="HeaderChar">
    <w:name w:val="Header Char"/>
    <w:basedOn w:val="DefaultParagraphFont"/>
    <w:link w:val="Header"/>
    <w:uiPriority w:val="99"/>
    <w:semiHidden/>
    <w:rsid w:val="0063749C"/>
    <w:rPr>
      <w:rFonts w:ascii="OrigGarmnd BT" w:hAnsi="OrigGarmnd BT"/>
      <w:sz w:val="24"/>
      <w:szCs w:val="20"/>
      <w:lang w:eastAsia="en-US"/>
    </w:rPr>
  </w:style>
  <w:style w:type="paragraph" w:customStyle="1" w:styleId="RKrubrik">
    <w:name w:val="RKrubrik"/>
    <w:basedOn w:val="RKnormal"/>
    <w:next w:val="RKnormal"/>
    <w:uiPriority w:val="99"/>
    <w:rsid w:val="00415BC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15BC1"/>
    <w:rPr>
      <w:rFonts w:cs="Times New Roman"/>
    </w:rPr>
  </w:style>
  <w:style w:type="paragraph" w:styleId="BodyText">
    <w:name w:val="Body Text"/>
    <w:basedOn w:val="Normal"/>
    <w:link w:val="BodyTextChar"/>
    <w:uiPriority w:val="99"/>
    <w:rsid w:val="00415BC1"/>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63749C"/>
    <w:rPr>
      <w:rFonts w:ascii="OrigGarmnd BT" w:hAnsi="OrigGarmnd BT"/>
      <w:sz w:val="24"/>
      <w:szCs w:val="20"/>
      <w:lang w:eastAsia="en-US"/>
    </w:rPr>
  </w:style>
  <w:style w:type="paragraph" w:styleId="FootnoteText">
    <w:name w:val="footnote text"/>
    <w:basedOn w:val="Normal"/>
    <w:link w:val="FootnoteTextChar"/>
    <w:uiPriority w:val="99"/>
    <w:semiHidden/>
    <w:rsid w:val="00415BC1"/>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63749C"/>
    <w:rPr>
      <w:rFonts w:ascii="OrigGarmnd BT" w:hAnsi="OrigGarmnd BT"/>
      <w:sz w:val="20"/>
      <w:szCs w:val="20"/>
      <w:lang w:eastAsia="en-US"/>
    </w:rPr>
  </w:style>
  <w:style w:type="paragraph" w:customStyle="1" w:styleId="UDrubrik">
    <w:name w:val="UDrubrik"/>
    <w:basedOn w:val="Normal"/>
    <w:next w:val="BodyText"/>
    <w:uiPriority w:val="99"/>
    <w:rsid w:val="00415BC1"/>
    <w:pPr>
      <w:spacing w:line="320" w:lineRule="exact"/>
    </w:pPr>
    <w:rPr>
      <w:rFonts w:ascii="Arial" w:hAnsi="Arial"/>
      <w:b/>
      <w:sz w:val="22"/>
    </w:rPr>
  </w:style>
  <w:style w:type="paragraph" w:styleId="TOC1">
    <w:name w:val="toc 1"/>
    <w:basedOn w:val="Normal"/>
    <w:next w:val="Normal"/>
    <w:autoRedefine/>
    <w:uiPriority w:val="99"/>
    <w:rsid w:val="00415BC1"/>
    <w:pPr>
      <w:spacing w:before="360"/>
    </w:pPr>
    <w:rPr>
      <w:rFonts w:ascii="Arial" w:hAnsi="Arial"/>
      <w:b/>
      <w:bCs/>
      <w:caps/>
      <w:szCs w:val="28"/>
    </w:rPr>
  </w:style>
  <w:style w:type="paragraph" w:styleId="TOC2">
    <w:name w:val="toc 2"/>
    <w:basedOn w:val="Normal"/>
    <w:next w:val="Normal"/>
    <w:autoRedefine/>
    <w:uiPriority w:val="99"/>
    <w:rsid w:val="00415BC1"/>
    <w:pPr>
      <w:spacing w:before="240"/>
    </w:pPr>
    <w:rPr>
      <w:rFonts w:ascii="Times New Roman" w:hAnsi="Times New Roman"/>
      <w:b/>
      <w:bCs/>
      <w:szCs w:val="24"/>
    </w:rPr>
  </w:style>
  <w:style w:type="paragraph" w:styleId="TOC3">
    <w:name w:val="toc 3"/>
    <w:basedOn w:val="Normal"/>
    <w:next w:val="Normal"/>
    <w:autoRedefine/>
    <w:uiPriority w:val="99"/>
    <w:semiHidden/>
    <w:rsid w:val="00415BC1"/>
    <w:pPr>
      <w:ind w:left="240"/>
    </w:pPr>
    <w:rPr>
      <w:rFonts w:ascii="Times New Roman" w:hAnsi="Times New Roman"/>
      <w:szCs w:val="24"/>
    </w:rPr>
  </w:style>
  <w:style w:type="paragraph" w:styleId="TOC4">
    <w:name w:val="toc 4"/>
    <w:basedOn w:val="Normal"/>
    <w:next w:val="Normal"/>
    <w:autoRedefine/>
    <w:uiPriority w:val="99"/>
    <w:semiHidden/>
    <w:rsid w:val="00415BC1"/>
    <w:pPr>
      <w:ind w:left="480"/>
    </w:pPr>
    <w:rPr>
      <w:rFonts w:ascii="Times New Roman" w:hAnsi="Times New Roman"/>
      <w:szCs w:val="24"/>
    </w:rPr>
  </w:style>
  <w:style w:type="paragraph" w:styleId="TOC5">
    <w:name w:val="toc 5"/>
    <w:basedOn w:val="Normal"/>
    <w:next w:val="Normal"/>
    <w:autoRedefine/>
    <w:uiPriority w:val="99"/>
    <w:semiHidden/>
    <w:rsid w:val="00415BC1"/>
    <w:pPr>
      <w:ind w:left="720"/>
    </w:pPr>
    <w:rPr>
      <w:rFonts w:ascii="Times New Roman" w:hAnsi="Times New Roman"/>
      <w:szCs w:val="24"/>
    </w:rPr>
  </w:style>
  <w:style w:type="paragraph" w:styleId="TOC6">
    <w:name w:val="toc 6"/>
    <w:basedOn w:val="Normal"/>
    <w:next w:val="Normal"/>
    <w:autoRedefine/>
    <w:uiPriority w:val="99"/>
    <w:semiHidden/>
    <w:rsid w:val="00415BC1"/>
    <w:pPr>
      <w:ind w:left="960"/>
    </w:pPr>
    <w:rPr>
      <w:rFonts w:ascii="Times New Roman" w:hAnsi="Times New Roman"/>
      <w:szCs w:val="24"/>
    </w:rPr>
  </w:style>
  <w:style w:type="paragraph" w:styleId="TOC7">
    <w:name w:val="toc 7"/>
    <w:basedOn w:val="Normal"/>
    <w:next w:val="Normal"/>
    <w:autoRedefine/>
    <w:uiPriority w:val="99"/>
    <w:semiHidden/>
    <w:rsid w:val="00415BC1"/>
    <w:pPr>
      <w:ind w:left="1200"/>
    </w:pPr>
    <w:rPr>
      <w:rFonts w:ascii="Times New Roman" w:hAnsi="Times New Roman"/>
      <w:szCs w:val="24"/>
    </w:rPr>
  </w:style>
  <w:style w:type="paragraph" w:styleId="TOC8">
    <w:name w:val="toc 8"/>
    <w:basedOn w:val="Normal"/>
    <w:next w:val="Normal"/>
    <w:autoRedefine/>
    <w:uiPriority w:val="99"/>
    <w:semiHidden/>
    <w:rsid w:val="00415BC1"/>
    <w:pPr>
      <w:ind w:left="1440"/>
    </w:pPr>
    <w:rPr>
      <w:rFonts w:ascii="Times New Roman" w:hAnsi="Times New Roman"/>
      <w:szCs w:val="24"/>
    </w:rPr>
  </w:style>
  <w:style w:type="paragraph" w:styleId="TOC9">
    <w:name w:val="toc 9"/>
    <w:basedOn w:val="Normal"/>
    <w:next w:val="Normal"/>
    <w:autoRedefine/>
    <w:uiPriority w:val="99"/>
    <w:semiHidden/>
    <w:rsid w:val="00415BC1"/>
    <w:pPr>
      <w:ind w:left="1680"/>
    </w:pPr>
    <w:rPr>
      <w:rFonts w:ascii="Times New Roman" w:hAnsi="Times New Roman"/>
      <w:szCs w:val="24"/>
    </w:rPr>
  </w:style>
  <w:style w:type="paragraph" w:customStyle="1" w:styleId="Text1">
    <w:name w:val="Text 1"/>
    <w:basedOn w:val="Normal"/>
    <w:uiPriority w:val="99"/>
    <w:rsid w:val="00415BC1"/>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415BC1"/>
    <w:rPr>
      <w:rFonts w:cs="Times New Roman"/>
      <w:vertAlign w:val="superscript"/>
    </w:rPr>
  </w:style>
  <w:style w:type="paragraph" w:styleId="Index1">
    <w:name w:val="index 1"/>
    <w:basedOn w:val="Normal"/>
    <w:next w:val="Normal"/>
    <w:autoRedefine/>
    <w:uiPriority w:val="99"/>
    <w:semiHidden/>
    <w:rsid w:val="00415BC1"/>
    <w:pPr>
      <w:ind w:left="240" w:hanging="240"/>
    </w:pPr>
    <w:rPr>
      <w:rFonts w:ascii="Times New Roman" w:hAnsi="Times New Roman"/>
      <w:szCs w:val="24"/>
    </w:rPr>
  </w:style>
  <w:style w:type="paragraph" w:styleId="Index2">
    <w:name w:val="index 2"/>
    <w:basedOn w:val="Normal"/>
    <w:next w:val="Normal"/>
    <w:autoRedefine/>
    <w:uiPriority w:val="99"/>
    <w:semiHidden/>
    <w:rsid w:val="00415BC1"/>
    <w:pPr>
      <w:ind w:left="480" w:hanging="240"/>
    </w:pPr>
    <w:rPr>
      <w:rFonts w:ascii="Times New Roman" w:hAnsi="Times New Roman"/>
      <w:szCs w:val="24"/>
    </w:rPr>
  </w:style>
  <w:style w:type="paragraph" w:styleId="Index3">
    <w:name w:val="index 3"/>
    <w:basedOn w:val="Normal"/>
    <w:next w:val="Normal"/>
    <w:autoRedefine/>
    <w:uiPriority w:val="99"/>
    <w:semiHidden/>
    <w:rsid w:val="00415BC1"/>
    <w:pPr>
      <w:ind w:left="720" w:hanging="240"/>
    </w:pPr>
    <w:rPr>
      <w:rFonts w:ascii="Times New Roman" w:hAnsi="Times New Roman"/>
      <w:szCs w:val="24"/>
    </w:rPr>
  </w:style>
  <w:style w:type="paragraph" w:styleId="Index4">
    <w:name w:val="index 4"/>
    <w:basedOn w:val="Normal"/>
    <w:next w:val="Normal"/>
    <w:autoRedefine/>
    <w:uiPriority w:val="99"/>
    <w:semiHidden/>
    <w:rsid w:val="00415BC1"/>
    <w:pPr>
      <w:ind w:left="960" w:hanging="240"/>
    </w:pPr>
    <w:rPr>
      <w:rFonts w:ascii="Times New Roman" w:hAnsi="Times New Roman"/>
      <w:szCs w:val="24"/>
    </w:rPr>
  </w:style>
  <w:style w:type="paragraph" w:styleId="Index5">
    <w:name w:val="index 5"/>
    <w:basedOn w:val="Normal"/>
    <w:next w:val="Normal"/>
    <w:autoRedefine/>
    <w:uiPriority w:val="99"/>
    <w:semiHidden/>
    <w:rsid w:val="00415BC1"/>
    <w:pPr>
      <w:ind w:left="1200" w:hanging="240"/>
    </w:pPr>
    <w:rPr>
      <w:rFonts w:ascii="Times New Roman" w:hAnsi="Times New Roman"/>
      <w:szCs w:val="24"/>
    </w:rPr>
  </w:style>
  <w:style w:type="paragraph" w:styleId="Index6">
    <w:name w:val="index 6"/>
    <w:basedOn w:val="Normal"/>
    <w:next w:val="Normal"/>
    <w:autoRedefine/>
    <w:uiPriority w:val="99"/>
    <w:semiHidden/>
    <w:rsid w:val="00415BC1"/>
    <w:pPr>
      <w:ind w:left="1440" w:hanging="240"/>
    </w:pPr>
    <w:rPr>
      <w:rFonts w:ascii="Times New Roman" w:hAnsi="Times New Roman"/>
      <w:szCs w:val="24"/>
    </w:rPr>
  </w:style>
  <w:style w:type="paragraph" w:styleId="Index7">
    <w:name w:val="index 7"/>
    <w:basedOn w:val="Normal"/>
    <w:next w:val="Normal"/>
    <w:autoRedefine/>
    <w:uiPriority w:val="99"/>
    <w:semiHidden/>
    <w:rsid w:val="00415BC1"/>
    <w:pPr>
      <w:ind w:left="1680" w:hanging="240"/>
    </w:pPr>
    <w:rPr>
      <w:rFonts w:ascii="Times New Roman" w:hAnsi="Times New Roman"/>
      <w:szCs w:val="24"/>
    </w:rPr>
  </w:style>
  <w:style w:type="paragraph" w:styleId="Index8">
    <w:name w:val="index 8"/>
    <w:basedOn w:val="Normal"/>
    <w:next w:val="Normal"/>
    <w:autoRedefine/>
    <w:uiPriority w:val="99"/>
    <w:semiHidden/>
    <w:rsid w:val="00415BC1"/>
    <w:pPr>
      <w:ind w:left="1920" w:hanging="240"/>
    </w:pPr>
    <w:rPr>
      <w:rFonts w:ascii="Times New Roman" w:hAnsi="Times New Roman"/>
      <w:szCs w:val="24"/>
    </w:rPr>
  </w:style>
  <w:style w:type="paragraph" w:styleId="Index9">
    <w:name w:val="index 9"/>
    <w:basedOn w:val="Normal"/>
    <w:next w:val="Normal"/>
    <w:autoRedefine/>
    <w:uiPriority w:val="99"/>
    <w:semiHidden/>
    <w:rsid w:val="00415BC1"/>
    <w:pPr>
      <w:ind w:left="2160" w:hanging="240"/>
    </w:pPr>
    <w:rPr>
      <w:rFonts w:ascii="Times New Roman" w:hAnsi="Times New Roman"/>
      <w:szCs w:val="24"/>
    </w:rPr>
  </w:style>
  <w:style w:type="paragraph" w:styleId="IndexHeading">
    <w:name w:val="index heading"/>
    <w:basedOn w:val="Normal"/>
    <w:next w:val="Index1"/>
    <w:uiPriority w:val="99"/>
    <w:semiHidden/>
    <w:rsid w:val="00415BC1"/>
    <w:pPr>
      <w:spacing w:before="120" w:after="120"/>
    </w:pPr>
    <w:rPr>
      <w:rFonts w:ascii="Times New Roman" w:hAnsi="Times New Roman"/>
      <w:b/>
      <w:bCs/>
      <w:i/>
      <w:iCs/>
      <w:szCs w:val="24"/>
    </w:rPr>
  </w:style>
  <w:style w:type="paragraph" w:customStyle="1" w:styleId="EntEmet">
    <w:name w:val="EntEmet"/>
    <w:basedOn w:val="Normal"/>
    <w:uiPriority w:val="99"/>
    <w:rsid w:val="00415BC1"/>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415BC1"/>
    <w:pPr>
      <w:spacing w:line="240" w:lineRule="auto"/>
    </w:pPr>
    <w:rPr>
      <w:rFonts w:ascii="Arial" w:hAnsi="Arial"/>
      <w:lang w:val="en-GB"/>
    </w:rPr>
  </w:style>
  <w:style w:type="paragraph" w:customStyle="1" w:styleId="Avsndare0">
    <w:name w:val="Avsndare"/>
    <w:basedOn w:val="Normal"/>
    <w:next w:val="Normal"/>
    <w:uiPriority w:val="99"/>
    <w:rsid w:val="00415BC1"/>
    <w:pPr>
      <w:spacing w:line="240" w:lineRule="auto"/>
    </w:pPr>
    <w:rPr>
      <w:rFonts w:ascii="Arial" w:hAnsi="Arial"/>
      <w:i/>
      <w:lang w:val="en-GB"/>
    </w:rPr>
  </w:style>
  <w:style w:type="character" w:styleId="Hyperlink">
    <w:name w:val="Hyperlink"/>
    <w:basedOn w:val="DefaultParagraphFont"/>
    <w:uiPriority w:val="99"/>
    <w:rsid w:val="00415BC1"/>
    <w:rPr>
      <w:rFonts w:cs="Times New Roman"/>
      <w:color w:val="0000FF"/>
      <w:u w:val="single"/>
    </w:rPr>
  </w:style>
  <w:style w:type="paragraph" w:styleId="DocumentMap">
    <w:name w:val="Document Map"/>
    <w:basedOn w:val="Normal"/>
    <w:link w:val="DocumentMapChar"/>
    <w:uiPriority w:val="99"/>
    <w:semiHidden/>
    <w:rsid w:val="00415BC1"/>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63749C"/>
    <w:rPr>
      <w:sz w:val="0"/>
      <w:szCs w:val="0"/>
      <w:lang w:eastAsia="en-US"/>
    </w:rPr>
  </w:style>
  <w:style w:type="character" w:styleId="FollowedHyperlink">
    <w:name w:val="FollowedHyperlink"/>
    <w:basedOn w:val="DefaultParagraphFont"/>
    <w:uiPriority w:val="99"/>
    <w:rsid w:val="00415BC1"/>
    <w:rPr>
      <w:rFonts w:cs="Times New Roman"/>
      <w:color w:val="800080"/>
      <w:u w:val="single"/>
    </w:rPr>
  </w:style>
  <w:style w:type="paragraph" w:customStyle="1" w:styleId="Par-number10">
    <w:name w:val="Par-number 1)"/>
    <w:basedOn w:val="Normal"/>
    <w:next w:val="Normal"/>
    <w:uiPriority w:val="99"/>
    <w:rsid w:val="00415BC1"/>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415BC1"/>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415BC1"/>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415BC1"/>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415BC1"/>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415BC1"/>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415BC1"/>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415BC1"/>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415BC1"/>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415BC1"/>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415BC1"/>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415BC1"/>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63749C"/>
    <w:rPr>
      <w:rFonts w:ascii="OrigGarmnd BT" w:hAnsi="OrigGarmnd BT"/>
      <w:sz w:val="20"/>
      <w:szCs w:val="20"/>
      <w:lang w:eastAsia="en-US"/>
    </w:rPr>
  </w:style>
  <w:style w:type="paragraph" w:customStyle="1" w:styleId="EntRefer">
    <w:name w:val="EntRefer"/>
    <w:basedOn w:val="Normal"/>
    <w:uiPriority w:val="99"/>
    <w:rsid w:val="00415BC1"/>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415BC1"/>
    <w:pPr>
      <w:spacing w:line="240" w:lineRule="auto"/>
    </w:pPr>
    <w:rPr>
      <w:rFonts w:ascii="Times New Roman" w:hAnsi="Times New Roman"/>
      <w:lang w:val="en-GB" w:eastAsia="fr-BE"/>
    </w:rPr>
  </w:style>
  <w:style w:type="paragraph" w:customStyle="1" w:styleId="Tiret1">
    <w:name w:val="Tiret 1"/>
    <w:basedOn w:val="Normal"/>
    <w:uiPriority w:val="99"/>
    <w:rsid w:val="00415BC1"/>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415BC1"/>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415BC1"/>
    <w:pPr>
      <w:overflowPunct w:val="0"/>
      <w:autoSpaceDE w:val="0"/>
      <w:autoSpaceDN w:val="0"/>
      <w:adjustRightInd w:val="0"/>
      <w:ind w:left="1843"/>
      <w:textAlignment w:val="baseline"/>
    </w:pPr>
  </w:style>
  <w:style w:type="paragraph" w:customStyle="1" w:styleId="Brdtext0">
    <w:name w:val="Brˆdtext"/>
    <w:basedOn w:val="Normal"/>
    <w:uiPriority w:val="99"/>
    <w:rsid w:val="00415BC1"/>
    <w:pPr>
      <w:spacing w:line="320" w:lineRule="exact"/>
    </w:pPr>
    <w:rPr>
      <w:rFonts w:ascii="Times New Roman" w:hAnsi="Times New Roman"/>
    </w:rPr>
  </w:style>
  <w:style w:type="character" w:customStyle="1" w:styleId="term">
    <w:name w:val="term"/>
    <w:basedOn w:val="DefaultParagraphFont"/>
    <w:uiPriority w:val="99"/>
    <w:rsid w:val="00415BC1"/>
    <w:rPr>
      <w:rFonts w:cs="Times New Roman"/>
    </w:rPr>
  </w:style>
  <w:style w:type="paragraph" w:customStyle="1" w:styleId="Brdtexthuvud">
    <w:name w:val="Brödtext huvud"/>
    <w:basedOn w:val="Normal"/>
    <w:uiPriority w:val="99"/>
    <w:rsid w:val="00415BC1"/>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3C17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17F9"/>
    <w:rPr>
      <w:rFonts w:ascii="Tahoma" w:hAnsi="Tahoma" w:cs="Tahoma"/>
      <w:sz w:val="16"/>
      <w:szCs w:val="16"/>
      <w:lang w:eastAsia="en-US"/>
    </w:rPr>
  </w:style>
  <w:style w:type="character" w:customStyle="1" w:styleId="RKnormalChar">
    <w:name w:val="RKnormal Char"/>
    <w:link w:val="RKnormal"/>
    <w:uiPriority w:val="99"/>
    <w:locked/>
    <w:rsid w:val="00CF2C5D"/>
    <w:rPr>
      <w:rFonts w:ascii="OrigGarmnd BT" w:hAnsi="OrigGarmnd BT"/>
      <w:sz w:val="24"/>
      <w:lang w:eastAsia="en-US"/>
    </w:rPr>
  </w:style>
  <w:style w:type="paragraph" w:styleId="ListParagraph">
    <w:name w:val="List Paragraph"/>
    <w:basedOn w:val="Normal"/>
    <w:uiPriority w:val="99"/>
    <w:qFormat/>
    <w:rsid w:val="00B86599"/>
    <w:pPr>
      <w:spacing w:line="240" w:lineRule="auto"/>
      <w:ind w:left="72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728499373">
      <w:marLeft w:val="0"/>
      <w:marRight w:val="0"/>
      <w:marTop w:val="0"/>
      <w:marBottom w:val="0"/>
      <w:divBdr>
        <w:top w:val="none" w:sz="0" w:space="0" w:color="auto"/>
        <w:left w:val="none" w:sz="0" w:space="0" w:color="auto"/>
        <w:bottom w:val="none" w:sz="0" w:space="0" w:color="auto"/>
        <w:right w:val="none" w:sz="0" w:space="0" w:color="auto"/>
      </w:divBdr>
    </w:div>
    <w:div w:id="728499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4196</Words>
  <Characters>25683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2013-03-06T12:17:00Z</cp:lastPrinted>
  <dcterms:created xsi:type="dcterms:W3CDTF">2013-03-06T14:02:00Z</dcterms:created>
  <dcterms:modified xsi:type="dcterms:W3CDTF">2013-03-06T14:02:00Z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1af78827-4adb-4588-b532-e2f8ea9dd2a4</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JE6N4JFJXNNF-9-54196</vt:lpwstr>
  </property>
  <property fmtid="{D5CDD505-2E9C-101B-9397-08002B2CF9AE}" pid="18" name="_dlc_DocIdUrl">
    <vt:lpwstr>http://rkdhs-sb/enhet/EUKansli/_layouts/DocIdRedir.aspx?ID=JE6N4JFJXNNF-9-54196, JE6N4JFJXNNF-9-54196</vt:lpwstr>
  </property>
</Properties>
</file>