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5F596C">
              <w:rPr>
                <w:b/>
              </w:rPr>
              <w:t>4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B96438" w:rsidP="005F596C">
            <w:r>
              <w:t>2018-10-</w:t>
            </w:r>
            <w:r w:rsidR="005F596C">
              <w:t>25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B96438">
            <w:r>
              <w:t>1</w:t>
            </w:r>
            <w:r w:rsidR="006E7CB3">
              <w:t>0</w:t>
            </w:r>
            <w:r w:rsidR="00F65DF8">
              <w:t>.</w:t>
            </w:r>
            <w:r w:rsidR="006E7CB3">
              <w:t>0</w:t>
            </w:r>
            <w:r w:rsidR="00197781">
              <w:t>0</w:t>
            </w:r>
            <w:r w:rsidR="00197781" w:rsidRPr="008F0875">
              <w:t>–</w:t>
            </w:r>
            <w:r w:rsidR="00D80E3C">
              <w:t>11.05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5F596C">
              <w:rPr>
                <w:snapToGrid w:val="0"/>
              </w:rPr>
              <w:t>3</w:t>
            </w:r>
            <w:r w:rsidR="007D3AB0">
              <w:rPr>
                <w:snapToGrid w:val="0"/>
              </w:rPr>
              <w:t>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596C" w:rsidTr="00E210DA">
        <w:tc>
          <w:tcPr>
            <w:tcW w:w="567" w:type="dxa"/>
          </w:tcPr>
          <w:p w:rsidR="005F596C" w:rsidRDefault="005F596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</w:tcPr>
          <w:p w:rsidR="005F596C" w:rsidRDefault="005F596C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Modernare regler om varumärken och en ny lag om företagsnamn (NU5)</w:t>
            </w:r>
          </w:p>
          <w:p w:rsidR="00D40900" w:rsidRDefault="00D40900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40900" w:rsidRDefault="00D40900" w:rsidP="00D40900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proposition 2017/18:267 om modernare regler om varumärken och en ny lag om företagsnamn.</w:t>
            </w:r>
          </w:p>
          <w:p w:rsidR="00053421" w:rsidRPr="00053421" w:rsidRDefault="00D40900" w:rsidP="00053421">
            <w:pPr>
              <w:spacing w:before="100" w:beforeAutospacing="1" w:after="100" w:afterAutospacing="1"/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 xml:space="preserve">5 </w:t>
            </w:r>
            <w:r w:rsidRPr="000D58E2">
              <w:t xml:space="preserve">justerades. </w:t>
            </w:r>
            <w:r w:rsidR="00053421">
              <w:br/>
            </w:r>
          </w:p>
        </w:tc>
      </w:tr>
      <w:tr w:rsidR="003D065A" w:rsidTr="00E210DA">
        <w:tc>
          <w:tcPr>
            <w:tcW w:w="567" w:type="dxa"/>
          </w:tcPr>
          <w:p w:rsidR="003D065A" w:rsidRDefault="005F596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3" w:type="dxa"/>
          </w:tcPr>
          <w:p w:rsidR="009B0293" w:rsidRDefault="007E2A55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</w:t>
            </w:r>
            <w:r w:rsidR="007D3AB0">
              <w:rPr>
                <w:b/>
                <w:snapToGrid w:val="0"/>
              </w:rPr>
              <w:t xml:space="preserve">örslag om </w:t>
            </w:r>
            <w:r w:rsidR="005F596C">
              <w:rPr>
                <w:b/>
                <w:snapToGrid w:val="0"/>
              </w:rPr>
              <w:t>marknadskontroll</w:t>
            </w:r>
          </w:p>
          <w:p w:rsidR="007D3AB0" w:rsidRDefault="007D3AB0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D3AB0" w:rsidRDefault="007D3AB0" w:rsidP="006E7CB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överlade med </w:t>
            </w:r>
            <w:r w:rsidR="005F596C">
              <w:rPr>
                <w:snapToGrid w:val="0"/>
              </w:rPr>
              <w:t>statsrådet</w:t>
            </w:r>
            <w:r w:rsidR="00A16FCD">
              <w:rPr>
                <w:snapToGrid w:val="0"/>
              </w:rPr>
              <w:t xml:space="preserve"> </w:t>
            </w:r>
            <w:r w:rsidR="005F596C">
              <w:rPr>
                <w:snapToGrid w:val="0"/>
              </w:rPr>
              <w:t>Ann Linde</w:t>
            </w:r>
            <w:r w:rsidR="00AA2DEF">
              <w:rPr>
                <w:snapToGrid w:val="0"/>
              </w:rPr>
              <w:t>,</w:t>
            </w:r>
            <w:r w:rsidR="00A16FCD">
              <w:rPr>
                <w:snapToGrid w:val="0"/>
              </w:rPr>
              <w:t xml:space="preserve"> </w:t>
            </w:r>
            <w:r w:rsidR="005F596C">
              <w:rPr>
                <w:snapToGrid w:val="0"/>
              </w:rPr>
              <w:t>Utrikes</w:t>
            </w:r>
            <w:r>
              <w:rPr>
                <w:snapToGrid w:val="0"/>
              </w:rPr>
              <w:t xml:space="preserve">departementet, om kommissionens förslag </w:t>
            </w:r>
            <w:r w:rsidR="00A7078E">
              <w:rPr>
                <w:snapToGrid w:val="0"/>
              </w:rPr>
              <w:t xml:space="preserve">till förordning </w:t>
            </w:r>
            <w:r>
              <w:rPr>
                <w:snapToGrid w:val="0"/>
              </w:rPr>
              <w:t xml:space="preserve">om </w:t>
            </w:r>
            <w:r w:rsidR="005F596C">
              <w:rPr>
                <w:snapToGrid w:val="0"/>
              </w:rPr>
              <w:t>marknadskontroll</w:t>
            </w:r>
            <w:r w:rsidR="007E2A55">
              <w:rPr>
                <w:snapToGrid w:val="0"/>
              </w:rPr>
              <w:t>, C</w:t>
            </w:r>
            <w:r w:rsidR="00C2307C">
              <w:rPr>
                <w:snapToGrid w:val="0"/>
              </w:rPr>
              <w:t>OM(201</w:t>
            </w:r>
            <w:r w:rsidR="005F596C">
              <w:rPr>
                <w:snapToGrid w:val="0"/>
              </w:rPr>
              <w:t>7</w:t>
            </w:r>
            <w:r w:rsidR="00C2307C">
              <w:rPr>
                <w:snapToGrid w:val="0"/>
              </w:rPr>
              <w:t xml:space="preserve">) </w:t>
            </w:r>
            <w:r w:rsidR="005F596C">
              <w:rPr>
                <w:snapToGrid w:val="0"/>
              </w:rPr>
              <w:t>795</w:t>
            </w:r>
            <w:r w:rsidR="00C2307C">
              <w:rPr>
                <w:snapToGrid w:val="0"/>
              </w:rPr>
              <w:t xml:space="preserve"> (se bilaga </w:t>
            </w:r>
            <w:r w:rsidR="005F596C">
              <w:rPr>
                <w:snapToGrid w:val="0"/>
              </w:rPr>
              <w:t>2</w:t>
            </w:r>
            <w:r>
              <w:rPr>
                <w:snapToGrid w:val="0"/>
              </w:rPr>
              <w:t>).</w:t>
            </w:r>
          </w:p>
          <w:p w:rsidR="007D3AB0" w:rsidRPr="007D3AB0" w:rsidRDefault="007D3AB0" w:rsidP="007D3AB0">
            <w:pPr>
              <w:spacing w:before="100" w:beforeAutospacing="1" w:after="100" w:afterAutospacing="1"/>
            </w:pPr>
            <w:r w:rsidRPr="007D3AB0">
              <w:t>Ordföranden konstaterade att det fanns stöd i utskottet för regeringens ståndpunkt i promemorian.</w:t>
            </w:r>
          </w:p>
          <w:p w:rsidR="00C3297F" w:rsidRDefault="007D3AB0" w:rsidP="00C3297F">
            <w:r w:rsidRPr="007D3AB0">
              <w:t xml:space="preserve">Vid sammanträdet </w:t>
            </w:r>
            <w:r w:rsidR="00053421">
              <w:t>närvarade utrikesrådet</w:t>
            </w:r>
            <w:r w:rsidR="00C3297F">
              <w:t xml:space="preserve"> Teppo Tauriainen, kansliråden Niklas Ström och David </w:t>
            </w:r>
            <w:proofErr w:type="spellStart"/>
            <w:r w:rsidR="00C3297F">
              <w:t>Lunderquist</w:t>
            </w:r>
            <w:proofErr w:type="spellEnd"/>
            <w:r w:rsidR="00C3297F">
              <w:t>, politisk</w:t>
            </w:r>
            <w:r w:rsidR="00053421">
              <w:t>t</w:t>
            </w:r>
            <w:r w:rsidR="00C3297F">
              <w:t xml:space="preserve"> sakkunnig</w:t>
            </w:r>
            <w:r w:rsidR="00053421">
              <w:t>a</w:t>
            </w:r>
            <w:r w:rsidR="00C3297F">
              <w:t xml:space="preserve"> Susanne Lindberg Elmgren, ämnesråd</w:t>
            </w:r>
            <w:r w:rsidR="00053421">
              <w:t>et</w:t>
            </w:r>
            <w:r w:rsidR="00C3297F">
              <w:t xml:space="preserve"> </w:t>
            </w:r>
            <w:proofErr w:type="spellStart"/>
            <w:r w:rsidR="00C3297F">
              <w:t>Maison</w:t>
            </w:r>
            <w:proofErr w:type="spellEnd"/>
            <w:r w:rsidR="00C3297F">
              <w:t xml:space="preserve"> </w:t>
            </w:r>
            <w:proofErr w:type="spellStart"/>
            <w:r w:rsidR="00C3297F">
              <w:t>Jabali</w:t>
            </w:r>
            <w:proofErr w:type="spellEnd"/>
            <w:r w:rsidR="00C3297F">
              <w:t xml:space="preserve">, rättssakkunniga </w:t>
            </w:r>
            <w:proofErr w:type="spellStart"/>
            <w:r w:rsidR="00C3297F">
              <w:t>Erla</w:t>
            </w:r>
            <w:proofErr w:type="spellEnd"/>
            <w:r w:rsidR="00C3297F">
              <w:t xml:space="preserve"> </w:t>
            </w:r>
            <w:proofErr w:type="spellStart"/>
            <w:r w:rsidR="00C3297F">
              <w:t>Thorisdottir</w:t>
            </w:r>
            <w:proofErr w:type="spellEnd"/>
            <w:r w:rsidR="00C3297F">
              <w:t xml:space="preserve"> och Patricia </w:t>
            </w:r>
            <w:proofErr w:type="spellStart"/>
            <w:r w:rsidR="00C3297F">
              <w:t>Barrefelt</w:t>
            </w:r>
            <w:proofErr w:type="spellEnd"/>
            <w:r w:rsidR="00C3297F">
              <w:t xml:space="preserve"> samt departementssekreterarna Henrik Ågren och Amina Makboul, Utrikes</w:t>
            </w:r>
            <w:r w:rsidR="00C3297F" w:rsidRPr="007D3AB0">
              <w:t>departementet.</w:t>
            </w:r>
          </w:p>
          <w:p w:rsidR="00053421" w:rsidRDefault="00053421" w:rsidP="00C3297F"/>
          <w:p w:rsidR="00053421" w:rsidRDefault="00053421" w:rsidP="00C3297F">
            <w:r>
              <w:t>Vid sammanträdet närvarade även föredragande Caroline Jender Pamrin, EU-nämndens kansli.</w:t>
            </w:r>
          </w:p>
          <w:p w:rsidR="006E7CB3" w:rsidRPr="009B0293" w:rsidRDefault="006E7CB3" w:rsidP="00C3297F">
            <w:pPr>
              <w:rPr>
                <w:b/>
                <w:snapToGrid w:val="0"/>
              </w:rPr>
            </w:pPr>
          </w:p>
        </w:tc>
      </w:tr>
      <w:tr w:rsidR="00C22CBA" w:rsidTr="00C3297F">
        <w:trPr>
          <w:trHeight w:val="63"/>
        </w:trPr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596C">
              <w:rPr>
                <w:b/>
                <w:snapToGrid w:val="0"/>
              </w:rPr>
              <w:t>4</w:t>
            </w:r>
          </w:p>
        </w:tc>
        <w:tc>
          <w:tcPr>
            <w:tcW w:w="6663" w:type="dxa"/>
          </w:tcPr>
          <w:p w:rsidR="004D13A9" w:rsidRDefault="005F596C" w:rsidP="006E7CB3">
            <w:pPr>
              <w:widowControl w:val="0"/>
              <w:rPr>
                <w:b/>
              </w:rPr>
            </w:pPr>
            <w:r>
              <w:rPr>
                <w:b/>
              </w:rPr>
              <w:t>Rådet för utrikes frågor (handel)</w:t>
            </w:r>
          </w:p>
          <w:p w:rsidR="007D3AB0" w:rsidRDefault="007D3AB0" w:rsidP="006E7CB3">
            <w:pPr>
              <w:widowControl w:val="0"/>
              <w:rPr>
                <w:b/>
              </w:rPr>
            </w:pPr>
          </w:p>
          <w:p w:rsidR="007D3AB0" w:rsidRDefault="005F596C" w:rsidP="006E7CB3">
            <w:pPr>
              <w:widowControl w:val="0"/>
            </w:pPr>
            <w:r>
              <w:t>Statsrådet Ann Linde</w:t>
            </w:r>
            <w:r w:rsidR="007D3AB0">
              <w:t xml:space="preserve">, </w:t>
            </w:r>
            <w:r>
              <w:t>Utrikes</w:t>
            </w:r>
            <w:r w:rsidR="007D3AB0">
              <w:t xml:space="preserve">departementet, lämnade information </w:t>
            </w:r>
            <w:r>
              <w:t>inför rådet för utrikes frågor (handel) den</w:t>
            </w:r>
            <w:r w:rsidR="00D40900">
              <w:t xml:space="preserve"> 9 november 2018</w:t>
            </w:r>
            <w:r w:rsidR="007D3AB0">
              <w:t>.</w:t>
            </w:r>
          </w:p>
          <w:p w:rsidR="00053421" w:rsidRDefault="00053421" w:rsidP="006E7CB3">
            <w:pPr>
              <w:widowControl w:val="0"/>
            </w:pPr>
          </w:p>
          <w:p w:rsidR="00053421" w:rsidRDefault="00053421" w:rsidP="00053421">
            <w:r w:rsidRPr="007D3AB0">
              <w:t xml:space="preserve">Vid sammanträdet </w:t>
            </w:r>
            <w:r>
              <w:t xml:space="preserve">närvarade utrikesrådet Teppo Tauriainen, kansliråden Niklas Ström och David </w:t>
            </w:r>
            <w:proofErr w:type="spellStart"/>
            <w:r>
              <w:t>Lunderquist</w:t>
            </w:r>
            <w:proofErr w:type="spellEnd"/>
            <w:r>
              <w:t xml:space="preserve">, politiskt </w:t>
            </w:r>
            <w:r>
              <w:lastRenderedPageBreak/>
              <w:t>sakkunnig</w:t>
            </w:r>
            <w:r w:rsidR="003E2BEE">
              <w:t>a</w:t>
            </w:r>
            <w:r>
              <w:t xml:space="preserve"> Susanne Lindberg Elmgren, rättssakkunniga Patricia </w:t>
            </w:r>
            <w:proofErr w:type="spellStart"/>
            <w:r>
              <w:t>Barrefelt</w:t>
            </w:r>
            <w:proofErr w:type="spellEnd"/>
            <w:r>
              <w:t xml:space="preserve"> samt departementssekreterare Henrik Ågren, Utrikes</w:t>
            </w:r>
            <w:r w:rsidRPr="007D3AB0">
              <w:t>departementet.</w:t>
            </w:r>
          </w:p>
          <w:p w:rsidR="006E7CB3" w:rsidRPr="00E9414B" w:rsidRDefault="006E7CB3" w:rsidP="00053421">
            <w:pPr>
              <w:widowControl w:val="0"/>
              <w:rPr>
                <w:b/>
              </w:rPr>
            </w:pPr>
          </w:p>
        </w:tc>
      </w:tr>
      <w:tr w:rsidR="00C22CBA" w:rsidTr="00E210DA"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F596C">
              <w:rPr>
                <w:b/>
                <w:snapToGrid w:val="0"/>
              </w:rPr>
              <w:t>5</w:t>
            </w:r>
          </w:p>
        </w:tc>
        <w:tc>
          <w:tcPr>
            <w:tcW w:w="6663" w:type="dxa"/>
          </w:tcPr>
          <w:p w:rsidR="00CF0942" w:rsidRDefault="00A7078E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Achmea</w:t>
            </w:r>
            <w:proofErr w:type="spellEnd"/>
            <w:r>
              <w:rPr>
                <w:b/>
                <w:szCs w:val="20"/>
              </w:rPr>
              <w:t>–domen</w:t>
            </w:r>
          </w:p>
          <w:p w:rsidR="007D3AB0" w:rsidRDefault="007D3AB0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  <w:p w:rsidR="007D3AB0" w:rsidRDefault="005F596C" w:rsidP="006E7CB3">
            <w:pPr>
              <w:widowControl w:val="0"/>
              <w:tabs>
                <w:tab w:val="left" w:pos="1701"/>
              </w:tabs>
            </w:pPr>
            <w:r>
              <w:t>Statsrådet Ann Linde</w:t>
            </w:r>
            <w:r w:rsidR="007D3AB0">
              <w:t xml:space="preserve">, </w:t>
            </w:r>
            <w:r>
              <w:t>Utrikes</w:t>
            </w:r>
            <w:r w:rsidR="007D3AB0">
              <w:t>departementet, lämnade information om</w:t>
            </w:r>
            <w:r w:rsidR="009246A6">
              <w:t xml:space="preserve"> </w:t>
            </w:r>
            <w:r w:rsidR="00A7078E">
              <w:t>EU-domstolens avgörande i</w:t>
            </w:r>
            <w:r>
              <w:t xml:space="preserve"> </w:t>
            </w:r>
            <w:proofErr w:type="spellStart"/>
            <w:r>
              <w:t>Achmea</w:t>
            </w:r>
            <w:proofErr w:type="spellEnd"/>
            <w:r>
              <w:t xml:space="preserve"> och dess konsekvenser för investeringsskyddsavtal mellan EU-länder.</w:t>
            </w:r>
          </w:p>
          <w:p w:rsidR="00A16FCD" w:rsidRDefault="00A16FCD" w:rsidP="006E7CB3">
            <w:pPr>
              <w:widowControl w:val="0"/>
              <w:tabs>
                <w:tab w:val="left" w:pos="1701"/>
              </w:tabs>
            </w:pPr>
          </w:p>
          <w:p w:rsidR="00C3297F" w:rsidRDefault="00C3297F" w:rsidP="00C3297F">
            <w:r w:rsidRPr="007D3AB0">
              <w:t xml:space="preserve">Vid sammanträdet </w:t>
            </w:r>
            <w:r w:rsidR="00053421">
              <w:t>närvarade utrikesrådet</w:t>
            </w:r>
            <w:r>
              <w:t xml:space="preserve"> Teppo Tauriainen, kansliråden Niklas Ström och David </w:t>
            </w:r>
            <w:proofErr w:type="spellStart"/>
            <w:r>
              <w:t>Lunderquist</w:t>
            </w:r>
            <w:proofErr w:type="spellEnd"/>
            <w:r>
              <w:t>, politisk</w:t>
            </w:r>
            <w:r w:rsidR="00053421">
              <w:t>t</w:t>
            </w:r>
            <w:r>
              <w:t xml:space="preserve"> sakkunnig Susanne Lindberg Elmgren, rättssakkunniga Patricia </w:t>
            </w:r>
            <w:proofErr w:type="spellStart"/>
            <w:r>
              <w:t>Barrefe</w:t>
            </w:r>
            <w:r w:rsidR="00053421">
              <w:t>lt</w:t>
            </w:r>
            <w:proofErr w:type="spellEnd"/>
            <w:r w:rsidR="00053421">
              <w:t xml:space="preserve"> samt departementssekreterare Henrik Ågren, </w:t>
            </w:r>
            <w:r>
              <w:t>Utrikes</w:t>
            </w:r>
            <w:r w:rsidRPr="007D3AB0">
              <w:t>departementet.</w:t>
            </w:r>
          </w:p>
          <w:p w:rsidR="00BB48B9" w:rsidRPr="00E60D28" w:rsidRDefault="00BB48B9" w:rsidP="00C3297F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2C7F50" w:rsidTr="00E210DA">
        <w:tc>
          <w:tcPr>
            <w:tcW w:w="567" w:type="dxa"/>
          </w:tcPr>
          <w:p w:rsidR="002C7F50" w:rsidRDefault="002C7F50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596C">
              <w:rPr>
                <w:b/>
                <w:snapToGrid w:val="0"/>
              </w:rPr>
              <w:t>6</w:t>
            </w:r>
          </w:p>
        </w:tc>
        <w:tc>
          <w:tcPr>
            <w:tcW w:w="6663" w:type="dxa"/>
          </w:tcPr>
          <w:p w:rsidR="00BB48B9" w:rsidRDefault="005F596C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Främjanderesor</w:t>
            </w:r>
          </w:p>
          <w:p w:rsidR="007D3AB0" w:rsidRDefault="007D3AB0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  <w:p w:rsidR="005F596C" w:rsidRDefault="005F596C" w:rsidP="005F596C">
            <w:pPr>
              <w:widowControl w:val="0"/>
              <w:tabs>
                <w:tab w:val="left" w:pos="1701"/>
              </w:tabs>
            </w:pPr>
            <w:r>
              <w:t>Statsrådet Ann Linde, Utrikesdepartementet, lämnade information om främjanderesor.</w:t>
            </w:r>
          </w:p>
          <w:p w:rsidR="005F596C" w:rsidRDefault="005F596C" w:rsidP="005F596C">
            <w:pPr>
              <w:widowControl w:val="0"/>
              <w:tabs>
                <w:tab w:val="left" w:pos="1701"/>
              </w:tabs>
            </w:pPr>
          </w:p>
          <w:p w:rsidR="00C3297F" w:rsidRDefault="00C3297F" w:rsidP="00C3297F">
            <w:r w:rsidRPr="007D3AB0">
              <w:t xml:space="preserve">Vid sammanträdet </w:t>
            </w:r>
            <w:r w:rsidR="00053421">
              <w:t>närvarade utrikesrådet</w:t>
            </w:r>
            <w:r>
              <w:t xml:space="preserve"> Teppo Tauriainen, kansliråden Niklas Ström </w:t>
            </w:r>
            <w:r w:rsidR="00053421">
              <w:t xml:space="preserve">och David </w:t>
            </w:r>
            <w:proofErr w:type="spellStart"/>
            <w:r w:rsidR="00053421">
              <w:t>Lunderquist</w:t>
            </w:r>
            <w:proofErr w:type="spellEnd"/>
            <w:r w:rsidR="00053421">
              <w:t xml:space="preserve">, politiskt </w:t>
            </w:r>
            <w:r>
              <w:t>sakkunnig</w:t>
            </w:r>
            <w:r w:rsidR="00053421">
              <w:t>a</w:t>
            </w:r>
            <w:r>
              <w:t xml:space="preserve"> Susanne Lindberg Elmgren, rättssakkunniga Patricia </w:t>
            </w:r>
            <w:proofErr w:type="spellStart"/>
            <w:r>
              <w:t>Barrefe</w:t>
            </w:r>
            <w:r w:rsidR="00053421">
              <w:t>lt</w:t>
            </w:r>
            <w:proofErr w:type="spellEnd"/>
            <w:r w:rsidR="00053421">
              <w:t xml:space="preserve"> samt departementssekreterare</w:t>
            </w:r>
            <w:r>
              <w:t xml:space="preserve"> Henrik Ågren</w:t>
            </w:r>
            <w:r w:rsidR="00053421">
              <w:t>,</w:t>
            </w:r>
            <w:r>
              <w:t xml:space="preserve"> Utrikes</w:t>
            </w:r>
            <w:r w:rsidRPr="007D3AB0">
              <w:t>departementet.</w:t>
            </w:r>
          </w:p>
          <w:p w:rsidR="006E7CB3" w:rsidRPr="006E7CB3" w:rsidRDefault="006E7CB3" w:rsidP="005F596C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7D3AB0" w:rsidTr="00E210DA">
        <w:tc>
          <w:tcPr>
            <w:tcW w:w="567" w:type="dxa"/>
          </w:tcPr>
          <w:p w:rsidR="007D3AB0" w:rsidRDefault="005F596C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3" w:type="dxa"/>
          </w:tcPr>
          <w:p w:rsidR="007D3AB0" w:rsidRDefault="005F596C" w:rsidP="007D3AB0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av riksdagens tillämpning av subsidiaritetsprincipen</w:t>
            </w:r>
          </w:p>
          <w:p w:rsidR="00D40900" w:rsidRDefault="00D40900" w:rsidP="007D3AB0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:rsidR="00D40900" w:rsidRDefault="00D40900" w:rsidP="00D40900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EA0408">
              <w:rPr>
                <w:snapToGrid w:val="0"/>
                <w:color w:val="000000"/>
              </w:rPr>
              <w:t>Utskottet behandlade fråga om yttrande till konstitutionsutskottet över uppföljning av riksdagens tillämpning av subsidiaritetsprincipen.</w:t>
            </w:r>
          </w:p>
          <w:p w:rsidR="00D40900" w:rsidRPr="00EA0408" w:rsidRDefault="00D40900" w:rsidP="00D40900">
            <w:pPr>
              <w:tabs>
                <w:tab w:val="left" w:pos="1701"/>
              </w:tabs>
              <w:rPr>
                <w:color w:val="000000"/>
              </w:rPr>
            </w:pPr>
          </w:p>
          <w:p w:rsidR="00D40900" w:rsidRDefault="00D40900" w:rsidP="00D40900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EA0408">
              <w:rPr>
                <w:bCs/>
                <w:color w:val="000000"/>
              </w:rPr>
              <w:t>Utskottet beslutade att avge yttrande.</w:t>
            </w:r>
          </w:p>
          <w:p w:rsidR="00053421" w:rsidRDefault="00053421" w:rsidP="00D40900">
            <w:pPr>
              <w:tabs>
                <w:tab w:val="left" w:pos="1701"/>
              </w:tabs>
              <w:rPr>
                <w:bCs/>
                <w:color w:val="000000"/>
              </w:rPr>
            </w:pPr>
          </w:p>
          <w:p w:rsidR="00053421" w:rsidRDefault="00053421" w:rsidP="00D40900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:rsidR="007D3AB0" w:rsidRDefault="007D3AB0" w:rsidP="00D40900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596C">
              <w:rPr>
                <w:b/>
                <w:snapToGrid w:val="0"/>
              </w:rPr>
              <w:t>8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torsdagen den </w:t>
            </w:r>
            <w:r w:rsidR="005F596C">
              <w:rPr>
                <w:color w:val="000000"/>
              </w:rPr>
              <w:t>8 november</w:t>
            </w:r>
            <w:r w:rsidR="00B96438">
              <w:rPr>
                <w:color w:val="000000"/>
              </w:rPr>
              <w:t xml:space="preserve"> 2018</w:t>
            </w:r>
            <w:r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10</w:t>
            </w:r>
            <w:r w:rsidR="008F0F47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B48B9" w:rsidRDefault="00BB48B9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5F596C">
              <w:t>8 november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078E" w:rsidRDefault="00A7078E" w:rsidP="00F65DF8"/>
    <w:p w:rsidR="00F65DF8" w:rsidRDefault="00A7078E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2018/19:4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1-8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9F3901"/>
    <w:sectPr w:rsidR="00510753" w:rsidSect="00023C91">
      <w:pgSz w:w="11906" w:h="16838"/>
      <w:pgMar w:top="1021" w:right="1134" w:bottom="102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1280"/>
    <w:rsid w:val="000B6492"/>
    <w:rsid w:val="000D6392"/>
    <w:rsid w:val="000E3D3D"/>
    <w:rsid w:val="000F5289"/>
    <w:rsid w:val="0010025E"/>
    <w:rsid w:val="00106202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C60F8"/>
    <w:rsid w:val="003C6535"/>
    <w:rsid w:val="003D065A"/>
    <w:rsid w:val="003D2D24"/>
    <w:rsid w:val="003E2BEE"/>
    <w:rsid w:val="00423168"/>
    <w:rsid w:val="004259BF"/>
    <w:rsid w:val="0042756E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6C08"/>
    <w:rsid w:val="005F09E0"/>
    <w:rsid w:val="005F45B9"/>
    <w:rsid w:val="005F596C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7AF8"/>
    <w:rsid w:val="0073273E"/>
    <w:rsid w:val="007378A6"/>
    <w:rsid w:val="00740CCF"/>
    <w:rsid w:val="007501F8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45B7"/>
    <w:rsid w:val="00847F94"/>
    <w:rsid w:val="00853B12"/>
    <w:rsid w:val="008578E7"/>
    <w:rsid w:val="00860CB9"/>
    <w:rsid w:val="00860F11"/>
    <w:rsid w:val="00861FED"/>
    <w:rsid w:val="00862DAB"/>
    <w:rsid w:val="00866D4A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3CAF"/>
    <w:rsid w:val="0090492E"/>
    <w:rsid w:val="009233D0"/>
    <w:rsid w:val="009246A6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01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490B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F6DDC0-10E0-48CE-AAAC-71359C5F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69E6-52BA-4707-9C69-191462C8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4139</Characters>
  <Application>Microsoft Office Word</Application>
  <DocSecurity>0</DocSecurity>
  <Lines>1034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Lars Brink</cp:lastModifiedBy>
  <cp:revision>2</cp:revision>
  <cp:lastPrinted>2018-10-29T14:44:00Z</cp:lastPrinted>
  <dcterms:created xsi:type="dcterms:W3CDTF">2018-11-08T17:04:00Z</dcterms:created>
  <dcterms:modified xsi:type="dcterms:W3CDTF">2018-11-08T17:04:00Z</dcterms:modified>
</cp:coreProperties>
</file>