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0B40B5CD13471296324E4579C8F4D8"/>
        </w:placeholder>
        <w:text/>
      </w:sdtPr>
      <w:sdtEndPr/>
      <w:sdtContent>
        <w:p w:rsidRPr="009B062B" w:rsidR="00AF30DD" w:rsidP="00DA28CE" w:rsidRDefault="00AF30DD" w14:paraId="6508F0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8c14b43-3274-4078-b16e-75eb83240126"/>
        <w:id w:val="-1127387847"/>
        <w:lock w:val="sdtLocked"/>
      </w:sdtPr>
      <w:sdtEndPr/>
      <w:sdtContent>
        <w:p w:rsidR="00146448" w:rsidRDefault="009D6C1D" w14:paraId="6508F0F1" w14:textId="3C107576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möjligheten, i enlighet med Försvarsberedningens förslag, att återupprätta ett regemente på </w:t>
          </w:r>
          <w:r w:rsidR="00EC76C8">
            <w:t>v</w:t>
          </w:r>
          <w:r>
            <w:t>ästkusten i form av ett amfibieregemente i Göteborg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FD72FDB29B54A84862CAAAACA276FF8"/>
        </w:placeholder>
        <w:text/>
      </w:sdtPr>
      <w:sdtEndPr/>
      <w:sdtContent>
        <w:p w:rsidRPr="009B062B" w:rsidR="006D79C9" w:rsidP="00333E95" w:rsidRDefault="006D79C9" w14:paraId="6508F0F2" w14:textId="77777777">
          <w:pPr>
            <w:pStyle w:val="Rubrik1"/>
          </w:pPr>
          <w:r>
            <w:t>Motivering</w:t>
          </w:r>
        </w:p>
      </w:sdtContent>
    </w:sdt>
    <w:p w:rsidRPr="00FF762A" w:rsidR="00A04F08" w:rsidP="00FF762A" w:rsidRDefault="00A04F08" w14:paraId="6508F0F3" w14:textId="417E891C">
      <w:pPr>
        <w:pStyle w:val="Normalutanindragellerluft"/>
      </w:pPr>
      <w:r w:rsidRPr="00FF762A">
        <w:t>Sjötransporterna till och från Göteborgs hamn är idag av ytterst stor vikt för hela Sverige, men även för Norge och Finland. En stor del av Sveriges export går ut i världen via båttransporter från Göteborgs hamn</w:t>
      </w:r>
      <w:r w:rsidR="00EC76C8">
        <w:t>. D</w:t>
      </w:r>
      <w:r w:rsidRPr="00FF762A">
        <w:t>et gäller inte minst industri- och skogsprodukter från Västsverige.</w:t>
      </w:r>
    </w:p>
    <w:p w:rsidRPr="00FF762A" w:rsidR="00A04F08" w:rsidP="00634BF5" w:rsidRDefault="00A04F08" w14:paraId="6508F0F4" w14:textId="500F20C4">
      <w:r w:rsidRPr="00FF762A">
        <w:t>Göteborgs hamn är ett viktigt tran</w:t>
      </w:r>
      <w:r w:rsidR="00EC76C8">
        <w:t>s</w:t>
      </w:r>
      <w:r w:rsidRPr="00FF762A">
        <w:t>portnav för hela Norden</w:t>
      </w:r>
      <w:r w:rsidR="00EC76C8">
        <w:t>. D</w:t>
      </w:r>
      <w:r w:rsidRPr="00FF762A">
        <w:t>et gör att störningar och avbrott i verksamheten snabbt får stora konsekvenser inte enbart för Sverige utan även för våra närmaste grannländer.</w:t>
      </w:r>
    </w:p>
    <w:p w:rsidRPr="00FF762A" w:rsidR="00A04F08" w:rsidP="00634BF5" w:rsidRDefault="00A04F08" w14:paraId="6508F0F5" w14:textId="5CF0E638">
      <w:r w:rsidRPr="00FF762A">
        <w:t>I Försvarsberedningens slutrapport ”Värnkraft – Inriktningen av säkerhetspolitiken och utformningen av det militära försvaret 2021–2025” konstateras att ”Stockholms</w:t>
      </w:r>
      <w:r w:rsidR="00EB0005">
        <w:softHyphen/>
      </w:r>
      <w:r w:rsidRPr="00FF762A">
        <w:t xml:space="preserve">området, Gotland, sydöstra Sverige inklusive Öresundsregionen, </w:t>
      </w:r>
      <w:r w:rsidR="00EC76C8">
        <w:t>V</w:t>
      </w:r>
      <w:r w:rsidRPr="00FF762A">
        <w:t>ästkusten med Göteborg, västra Svealand samt delar av Jämtlands och Norrbottens län är strategiskt viktiga geografiska områden i händelse av en kris eller krig”</w:t>
      </w:r>
      <w:r w:rsidR="00EC76C8">
        <w:t>.</w:t>
      </w:r>
    </w:p>
    <w:p w:rsidRPr="00FF762A" w:rsidR="00A04F08" w:rsidP="00634BF5" w:rsidRDefault="00A04F08" w14:paraId="6508F0F7" w14:textId="05652CF3">
      <w:r w:rsidRPr="00FF762A">
        <w:t>Vidare skriver beredningen</w:t>
      </w:r>
      <w:r w:rsidR="00EC76C8">
        <w:t>:</w:t>
      </w:r>
      <w:r w:rsidRPr="00FF762A">
        <w:t xml:space="preserve"> ”Göteborgs hamn är idag av central betydelse för för</w:t>
      </w:r>
      <w:r w:rsidR="00EB0005">
        <w:softHyphen/>
      </w:r>
      <w:r w:rsidRPr="00FF762A">
        <w:t>sörjningen av Sverige, Finland och Norge. Att upprätthålla dessa förbindelser är också en förutsättning för att kunna erhålla hjälp av tredje part. De svenska västliga förbindel</w:t>
      </w:r>
      <w:r w:rsidR="00EB0005">
        <w:softHyphen/>
      </w:r>
      <w:r w:rsidRPr="00FF762A">
        <w:t>serna är samtidigt viktiga för Finland i händelse av kris eller krig i vårt närområde. Dessa förbindelser är därmed av existentiellt intresse för både Sverige och Finland.”</w:t>
      </w:r>
    </w:p>
    <w:p w:rsidRPr="00FF762A" w:rsidR="00A04F08" w:rsidP="00FF762A" w:rsidRDefault="00A04F08" w14:paraId="6508F0F8" w14:textId="3259210E">
      <w:r w:rsidRPr="00FF762A">
        <w:t>Mot den bakgrunden föreslår Försvarsberedningen att ett amfibieregemente upp</w:t>
      </w:r>
      <w:r w:rsidR="00612586">
        <w:softHyphen/>
      </w:r>
      <w:bookmarkStart w:name="_GoBack" w:id="1"/>
      <w:bookmarkEnd w:id="1"/>
      <w:r w:rsidRPr="00FF762A">
        <w:t>rättas i Göteborg. Beredningen skriver</w:t>
      </w:r>
      <w:r w:rsidR="00EC76C8">
        <w:t>:</w:t>
      </w:r>
      <w:r w:rsidRPr="00FF762A">
        <w:t xml:space="preserve"> ”En utökad operativ förmåga krävs framförallt för att också kunna försvara Göteborg och Västkusten.”</w:t>
      </w:r>
    </w:p>
    <w:p w:rsidR="00BB6339" w:rsidP="00634BF5" w:rsidRDefault="00A04F08" w14:paraId="6508F0FA" w14:textId="66F86930">
      <w:r w:rsidRPr="00FF762A">
        <w:t xml:space="preserve">Vi delar Försvarsberedningens uppfattning och ser det som angeläget att ett nytt amfibieregemente blir verklighet i nästa långsiktiga försvarsbeslut. Redan idag finns det </w:t>
      </w:r>
      <w:r w:rsidRPr="00FF762A">
        <w:lastRenderedPageBreak/>
        <w:t>en garnison i anslutning till hamnen och det bör vara förhållandevis enkelt att med den som utgångspunkt bygga ut verksamheten till ett nytt regemente.</w:t>
      </w:r>
    </w:p>
    <w:sdt>
      <w:sdtPr>
        <w:alias w:val="CC_Underskrifter"/>
        <w:tag w:val="CC_Underskrifter"/>
        <w:id w:val="583496634"/>
        <w:lock w:val="sdtContentLocked"/>
        <w:placeholder>
          <w:docPart w:val="5C2653CC1967481AAE4E63DDDA997746"/>
        </w:placeholder>
      </w:sdtPr>
      <w:sdtEndPr/>
      <w:sdtContent>
        <w:p w:rsidR="00FF762A" w:rsidP="00FF762A" w:rsidRDefault="00FF762A" w14:paraId="6508F0FB" w14:textId="77777777"/>
        <w:p w:rsidRPr="008E0FE2" w:rsidR="004801AC" w:rsidP="00FF762A" w:rsidRDefault="00612586" w14:paraId="6508F0F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Jonsson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Ann-Christin Ahlberg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Joakim Järrebring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Wiking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Björck (S)</w:t>
            </w:r>
          </w:p>
        </w:tc>
      </w:tr>
    </w:tbl>
    <w:p w:rsidR="008C5094" w:rsidRDefault="008C5094" w14:paraId="6508F109" w14:textId="77777777"/>
    <w:sectPr w:rsidR="008C509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F10B" w14:textId="77777777" w:rsidR="00A04F08" w:rsidRDefault="00A04F08" w:rsidP="000C1CAD">
      <w:pPr>
        <w:spacing w:line="240" w:lineRule="auto"/>
      </w:pPr>
      <w:r>
        <w:separator/>
      </w:r>
    </w:p>
  </w:endnote>
  <w:endnote w:type="continuationSeparator" w:id="0">
    <w:p w14:paraId="6508F10C" w14:textId="77777777" w:rsidR="00A04F08" w:rsidRDefault="00A04F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F1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F1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F76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F11A" w14:textId="77777777" w:rsidR="00262EA3" w:rsidRPr="00FF762A" w:rsidRDefault="00262EA3" w:rsidP="00FF76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8F109" w14:textId="77777777" w:rsidR="00A04F08" w:rsidRDefault="00A04F08" w:rsidP="000C1CAD">
      <w:pPr>
        <w:spacing w:line="240" w:lineRule="auto"/>
      </w:pPr>
      <w:r>
        <w:separator/>
      </w:r>
    </w:p>
  </w:footnote>
  <w:footnote w:type="continuationSeparator" w:id="0">
    <w:p w14:paraId="6508F10A" w14:textId="77777777" w:rsidR="00A04F08" w:rsidRDefault="00A04F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508F1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08F11C" wp14:anchorId="6508F1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12586" w14:paraId="6508F11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4638A48DB4144CFAA9F73E4DB485AFB"/>
                              </w:placeholder>
                              <w:text/>
                            </w:sdtPr>
                            <w:sdtEndPr/>
                            <w:sdtContent>
                              <w:r w:rsidR="00A04F0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E57C10FFAE45DD85C9657014DF8B9A"/>
                              </w:placeholder>
                              <w:text/>
                            </w:sdtPr>
                            <w:sdtEndPr/>
                            <w:sdtContent>
                              <w:r w:rsidR="00A04F08">
                                <w:t>1561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08F1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2586" w14:paraId="6508F11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4638A48DB4144CFAA9F73E4DB485AFB"/>
                        </w:placeholder>
                        <w:text/>
                      </w:sdtPr>
                      <w:sdtEndPr/>
                      <w:sdtContent>
                        <w:r w:rsidR="00A04F0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E57C10FFAE45DD85C9657014DF8B9A"/>
                        </w:placeholder>
                        <w:text/>
                      </w:sdtPr>
                      <w:sdtEndPr/>
                      <w:sdtContent>
                        <w:r w:rsidR="00A04F08">
                          <w:t>1561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08F1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508F10F" w14:textId="77777777">
    <w:pPr>
      <w:jc w:val="right"/>
    </w:pPr>
  </w:p>
  <w:p w:rsidR="00262EA3" w:rsidP="00776B74" w:rsidRDefault="00262EA3" w14:paraId="6508F11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12586" w14:paraId="6508F11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08F11E" wp14:anchorId="6508F1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12586" w14:paraId="6508F1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4F0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04F08">
          <w:t>1561</w:t>
        </w:r>
      </w:sdtContent>
    </w:sdt>
  </w:p>
  <w:p w:rsidRPr="008227B3" w:rsidR="00262EA3" w:rsidP="008227B3" w:rsidRDefault="00612586" w14:paraId="6508F11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12586" w14:paraId="6508F11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:1831</w:t>
        </w:r>
      </w:sdtContent>
    </w:sdt>
  </w:p>
  <w:p w:rsidR="00262EA3" w:rsidP="00E03A3D" w:rsidRDefault="00612586" w14:paraId="6508F1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Jonsson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04F08" w14:paraId="6508F118" w14:textId="77777777">
        <w:pPr>
          <w:pStyle w:val="FSHRub2"/>
        </w:pPr>
        <w:r>
          <w:t>Amfibieregemente i Göteborg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08F1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04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448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57C5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8F9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586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BF5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ACC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094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DC4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C1D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F08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3DF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2A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00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6C8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62A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08F0EF"/>
  <w15:chartTrackingRefBased/>
  <w15:docId w15:val="{C267784B-CC64-46EA-9889-8CDE9CB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0B40B5CD13471296324E4579C8F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167DE-062E-4532-A9E3-B0C60408AE8A}"/>
      </w:docPartPr>
      <w:docPartBody>
        <w:p w:rsidR="002C0E84" w:rsidRDefault="002C0E84">
          <w:pPr>
            <w:pStyle w:val="3A0B40B5CD13471296324E4579C8F4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D72FDB29B54A84862CAAAACA276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94EF9-CEA0-44C9-A00F-D1115F06ED3D}"/>
      </w:docPartPr>
      <w:docPartBody>
        <w:p w:rsidR="002C0E84" w:rsidRDefault="002C0E84">
          <w:pPr>
            <w:pStyle w:val="FFD72FDB29B54A84862CAAAACA276F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638A48DB4144CFAA9F73E4DB485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C6524-FEC5-4787-9DC1-48AFAC92CD52}"/>
      </w:docPartPr>
      <w:docPartBody>
        <w:p w:rsidR="002C0E84" w:rsidRDefault="002C0E84">
          <w:pPr>
            <w:pStyle w:val="F4638A48DB4144CFAA9F73E4DB485A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E57C10FFAE45DD85C9657014DF8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41221-38AF-4956-A295-3FDC4E6763E9}"/>
      </w:docPartPr>
      <w:docPartBody>
        <w:p w:rsidR="002C0E84" w:rsidRDefault="002C0E84">
          <w:pPr>
            <w:pStyle w:val="EDE57C10FFAE45DD85C9657014DF8B9A"/>
          </w:pPr>
          <w:r>
            <w:t xml:space="preserve"> </w:t>
          </w:r>
        </w:p>
      </w:docPartBody>
    </w:docPart>
    <w:docPart>
      <w:docPartPr>
        <w:name w:val="5C2653CC1967481AAE4E63DDDA997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97140-EF11-4FBA-9234-C5F6DEFCA712}"/>
      </w:docPartPr>
      <w:docPartBody>
        <w:p w:rsidR="00BE18A7" w:rsidRDefault="00BE18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4"/>
    <w:rsid w:val="002C0E84"/>
    <w:rsid w:val="00B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0B40B5CD13471296324E4579C8F4D8">
    <w:name w:val="3A0B40B5CD13471296324E4579C8F4D8"/>
  </w:style>
  <w:style w:type="paragraph" w:customStyle="1" w:styleId="73A8F743288F4C77951B01A17265F6EB">
    <w:name w:val="73A8F743288F4C77951B01A17265F6E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C774F88DEFB43788915EE0367434045">
    <w:name w:val="EC774F88DEFB43788915EE0367434045"/>
  </w:style>
  <w:style w:type="paragraph" w:customStyle="1" w:styleId="FFD72FDB29B54A84862CAAAACA276FF8">
    <w:name w:val="FFD72FDB29B54A84862CAAAACA276FF8"/>
  </w:style>
  <w:style w:type="paragraph" w:customStyle="1" w:styleId="C6CD5A81DFBA42389EB118F0705F64B5">
    <w:name w:val="C6CD5A81DFBA42389EB118F0705F64B5"/>
  </w:style>
  <w:style w:type="paragraph" w:customStyle="1" w:styleId="7C6A81E2A27A42D0B9CD2BBBC31A185A">
    <w:name w:val="7C6A81E2A27A42D0B9CD2BBBC31A185A"/>
  </w:style>
  <w:style w:type="paragraph" w:customStyle="1" w:styleId="F4638A48DB4144CFAA9F73E4DB485AFB">
    <w:name w:val="F4638A48DB4144CFAA9F73E4DB485AFB"/>
  </w:style>
  <w:style w:type="paragraph" w:customStyle="1" w:styleId="EDE57C10FFAE45DD85C9657014DF8B9A">
    <w:name w:val="EDE57C10FFAE45DD85C9657014DF8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62DC2-2C30-4818-8899-D8AA08F0986B}"/>
</file>

<file path=customXml/itemProps2.xml><?xml version="1.0" encoding="utf-8"?>
<ds:datastoreItem xmlns:ds="http://schemas.openxmlformats.org/officeDocument/2006/customXml" ds:itemID="{BC12884E-020A-4459-BDD2-5528D6A797F8}"/>
</file>

<file path=customXml/itemProps3.xml><?xml version="1.0" encoding="utf-8"?>
<ds:datastoreItem xmlns:ds="http://schemas.openxmlformats.org/officeDocument/2006/customXml" ds:itemID="{0ED19768-77BA-4D22-93E2-2B08760A8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1974</Characters>
  <Application>Microsoft Office Word</Application>
  <DocSecurity>0</DocSecurity>
  <Lines>43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S1561 Amfibieregemente i Göteborg</vt:lpstr>
      <vt:lpstr>
      </vt:lpstr>
    </vt:vector>
  </TitlesOfParts>
  <Company>Sveriges riksdag</Company>
  <LinksUpToDate>false</LinksUpToDate>
  <CharactersWithSpaces>2281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