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B233D92A88345548C2CC89538FBEB68"/>
        </w:placeholder>
        <w:text/>
      </w:sdtPr>
      <w:sdtEndPr/>
      <w:sdtContent>
        <w:p w:rsidRPr="009B062B" w:rsidR="00AF30DD" w:rsidP="00DA28CE" w:rsidRDefault="00AF30DD" w14:paraId="18972E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380c1e-771c-40cd-b3cb-e24b848e54e9"/>
        <w:id w:val="66853876"/>
        <w:lock w:val="sdtLocked"/>
      </w:sdtPr>
      <w:sdtEndPr/>
      <w:sdtContent>
        <w:p w:rsidR="00957EF0" w:rsidRDefault="008457FD" w14:paraId="18972E43" w14:textId="5D285277">
          <w:pPr>
            <w:pStyle w:val="Frslagstext"/>
          </w:pPr>
          <w:r>
            <w:t>Riksdagen ställer sig bakom det som anförs i motionen om att utvärdera de regionala skyddsombuden och tillkännager detta för regeringen.</w:t>
          </w:r>
        </w:p>
      </w:sdtContent>
    </w:sdt>
    <w:sdt>
      <w:sdtPr>
        <w:alias w:val="Yrkande 2"/>
        <w:tag w:val="7450d794-39cb-4a34-b1bf-1786f88869da"/>
        <w:id w:val="-1210103655"/>
        <w:lock w:val="sdtLocked"/>
      </w:sdtPr>
      <w:sdtEndPr/>
      <w:sdtContent>
        <w:p w:rsidR="00957EF0" w:rsidRDefault="008457FD" w14:paraId="18972E44" w14:textId="77777777">
          <w:pPr>
            <w:pStyle w:val="Frslagstext"/>
          </w:pPr>
          <w:r>
            <w:t>Riksdagen avslår proposition 2019/20:135 Utvidgad tillträdesrätt för de regionala skyddsombuden.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858805249E4A29A1B862A799FBCA7E"/>
        </w:placeholder>
        <w:text/>
      </w:sdtPr>
      <w:sdtEndPr/>
      <w:sdtContent>
        <w:p w:rsidRPr="009B062B" w:rsidR="006D79C9" w:rsidP="00333E95" w:rsidRDefault="006D79C9" w14:paraId="18972E45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E34B62" w14:paraId="18972E46" w14:textId="223E2F79">
      <w:pPr>
        <w:pStyle w:val="Normalutanindragellerluft"/>
      </w:pPr>
      <w:r>
        <w:t>I regeringens proposition 2019/20:135 Utvidgad tillträdesrätt för de regionala skydds</w:t>
      </w:r>
      <w:r w:rsidR="00057078">
        <w:softHyphen/>
      </w:r>
      <w:r>
        <w:t>ombuden föreslås en utvidgning av möjligheten att utse regionala skyddsombud genom en ändring i arbetsmiljölagen så att sådana skyddsombud får tillträde till fler arbets</w:t>
      </w:r>
      <w:r w:rsidR="00057078">
        <w:softHyphen/>
      </w:r>
      <w:r>
        <w:t xml:space="preserve">ställen. </w:t>
      </w:r>
      <w:r w:rsidR="00E854AF">
        <w:t>Ett regionalt skyddsombud ska få utses för ett arbetsställe där en lokal avdelning inom ett förbund eller en med sådan avdelning jämförlig sammanslutning av arbets</w:t>
      </w:r>
      <w:r w:rsidR="00057078">
        <w:softHyphen/>
      </w:r>
      <w:r w:rsidR="00E854AF">
        <w:t xml:space="preserve">tagare är eller brukar vara bunden av kollektivavtal i förhållande till arbetsgivaren på arbetsstället, även om sammanslutningen saknar </w:t>
      </w:r>
      <w:r w:rsidR="007E0D6A">
        <w:t xml:space="preserve">fackliga </w:t>
      </w:r>
      <w:r w:rsidR="00E854AF">
        <w:t xml:space="preserve">medlemmar på arbetsstället. </w:t>
      </w:r>
    </w:p>
    <w:p w:rsidR="00E34B62" w:rsidP="00E34B62" w:rsidRDefault="00E34B62" w14:paraId="18972E47" w14:textId="77256771">
      <w:r>
        <w:t>I Kristdemokraternas budgetmotion</w:t>
      </w:r>
      <w:r w:rsidR="00602783">
        <w:t xml:space="preserve"> angående </w:t>
      </w:r>
      <w:r w:rsidR="00552EEF">
        <w:t>a</w:t>
      </w:r>
      <w:r w:rsidR="00602783">
        <w:t>rbetsmarknad och arbetsliv</w:t>
      </w:r>
      <w:r>
        <w:t xml:space="preserve">, 2019/20:3202, uttrycker vi att de regionala skyddsombuden ska utvärderas och att en sådan utvärdering bör ske innan </w:t>
      </w:r>
      <w:r w:rsidR="00CA6B13">
        <w:t xml:space="preserve">en </w:t>
      </w:r>
      <w:r>
        <w:t>eventuell utvidgning av deras befogenheter äger rum. Regeringen har valt att gå vidare i frågan utan att en sådan ut</w:t>
      </w:r>
      <w:r w:rsidR="002A2355">
        <w:t>värdering</w:t>
      </w:r>
      <w:r w:rsidR="00991900">
        <w:t xml:space="preserve"> av de regionala skyddsombudens funktion</w:t>
      </w:r>
      <w:r>
        <w:t xml:space="preserve"> har </w:t>
      </w:r>
      <w:r w:rsidR="002A2355">
        <w:t>utförts</w:t>
      </w:r>
      <w:r>
        <w:t xml:space="preserve">, vilket är olyckligt. </w:t>
      </w:r>
    </w:p>
    <w:p w:rsidR="009A2953" w:rsidP="00E34B62" w:rsidRDefault="00EE7352" w14:paraId="18972E48" w14:textId="6E65501F">
      <w:r>
        <w:t>Flera</w:t>
      </w:r>
      <w:r w:rsidR="007F6C69">
        <w:t xml:space="preserve"> remissinstanser är positiva till förslaget eller har inte några invändninga</w:t>
      </w:r>
      <w:r w:rsidR="00E854AF">
        <w:t xml:space="preserve">r mot det. </w:t>
      </w:r>
      <w:r w:rsidR="00996910">
        <w:t xml:space="preserve">Det finns inslag i propositionen som vi </w:t>
      </w:r>
      <w:r w:rsidR="005E13C9">
        <w:t xml:space="preserve">också </w:t>
      </w:r>
      <w:r w:rsidR="00996910">
        <w:t>ställer oss positiva</w:t>
      </w:r>
      <w:r w:rsidR="00154BD5">
        <w:t xml:space="preserve"> till</w:t>
      </w:r>
      <w:r w:rsidR="0020054C">
        <w:t>, som</w:t>
      </w:r>
      <w:r w:rsidR="00996910">
        <w:t xml:space="preserve"> t</w:t>
      </w:r>
      <w:r w:rsidR="00D16AD2">
        <w:t>.ex.</w:t>
      </w:r>
      <w:r w:rsidR="00AF3114">
        <w:t xml:space="preserve"> Migrationsverket</w:t>
      </w:r>
      <w:r w:rsidR="0020054C">
        <w:t>s remissvar där man</w:t>
      </w:r>
      <w:r w:rsidR="00AF3114">
        <w:t xml:space="preserve"> an</w:t>
      </w:r>
      <w:r w:rsidR="0020054C">
        <w:t>för</w:t>
      </w:r>
      <w:r w:rsidR="00AF3114">
        <w:t xml:space="preserve"> att förslaget är en relevant åtgärd för att nå arbetstagare som annars hade varit skyddslösa.</w:t>
      </w:r>
      <w:r w:rsidR="00D2349A">
        <w:t xml:space="preserve"> </w:t>
      </w:r>
    </w:p>
    <w:p w:rsidR="00E34B62" w:rsidP="00E34B62" w:rsidRDefault="009A2953" w14:paraId="18972E49" w14:textId="68F593A5">
      <w:r>
        <w:t xml:space="preserve">Vi delar regeringens bedömning att det är </w:t>
      </w:r>
      <w:r w:rsidR="00866661">
        <w:t>viktigt</w:t>
      </w:r>
      <w:r>
        <w:t xml:space="preserve"> för ett fungerande arbetsmiljö</w:t>
      </w:r>
      <w:r w:rsidR="00057078">
        <w:softHyphen/>
      </w:r>
      <w:r>
        <w:t xml:space="preserve">arbete att det finns en god samverkan mellan arbetsgivare och arbetstagare. Rörligheten </w:t>
      </w:r>
      <w:r>
        <w:lastRenderedPageBreak/>
        <w:t>på arbetsmarknaden har ökat</w:t>
      </w:r>
      <w:r w:rsidR="00552EEF">
        <w:t>,</w:t>
      </w:r>
      <w:r>
        <w:t xml:space="preserve"> </w:t>
      </w:r>
      <w:r w:rsidR="009109CE">
        <w:t xml:space="preserve">vilket kan ställa nya krav på hur ett </w:t>
      </w:r>
      <w:r w:rsidR="00866661">
        <w:t>fungerande arbets</w:t>
      </w:r>
      <w:r w:rsidR="00057078">
        <w:softHyphen/>
      </w:r>
      <w:r w:rsidR="00866661">
        <w:t>miljöarbete ska se ut. Arbetsta</w:t>
      </w:r>
      <w:r w:rsidRPr="00BB0EEF" w:rsidR="00866661">
        <w:t>gares anknytning till och engagemang för arbetsplatsen blir svagare samtidigt som arbetsgivare på mindre arbetsplatser ofta inte</w:t>
      </w:r>
      <w:r w:rsidRPr="00BB0EEF" w:rsidR="00BB0EEF">
        <w:t xml:space="preserve"> har</w:t>
      </w:r>
      <w:r w:rsidRPr="00BB0EEF" w:rsidR="00866661">
        <w:t xml:space="preserve"> samma organisation kring arbetsmiljöarbetet som</w:t>
      </w:r>
      <w:r w:rsidRPr="00BB0EEF" w:rsidR="00BB0EEF">
        <w:t xml:space="preserve"> </w:t>
      </w:r>
      <w:r w:rsidRPr="00BB0EEF" w:rsidR="00866661">
        <w:t xml:space="preserve">arbetsgivare på större arbetsplatser har. </w:t>
      </w:r>
    </w:p>
    <w:p w:rsidR="00E531EC" w:rsidP="00D35FA3" w:rsidRDefault="00900C4D" w14:paraId="18972E4A" w14:textId="77777777">
      <w:r>
        <w:t>Ett fungerande lokalt arbetsmiljöarbete behövs för att förebygga ohälsa, arbetsplatsolyckor och i värsta fall dödsolyckor.</w:t>
      </w:r>
      <w:r w:rsidR="00C766AA">
        <w:t xml:space="preserve"> Vi kristdemokrater menar att det är ett</w:t>
      </w:r>
      <w:r w:rsidR="005E13C9">
        <w:t xml:space="preserve"> viktigt </w:t>
      </w:r>
      <w:r w:rsidR="00C766AA">
        <w:t xml:space="preserve">arbete </w:t>
      </w:r>
      <w:r w:rsidR="005E13C9">
        <w:t>för att</w:t>
      </w:r>
      <w:r w:rsidR="00C766AA">
        <w:t xml:space="preserve"> </w:t>
      </w:r>
      <w:r w:rsidR="005E13C9">
        <w:t>uppnå</w:t>
      </w:r>
      <w:r w:rsidR="00C766AA">
        <w:t xml:space="preserve"> en nollvision för dödsolyckor i arbetet.</w:t>
      </w:r>
      <w:r w:rsidR="0020054C">
        <w:t xml:space="preserve"> Vi är dock inte övertygade om att en utvidgad tillträdesrätt för de regionala skyddsombuden som propositionen föreslår är </w:t>
      </w:r>
      <w:r w:rsidR="001A3829">
        <w:t xml:space="preserve">rätt väg för att </w:t>
      </w:r>
      <w:r w:rsidR="001E52B2">
        <w:t xml:space="preserve">uppnå ett förbättrat arbetsmiljöarbete. </w:t>
      </w:r>
    </w:p>
    <w:p w:rsidR="00D35419" w:rsidP="00E34B62" w:rsidRDefault="00D35419" w14:paraId="18972E4B" w14:textId="42E4FB5C">
      <w:r>
        <w:t>Flera remissinstanser</w:t>
      </w:r>
      <w:r w:rsidR="005E13C9">
        <w:t>, däribland Svenskt Näringsliv</w:t>
      </w:r>
      <w:r w:rsidR="003E66E4">
        <w:t>,</w:t>
      </w:r>
      <w:r w:rsidR="005E13C9">
        <w:t xml:space="preserve"> </w:t>
      </w:r>
      <w:r>
        <w:t>avstyrker förslaget om de regionala skyddsombudens utvidgade tillträdesrätt. KFO och Arbetsgivaralliansen menar</w:t>
      </w:r>
      <w:r w:rsidR="0038266D">
        <w:t xml:space="preserve"> att förslaget riskera</w:t>
      </w:r>
      <w:r w:rsidR="00C66BF4">
        <w:t>r</w:t>
      </w:r>
      <w:r w:rsidR="0038266D">
        <w:t xml:space="preserve"> att lösgöra arbetsmiljöarbetet från den lokala nivå där </w:t>
      </w:r>
      <w:r w:rsidR="00C66BF4">
        <w:t xml:space="preserve">de menar att </w:t>
      </w:r>
      <w:r w:rsidR="0038266D">
        <w:t>det hör hemma och i stället göra det till en facklig fråga. TCO, som i grund</w:t>
      </w:r>
      <w:r w:rsidR="003E66E4">
        <w:t>en</w:t>
      </w:r>
      <w:r w:rsidR="0038266D">
        <w:t xml:space="preserve"> har en positiv inställning och tillstyrker förslaget, framhåller att en ändring av tillträdes</w:t>
      </w:r>
      <w:r w:rsidR="00057078">
        <w:softHyphen/>
      </w:r>
      <w:r w:rsidR="0038266D">
        <w:t>rätten inte får leda till ansvarsförskjutning till parterna</w:t>
      </w:r>
      <w:r w:rsidR="00C16B5A">
        <w:t xml:space="preserve">. </w:t>
      </w:r>
      <w:r w:rsidRPr="00C16B5A" w:rsidR="00C16B5A">
        <w:t xml:space="preserve">Detta är viktiga synpunkter att ta hänsyn till. Och vi anser inte att dessa frågetecken är utredda i den tidigare utredningen. </w:t>
      </w:r>
    </w:p>
    <w:p w:rsidR="006625AD" w:rsidP="006625AD" w:rsidRDefault="006625AD" w14:paraId="18972E4C" w14:textId="13A43A32">
      <w:r>
        <w:t xml:space="preserve">Den statliga utredningen </w:t>
      </w:r>
      <w:r w:rsidRPr="003E66E4">
        <w:t>Ett arbetsliv i förändring – hur påverkas ansvaret för arbetsmiljön?</w:t>
      </w:r>
      <w:r w:rsidRPr="00007614">
        <w:rPr>
          <w:i/>
        </w:rPr>
        <w:t xml:space="preserve"> </w:t>
      </w:r>
      <w:r w:rsidRPr="00007614">
        <w:t>(SOU 2017:24)</w:t>
      </w:r>
      <w:r>
        <w:t xml:space="preserve"> berörde, bland många andra arbetsmiljöfrågor, de regio</w:t>
      </w:r>
      <w:r w:rsidR="00057078">
        <w:softHyphen/>
      </w:r>
      <w:r>
        <w:t xml:space="preserve">nala skyddsombuden. </w:t>
      </w:r>
      <w:r w:rsidR="00C66BF4">
        <w:t>Utredningen adresserar det faktum att de regionala skydds</w:t>
      </w:r>
      <w:r w:rsidR="00057078">
        <w:softHyphen/>
      </w:r>
      <w:r w:rsidR="00C66BF4">
        <w:t>ombuden samtidigt är anställda ombudsmän men utredningen konstaterar att man utgår från att de regionala skyddsombuden ägnar sig åt de uppgifter som framgår av lagen.</w:t>
      </w:r>
      <w:r w:rsidR="00C66BF4">
        <w:rPr>
          <w:rStyle w:val="Fotnotsreferens"/>
        </w:rPr>
        <w:footnoteReference w:id="1"/>
      </w:r>
      <w:r w:rsidR="00C66BF4">
        <w:t xml:space="preserve"> Som stöd för det antagandet hänvisar utredningen till en rapport </w:t>
      </w:r>
      <w:r w:rsidR="00082C77">
        <w:t>gjord av</w:t>
      </w:r>
      <w:r w:rsidR="00C66BF4">
        <w:t xml:space="preserve"> Högskolan Dalarna</w:t>
      </w:r>
      <w:r w:rsidR="00082C77">
        <w:t xml:space="preserve"> 2011</w:t>
      </w:r>
      <w:r w:rsidR="00C66BF4">
        <w:t xml:space="preserve">, som noterat att uppdragen som regionalt skyddsombud och facklig ombudsman </w:t>
      </w:r>
      <w:r w:rsidR="00B3196F">
        <w:t xml:space="preserve">i vissa fall kan gå in i varandra men att den primära uppgiften är att få igång det lokala arbetsmiljöarbetet. </w:t>
      </w:r>
      <w:r w:rsidR="00EE7352">
        <w:t xml:space="preserve">Men rapporten </w:t>
      </w:r>
      <w:r w:rsidR="00380144">
        <w:t xml:space="preserve">nämner </w:t>
      </w:r>
      <w:r w:rsidR="00EE7352">
        <w:t>alltså att en samman</w:t>
      </w:r>
      <w:r w:rsidR="00057078">
        <w:softHyphen/>
      </w:r>
      <w:r w:rsidR="00EE7352">
        <w:t xml:space="preserve">blandning av de regionala skyddsombudens uppgifter sker, vilket </w:t>
      </w:r>
      <w:r w:rsidR="00380144">
        <w:t>vi anser</w:t>
      </w:r>
      <w:r w:rsidR="008232FD">
        <w:t xml:space="preserve"> </w:t>
      </w:r>
      <w:r w:rsidR="00380144">
        <w:t>proble</w:t>
      </w:r>
      <w:r w:rsidR="00057078">
        <w:softHyphen/>
      </w:r>
      <w:r w:rsidR="00380144">
        <w:t>matiskt</w:t>
      </w:r>
      <w:r w:rsidR="0074060F">
        <w:t>,</w:t>
      </w:r>
      <w:r w:rsidR="008232FD">
        <w:t xml:space="preserve"> och d</w:t>
      </w:r>
      <w:r w:rsidRPr="008232FD" w:rsidR="008232FD">
        <w:t xml:space="preserve">et behövs en mer genomgripande utvärdering än vad denna rapport ger. </w:t>
      </w:r>
    </w:p>
    <w:p w:rsidR="00057078" w:rsidP="001C6B4C" w:rsidRDefault="00082C77" w14:paraId="18972E4D" w14:textId="1A104187">
      <w:r>
        <w:t>Vi</w:t>
      </w:r>
      <w:r w:rsidR="00E1426C">
        <w:t xml:space="preserve"> yrkar på avslag </w:t>
      </w:r>
      <w:r w:rsidR="00B519F8">
        <w:t>på proposition</w:t>
      </w:r>
      <w:r w:rsidR="005E13C9">
        <w:t>en då</w:t>
      </w:r>
      <w:r w:rsidR="00B519F8">
        <w:t xml:space="preserve"> vi</w:t>
      </w:r>
      <w:r>
        <w:t xml:space="preserve"> </w:t>
      </w:r>
      <w:r w:rsidR="005E13C9">
        <w:t>anser</w:t>
      </w:r>
      <w:r>
        <w:t xml:space="preserve"> att </w:t>
      </w:r>
      <w:r w:rsidR="009311C3">
        <w:t>det behöver genomföras en s</w:t>
      </w:r>
      <w:r w:rsidR="002A2355">
        <w:t>ärskild</w:t>
      </w:r>
      <w:r>
        <w:t xml:space="preserve"> </w:t>
      </w:r>
      <w:r w:rsidR="00FC7FC8">
        <w:t>utvärdering</w:t>
      </w:r>
      <w:r>
        <w:t xml:space="preserve"> </w:t>
      </w:r>
      <w:r w:rsidR="009311C3">
        <w:t>av</w:t>
      </w:r>
      <w:r>
        <w:t xml:space="preserve"> de regionala skyddsombuden</w:t>
      </w:r>
      <w:r w:rsidR="009311C3">
        <w:t xml:space="preserve">. </w:t>
      </w:r>
      <w:r w:rsidR="002A2355">
        <w:t>Den bör ha som</w:t>
      </w:r>
      <w:r w:rsidR="003D70CE">
        <w:t xml:space="preserve"> utgångspunkt</w:t>
      </w:r>
      <w:r w:rsidR="002A2355">
        <w:t xml:space="preserve"> att belysa hur arbetsgivare och arbetstagare upplever </w:t>
      </w:r>
      <w:r w:rsidR="00D273E7">
        <w:t>samarbetet inom den regionala skyddsombudsverksamheten</w:t>
      </w:r>
      <w:r w:rsidR="009D1F0B">
        <w:t>.</w:t>
      </w:r>
      <w:r w:rsidR="00B544D4">
        <w:t xml:space="preserve"> Uppdraget för de regionala skyddsombuden har formulerats som så att grunduppdraget handlar om att aktivera det lokala arbetsmiljö</w:t>
      </w:r>
      <w:r w:rsidR="00057078">
        <w:softHyphen/>
      </w:r>
      <w:r w:rsidR="00B544D4">
        <w:t>arbetet och att uppmärksamma arbetsmiljörisker. Huruvida det uppdraget efterlevs i verkligheten bör omfattas av utvärderingsdirekt</w:t>
      </w:r>
      <w:r w:rsidR="00EE7352">
        <w:t>i</w:t>
      </w:r>
      <w:r w:rsidR="00B544D4">
        <w:t xml:space="preserve">ven. </w:t>
      </w:r>
      <w:r w:rsidR="009D1F0B">
        <w:t xml:space="preserve">Syftet </w:t>
      </w:r>
      <w:r w:rsidR="00B544D4">
        <w:t xml:space="preserve">med en utvärdering </w:t>
      </w:r>
      <w:r w:rsidR="009D1F0B">
        <w:t>bör vara</w:t>
      </w:r>
      <w:r w:rsidR="003D70CE">
        <w:t xml:space="preserve"> att undersöka hur man kan öka förtroendet </w:t>
      </w:r>
      <w:r w:rsidR="00B75F56">
        <w:t>mellan arbetsgivare och de regionala skyddsombude</w:t>
      </w:r>
      <w:r w:rsidR="001C6B4C">
        <w:t>n</w:t>
      </w:r>
      <w:r w:rsidR="009311C3">
        <w:t xml:space="preserve"> innan eventuella nya ställningstaganden tas gällande att utvidga tillträdesrätten för de regionala skyddsombuden. </w:t>
      </w:r>
    </w:p>
    <w:p w:rsidR="00057078" w:rsidRDefault="00057078" w14:paraId="7CAE9EEC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EB58996EA841448DB45F06FBE1D16602"/>
        </w:placeholder>
      </w:sdtPr>
      <w:sdtEndPr/>
      <w:sdtContent>
        <w:p w:rsidR="00112237" w:rsidP="002F2E84" w:rsidRDefault="00112237" w14:paraId="18972E50" w14:textId="77777777"/>
        <w:p w:rsidRPr="008E0FE2" w:rsidR="004801AC" w:rsidP="002F2E84" w:rsidRDefault="00057078" w14:paraId="18972E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Désirée Pethrus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Jakob Forssmed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</w:tr>
    </w:tbl>
    <w:p w:rsidR="00383559" w:rsidP="00057078" w:rsidRDefault="00383559" w14:paraId="18972E5B" w14:textId="77777777"/>
    <w:sectPr w:rsidR="003835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2E5D" w14:textId="77777777" w:rsidR="007E1633" w:rsidRDefault="007E1633" w:rsidP="000C1CAD">
      <w:pPr>
        <w:spacing w:line="240" w:lineRule="auto"/>
      </w:pPr>
      <w:r>
        <w:separator/>
      </w:r>
    </w:p>
  </w:endnote>
  <w:endnote w:type="continuationSeparator" w:id="0">
    <w:p w14:paraId="18972E5E" w14:textId="77777777" w:rsidR="007E1633" w:rsidRDefault="007E16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2E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2E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2E6C" w14:textId="77777777" w:rsidR="00262EA3" w:rsidRPr="002F2E84" w:rsidRDefault="00262EA3" w:rsidP="002F2E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2E5B" w14:textId="77777777" w:rsidR="007E1633" w:rsidRDefault="007E1633" w:rsidP="000C1CAD">
      <w:pPr>
        <w:spacing w:line="240" w:lineRule="auto"/>
      </w:pPr>
      <w:r>
        <w:separator/>
      </w:r>
    </w:p>
  </w:footnote>
  <w:footnote w:type="continuationSeparator" w:id="0">
    <w:p w14:paraId="18972E5C" w14:textId="77777777" w:rsidR="007E1633" w:rsidRDefault="007E1633" w:rsidP="000C1CAD">
      <w:pPr>
        <w:spacing w:line="240" w:lineRule="auto"/>
      </w:pPr>
      <w:r>
        <w:continuationSeparator/>
      </w:r>
    </w:p>
  </w:footnote>
  <w:footnote w:id="1">
    <w:p w14:paraId="18972E71" w14:textId="77777777" w:rsidR="00C66BF4" w:rsidRDefault="00C66BF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B73617" w:rsidRPr="00B73617">
        <w:t>SOU 2017:24</w:t>
      </w:r>
      <w:r w:rsidR="00E472A4">
        <w:t xml:space="preserve">, </w:t>
      </w:r>
      <w:r w:rsidR="00E472A4" w:rsidRPr="00E472A4">
        <w:t>Ett arbetsliv i förändring – hur påverkas ansvaret för arbetsmiljön</w:t>
      </w:r>
      <w:r w:rsidR="00E472A4">
        <w:t>?, Stockholm: Fritzes. s. 261.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972E5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972E6E" wp14:anchorId="18972E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7078" w14:paraId="18972E7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39DADFAC1D4C849BA718EB2425893B"/>
                              </w:placeholder>
                              <w:text/>
                            </w:sdtPr>
                            <w:sdtEndPr/>
                            <w:sdtContent>
                              <w:r w:rsidR="00B657C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47F3F3F6E8465881AA2D1B9D3F031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972E6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7078" w14:paraId="18972E7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39DADFAC1D4C849BA718EB2425893B"/>
                        </w:placeholder>
                        <w:text/>
                      </w:sdtPr>
                      <w:sdtEndPr/>
                      <w:sdtContent>
                        <w:r w:rsidR="00B657C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47F3F3F6E8465881AA2D1B9D3F031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972E6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972E61" w14:textId="77777777">
    <w:pPr>
      <w:jc w:val="right"/>
    </w:pPr>
  </w:p>
  <w:p w:rsidR="00262EA3" w:rsidP="00776B74" w:rsidRDefault="00262EA3" w14:paraId="18972E6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57078" w14:paraId="18972E6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972E70" wp14:anchorId="18972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7078" w14:paraId="18972E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57C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7078" w14:paraId="18972E6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57078" w14:paraId="18972E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:3573</w:t>
        </w:r>
      </w:sdtContent>
    </w:sdt>
  </w:p>
  <w:p w:rsidR="00262EA3" w:rsidP="00E03A3D" w:rsidRDefault="00057078" w14:paraId="18972E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Désirée Pethrus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657C9" w14:paraId="18972E6A" w14:textId="77777777">
        <w:pPr>
          <w:pStyle w:val="FSHRub2"/>
        </w:pPr>
        <w:r>
          <w:t>med anledning av prop. 2019/20:135 Utvidgad tillträdesrätt för de regionala skyddsombuden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972E6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B657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14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045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078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C77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37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BD5"/>
    <w:rsid w:val="001555DB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712"/>
    <w:rsid w:val="001869FD"/>
    <w:rsid w:val="00186CE7"/>
    <w:rsid w:val="001878F9"/>
    <w:rsid w:val="00187CED"/>
    <w:rsid w:val="001908EC"/>
    <w:rsid w:val="00190ADD"/>
    <w:rsid w:val="00190E1F"/>
    <w:rsid w:val="00190F54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829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55A"/>
    <w:rsid w:val="001B481B"/>
    <w:rsid w:val="001B5424"/>
    <w:rsid w:val="001B6645"/>
    <w:rsid w:val="001B66CE"/>
    <w:rsid w:val="001B6716"/>
    <w:rsid w:val="001B697A"/>
    <w:rsid w:val="001B7753"/>
    <w:rsid w:val="001C0DB5"/>
    <w:rsid w:val="001C1DDA"/>
    <w:rsid w:val="001C2470"/>
    <w:rsid w:val="001C3B42"/>
    <w:rsid w:val="001C56A7"/>
    <w:rsid w:val="001C5944"/>
    <w:rsid w:val="001C5EFB"/>
    <w:rsid w:val="001C6B4C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2B2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54C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355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FDE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19E0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E84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8AB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1A3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144"/>
    <w:rsid w:val="003805D2"/>
    <w:rsid w:val="003809C1"/>
    <w:rsid w:val="00381104"/>
    <w:rsid w:val="003811A4"/>
    <w:rsid w:val="00381484"/>
    <w:rsid w:val="00381B4B"/>
    <w:rsid w:val="0038266D"/>
    <w:rsid w:val="003830EF"/>
    <w:rsid w:val="00383559"/>
    <w:rsid w:val="00383742"/>
    <w:rsid w:val="00383AF3"/>
    <w:rsid w:val="00383B34"/>
    <w:rsid w:val="00383C72"/>
    <w:rsid w:val="00384563"/>
    <w:rsid w:val="0038458E"/>
    <w:rsid w:val="00384FF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86E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0CE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6E4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3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554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C36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557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287"/>
    <w:rsid w:val="004C051E"/>
    <w:rsid w:val="004C0749"/>
    <w:rsid w:val="004C08A1"/>
    <w:rsid w:val="004C1277"/>
    <w:rsid w:val="004C27E5"/>
    <w:rsid w:val="004C2B00"/>
    <w:rsid w:val="004C2BA2"/>
    <w:rsid w:val="004C300C"/>
    <w:rsid w:val="004C3283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CEA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EEF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30"/>
    <w:rsid w:val="00562C61"/>
    <w:rsid w:val="00563C62"/>
    <w:rsid w:val="0056539C"/>
    <w:rsid w:val="00565611"/>
    <w:rsid w:val="005656F2"/>
    <w:rsid w:val="005668A8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3C9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783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A6C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5AD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5E92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60F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D6A"/>
    <w:rsid w:val="007E0EA6"/>
    <w:rsid w:val="007E1633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C69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2FD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18E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DC"/>
    <w:rsid w:val="00842CFA"/>
    <w:rsid w:val="00842EAC"/>
    <w:rsid w:val="00843650"/>
    <w:rsid w:val="00843CEF"/>
    <w:rsid w:val="00843DED"/>
    <w:rsid w:val="00844EAA"/>
    <w:rsid w:val="00845483"/>
    <w:rsid w:val="008457FD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661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3ED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3AF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C4D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9CE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1C3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57EF0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A74"/>
    <w:rsid w:val="00990DD8"/>
    <w:rsid w:val="00991900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910"/>
    <w:rsid w:val="00996C92"/>
    <w:rsid w:val="00997CB0"/>
    <w:rsid w:val="00997D26"/>
    <w:rsid w:val="009A0485"/>
    <w:rsid w:val="009A0876"/>
    <w:rsid w:val="009A095B"/>
    <w:rsid w:val="009A09DC"/>
    <w:rsid w:val="009A1FF2"/>
    <w:rsid w:val="009A2953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5AA"/>
    <w:rsid w:val="009D06F3"/>
    <w:rsid w:val="009D0B29"/>
    <w:rsid w:val="009D1F0B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CAA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25B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51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114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3A7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48D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196F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9F8"/>
    <w:rsid w:val="00B530D3"/>
    <w:rsid w:val="00B53849"/>
    <w:rsid w:val="00B5398C"/>
    <w:rsid w:val="00B53D64"/>
    <w:rsid w:val="00B53D84"/>
    <w:rsid w:val="00B53DE2"/>
    <w:rsid w:val="00B54088"/>
    <w:rsid w:val="00B542C2"/>
    <w:rsid w:val="00B544D4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7C9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617"/>
    <w:rsid w:val="00B737C6"/>
    <w:rsid w:val="00B73BAC"/>
    <w:rsid w:val="00B7457A"/>
    <w:rsid w:val="00B74597"/>
    <w:rsid w:val="00B74B6A"/>
    <w:rsid w:val="00B74FD1"/>
    <w:rsid w:val="00B75676"/>
    <w:rsid w:val="00B75F5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0EEF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4C3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B5A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6BF4"/>
    <w:rsid w:val="00C66FD8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CA8"/>
    <w:rsid w:val="00C75D5B"/>
    <w:rsid w:val="00C766AA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B13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633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AD2"/>
    <w:rsid w:val="00D16F80"/>
    <w:rsid w:val="00D170BE"/>
    <w:rsid w:val="00D17F21"/>
    <w:rsid w:val="00D21525"/>
    <w:rsid w:val="00D22922"/>
    <w:rsid w:val="00D2349A"/>
    <w:rsid w:val="00D2384D"/>
    <w:rsid w:val="00D23B5C"/>
    <w:rsid w:val="00D24C75"/>
    <w:rsid w:val="00D26C5C"/>
    <w:rsid w:val="00D273E7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419"/>
    <w:rsid w:val="00D35FA3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1E1B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DB7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6EF6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26C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B62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2A4"/>
    <w:rsid w:val="00E478BF"/>
    <w:rsid w:val="00E51761"/>
    <w:rsid w:val="00E51BE6"/>
    <w:rsid w:val="00E51CBA"/>
    <w:rsid w:val="00E51F35"/>
    <w:rsid w:val="00E531EC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4AF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192"/>
    <w:rsid w:val="00EB049A"/>
    <w:rsid w:val="00EB0549"/>
    <w:rsid w:val="00EB06F6"/>
    <w:rsid w:val="00EB13CF"/>
    <w:rsid w:val="00EB1C1E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CB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352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739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119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999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C8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972E41"/>
  <w15:chartTrackingRefBased/>
  <w15:docId w15:val="{5BDA2BF7-A6BE-46D8-B125-4DCAE44E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66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D92A88345548C2CC89538FBE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4955E-7BB2-4466-9147-5EF62C926E61}"/>
      </w:docPartPr>
      <w:docPartBody>
        <w:p w:rsidR="003A3A45" w:rsidRDefault="00004777">
          <w:pPr>
            <w:pStyle w:val="2B233D92A88345548C2CC89538FBEB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858805249E4A29A1B862A799FBC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6378E-0759-4246-8ED7-C581BD9A774B}"/>
      </w:docPartPr>
      <w:docPartBody>
        <w:p w:rsidR="003A3A45" w:rsidRDefault="00004777">
          <w:pPr>
            <w:pStyle w:val="74858805249E4A29A1B862A799FBCA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39DADFAC1D4C849BA718EB24258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65CDF-2708-4415-8AD4-062ABDE6884A}"/>
      </w:docPartPr>
      <w:docPartBody>
        <w:p w:rsidR="003A3A45" w:rsidRDefault="00004777">
          <w:pPr>
            <w:pStyle w:val="CA39DADFAC1D4C849BA718EB242589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47F3F3F6E8465881AA2D1B9D3F0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824DE-6ED0-4EBA-A9C1-4EE3136C8A68}"/>
      </w:docPartPr>
      <w:docPartBody>
        <w:p w:rsidR="003A3A45" w:rsidRDefault="00004777">
          <w:pPr>
            <w:pStyle w:val="C347F3F3F6E8465881AA2D1B9D3F0310"/>
          </w:pPr>
          <w:r>
            <w:t xml:space="preserve"> </w:t>
          </w:r>
        </w:p>
      </w:docPartBody>
    </w:docPart>
    <w:docPart>
      <w:docPartPr>
        <w:name w:val="EB58996EA841448DB45F06FBE1D16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44A3C-0ADC-43A7-8451-39C54009688A}"/>
      </w:docPartPr>
      <w:docPartBody>
        <w:p w:rsidR="0056559E" w:rsidRDefault="005655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77"/>
    <w:rsid w:val="00004777"/>
    <w:rsid w:val="003A3A45"/>
    <w:rsid w:val="0043390B"/>
    <w:rsid w:val="0056559E"/>
    <w:rsid w:val="006639A3"/>
    <w:rsid w:val="00830D93"/>
    <w:rsid w:val="009676C2"/>
    <w:rsid w:val="00B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A3A45"/>
    <w:rPr>
      <w:color w:val="F4B083" w:themeColor="accent2" w:themeTint="99"/>
    </w:rPr>
  </w:style>
  <w:style w:type="paragraph" w:customStyle="1" w:styleId="2B233D92A88345548C2CC89538FBEB68">
    <w:name w:val="2B233D92A88345548C2CC89538FBEB68"/>
  </w:style>
  <w:style w:type="paragraph" w:customStyle="1" w:styleId="BE9F10F339C54EBFA9839375602E7B26">
    <w:name w:val="BE9F10F339C54EBFA9839375602E7B2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94BE0EC35904E5DA636DB7CEAE22C39">
    <w:name w:val="C94BE0EC35904E5DA636DB7CEAE22C39"/>
  </w:style>
  <w:style w:type="paragraph" w:customStyle="1" w:styleId="74858805249E4A29A1B862A799FBCA7E">
    <w:name w:val="74858805249E4A29A1B862A799FBCA7E"/>
  </w:style>
  <w:style w:type="paragraph" w:customStyle="1" w:styleId="CF56D9DB1D544EE49A34ACE0A34B8AF4">
    <w:name w:val="CF56D9DB1D544EE49A34ACE0A34B8AF4"/>
  </w:style>
  <w:style w:type="paragraph" w:customStyle="1" w:styleId="C2609DD2510644408B9D87FBB906F697">
    <w:name w:val="C2609DD2510644408B9D87FBB906F697"/>
  </w:style>
  <w:style w:type="paragraph" w:customStyle="1" w:styleId="CA39DADFAC1D4C849BA718EB2425893B">
    <w:name w:val="CA39DADFAC1D4C849BA718EB2425893B"/>
  </w:style>
  <w:style w:type="paragraph" w:customStyle="1" w:styleId="C347F3F3F6E8465881AA2D1B9D3F0310">
    <w:name w:val="C347F3F3F6E8465881AA2D1B9D3F0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7FD4C-CB25-492F-98B7-D24133650CC2}"/>
</file>

<file path=customXml/itemProps2.xml><?xml version="1.0" encoding="utf-8"?>
<ds:datastoreItem xmlns:ds="http://schemas.openxmlformats.org/officeDocument/2006/customXml" ds:itemID="{90886CA9-D6E7-4EA0-AC56-E9366E38E556}"/>
</file>

<file path=customXml/itemProps3.xml><?xml version="1.0" encoding="utf-8"?>
<ds:datastoreItem xmlns:ds="http://schemas.openxmlformats.org/officeDocument/2006/customXml" ds:itemID="{D98C08F7-770B-48BB-A9A3-B7CDE9AB6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680</Words>
  <Characters>4228</Characters>
  <Application>Microsoft Office Word</Application>
  <DocSecurity>0</DocSecurity>
  <Lines>76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  2019 20 135 Utvidgad tillträdesrätt för de regionala skyddsombuden</vt:lpstr>
      <vt:lpstr>
      </vt:lpstr>
    </vt:vector>
  </TitlesOfParts>
  <Company>Sveriges riksdag</Company>
  <LinksUpToDate>false</LinksUpToDate>
  <CharactersWithSpaces>4889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